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600" w:lineRule="exact"/>
        <w:textAlignment w:val="auto"/>
        <w:rPr>
          <w:rStyle w:val="7"/>
          <w:rFonts w:hint="eastAsia" w:ascii="黑体" w:hAnsi="黑体" w:eastAsia="黑体" w:cs="黑体"/>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color w:val="auto"/>
          <w:spacing w:val="-11"/>
          <w:sz w:val="44"/>
          <w:szCs w:val="44"/>
          <w:lang w:eastAsia="zh-CN"/>
        </w:rPr>
      </w:pPr>
      <w:r>
        <w:rPr>
          <w:rFonts w:hint="eastAsia" w:ascii="方正小标宋简体" w:hAnsi="方正小标宋简体" w:eastAsia="方正小标宋简体" w:cs="方正小标宋简体"/>
          <w:b w:val="0"/>
          <w:bCs/>
          <w:color w:val="auto"/>
          <w:spacing w:val="-11"/>
          <w:sz w:val="44"/>
          <w:szCs w:val="44"/>
        </w:rPr>
        <w:t>四川省民族宗教</w:t>
      </w:r>
      <w:r>
        <w:rPr>
          <w:rFonts w:hint="eastAsia" w:ascii="方正小标宋简体" w:hAnsi="方正小标宋简体" w:eastAsia="方正小标宋简体" w:cs="方正小标宋简体"/>
          <w:b w:val="0"/>
          <w:bCs/>
          <w:color w:val="auto"/>
          <w:spacing w:val="-11"/>
          <w:sz w:val="44"/>
          <w:szCs w:val="44"/>
          <w:lang w:eastAsia="zh-CN"/>
        </w:rPr>
        <w:t>事务委员会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方正小标宋简体" w:hAnsi="方正小标宋简体" w:eastAsia="方正小标宋简体" w:cs="方正小标宋简体"/>
          <w:b w:val="0"/>
          <w:bCs/>
          <w:color w:val="auto"/>
          <w:spacing w:val="-11"/>
          <w:sz w:val="44"/>
          <w:szCs w:val="44"/>
          <w:lang w:val="en-US" w:eastAsia="zh-CN"/>
        </w:rPr>
      </w:pPr>
      <w:r>
        <w:rPr>
          <w:rFonts w:hint="eastAsia" w:ascii="方正小标宋简体" w:hAnsi="方正小标宋简体" w:eastAsia="方正小标宋简体" w:cs="方正小标宋简体"/>
          <w:b w:val="0"/>
          <w:bCs/>
          <w:color w:val="auto"/>
          <w:spacing w:val="-11"/>
          <w:sz w:val="44"/>
          <w:szCs w:val="44"/>
        </w:rPr>
        <w:t>关于直属事业单位2020年</w:t>
      </w:r>
      <w:r>
        <w:rPr>
          <w:rFonts w:hint="eastAsia" w:ascii="方正小标宋简体" w:hAnsi="方正小标宋简体" w:eastAsia="方正小标宋简体" w:cs="方正小标宋简体"/>
          <w:b w:val="0"/>
          <w:bCs/>
          <w:color w:val="auto"/>
          <w:spacing w:val="-11"/>
          <w:sz w:val="44"/>
          <w:szCs w:val="44"/>
          <w:lang w:val="en-US" w:eastAsia="zh-CN"/>
        </w:rPr>
        <w:t>12月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eastAsia="黑体" w:cs="宋体"/>
          <w:b w:val="0"/>
          <w:bCs/>
          <w:color w:val="auto"/>
          <w:sz w:val="32"/>
          <w:szCs w:val="32"/>
          <w:shd w:val="pct10" w:color="auto" w:fill="FFFFFF"/>
        </w:rPr>
      </w:pPr>
      <w:r>
        <w:rPr>
          <w:rFonts w:hint="eastAsia" w:ascii="方正小标宋简体" w:hAnsi="方正小标宋简体" w:eastAsia="方正小标宋简体" w:cs="方正小标宋简体"/>
          <w:b w:val="0"/>
          <w:bCs/>
          <w:color w:val="auto"/>
          <w:spacing w:val="-11"/>
          <w:sz w:val="44"/>
          <w:szCs w:val="44"/>
        </w:rPr>
        <w:t>公开招聘工作人员公告</w:t>
      </w:r>
    </w:p>
    <w:p>
      <w:pPr>
        <w:spacing w:line="580" w:lineRule="exact"/>
        <w:rPr>
          <w:rFonts w:hint="eastAsia" w:ascii="黑体"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72" w:firstLineChars="200"/>
        <w:textAlignment w:val="auto"/>
        <w:outlineLvl w:val="9"/>
        <w:rPr>
          <w:rFonts w:hint="eastAsia" w:ascii="仿宋_GB2312" w:hAnsi="华文仿宋" w:eastAsia="仿宋_GB2312"/>
          <w:color w:val="auto"/>
          <w:spacing w:val="-17"/>
          <w:sz w:val="30"/>
          <w:szCs w:val="30"/>
        </w:rPr>
      </w:pPr>
      <w:r>
        <w:rPr>
          <w:rFonts w:hint="eastAsia" w:ascii="仿宋_GB2312" w:hAnsi="华文仿宋" w:eastAsia="仿宋_GB2312"/>
          <w:color w:val="auto"/>
          <w:spacing w:val="-17"/>
          <w:sz w:val="32"/>
          <w:szCs w:val="32"/>
        </w:rPr>
        <w:t>根据《事业单位人事管理条例》《事业单位公开招聘人员暂行规定》和《四川省省属事业单位公开招聘工作人员实施细则（试行）》等有关规定，四川省民族宗教</w:t>
      </w:r>
      <w:r>
        <w:rPr>
          <w:rFonts w:hint="eastAsia" w:ascii="仿宋_GB2312" w:hAnsi="华文仿宋" w:eastAsia="仿宋_GB2312"/>
          <w:color w:val="auto"/>
          <w:spacing w:val="-17"/>
          <w:sz w:val="32"/>
          <w:szCs w:val="32"/>
          <w:lang w:eastAsia="zh-CN"/>
        </w:rPr>
        <w:t>事务委员会</w:t>
      </w:r>
      <w:r>
        <w:rPr>
          <w:rFonts w:hint="eastAsia" w:ascii="仿宋_GB2312" w:hAnsi="华文仿宋" w:eastAsia="仿宋_GB2312"/>
          <w:color w:val="auto"/>
          <w:spacing w:val="-17"/>
          <w:sz w:val="32"/>
          <w:szCs w:val="32"/>
        </w:rPr>
        <w:t>拟面向社会公开招聘部分工作人员补充到</w:t>
      </w:r>
      <w:r>
        <w:rPr>
          <w:rFonts w:hint="eastAsia" w:ascii="仿宋_GB2312" w:hAnsi="华文仿宋" w:eastAsia="仿宋_GB2312"/>
          <w:color w:val="auto"/>
          <w:spacing w:val="-17"/>
          <w:sz w:val="32"/>
          <w:szCs w:val="32"/>
          <w:lang w:eastAsia="zh-CN"/>
        </w:rPr>
        <w:t>四川省民族研究所</w:t>
      </w:r>
      <w:r>
        <w:rPr>
          <w:rFonts w:hint="eastAsia" w:ascii="仿宋_GB2312" w:hAnsi="华文仿宋" w:eastAsia="仿宋_GB2312"/>
          <w:color w:val="auto"/>
          <w:spacing w:val="-17"/>
          <w:sz w:val="32"/>
          <w:szCs w:val="32"/>
        </w:rPr>
        <w:t>等</w:t>
      </w:r>
      <w:r>
        <w:rPr>
          <w:rFonts w:hint="eastAsia" w:ascii="仿宋_GB2312" w:hAnsi="华文仿宋" w:eastAsia="仿宋_GB2312"/>
          <w:color w:val="auto"/>
          <w:spacing w:val="-17"/>
          <w:sz w:val="32"/>
          <w:szCs w:val="32"/>
          <w:lang w:val="en-US" w:eastAsia="zh-CN"/>
        </w:rPr>
        <w:t>5</w:t>
      </w:r>
      <w:r>
        <w:rPr>
          <w:rFonts w:hint="eastAsia" w:ascii="仿宋_GB2312" w:hAnsi="华文仿宋" w:eastAsia="仿宋_GB2312"/>
          <w:color w:val="auto"/>
          <w:spacing w:val="-17"/>
          <w:sz w:val="32"/>
          <w:szCs w:val="32"/>
        </w:rPr>
        <w:t>个直属事业单位工作。现将公开招聘有关事项公告如下（本公告由四川省民族宗教</w:t>
      </w:r>
      <w:r>
        <w:rPr>
          <w:rFonts w:hint="eastAsia" w:ascii="仿宋_GB2312" w:hAnsi="华文仿宋" w:eastAsia="仿宋_GB2312"/>
          <w:color w:val="auto"/>
          <w:spacing w:val="-17"/>
          <w:sz w:val="32"/>
          <w:szCs w:val="32"/>
          <w:lang w:eastAsia="zh-CN"/>
        </w:rPr>
        <w:t>事务委员会</w:t>
      </w:r>
      <w:r>
        <w:rPr>
          <w:rFonts w:hint="eastAsia" w:ascii="仿宋_GB2312" w:hAnsi="华文仿宋" w:eastAsia="仿宋_GB2312"/>
          <w:color w:val="auto"/>
          <w:spacing w:val="-17"/>
          <w:sz w:val="32"/>
          <w:szCs w:val="32"/>
        </w:rPr>
        <w:t>同时在四川省人力资源和社会保障厅官网[rs</w:t>
      </w:r>
      <w:r>
        <w:rPr>
          <w:rFonts w:hint="eastAsia" w:ascii="仿宋_GB2312" w:hAnsi="华文仿宋" w:eastAsia="仿宋_GB2312"/>
          <w:color w:val="auto"/>
          <w:spacing w:val="-17"/>
          <w:sz w:val="32"/>
          <w:szCs w:val="32"/>
          <w:lang w:val="en-US" w:eastAsia="zh-CN"/>
        </w:rPr>
        <w:t>t.sc</w:t>
      </w:r>
      <w:r>
        <w:rPr>
          <w:rFonts w:hint="eastAsia" w:ascii="仿宋_GB2312" w:hAnsi="华文仿宋" w:eastAsia="仿宋_GB2312"/>
          <w:color w:val="auto"/>
          <w:spacing w:val="-17"/>
          <w:sz w:val="32"/>
          <w:szCs w:val="32"/>
        </w:rPr>
        <w:t>.gov.cn，下同]“人事考试”专栏和四川省民族宗教事务委员会</w:t>
      </w:r>
      <w:r>
        <w:rPr>
          <w:rFonts w:hint="eastAsia" w:ascii="仿宋_GB2312" w:hAnsi="华文仿宋" w:eastAsia="仿宋_GB2312"/>
          <w:color w:val="auto"/>
          <w:spacing w:val="-17"/>
          <w:sz w:val="32"/>
          <w:szCs w:val="32"/>
          <w:lang w:eastAsia="zh-CN"/>
        </w:rPr>
        <w:t>官网</w:t>
      </w:r>
      <w:r>
        <w:rPr>
          <w:rFonts w:hint="eastAsia" w:ascii="仿宋_GB2312" w:hAnsi="华文仿宋" w:eastAsia="仿宋_GB2312"/>
          <w:color w:val="auto"/>
          <w:spacing w:val="-17"/>
          <w:sz w:val="32"/>
          <w:szCs w:val="32"/>
        </w:rPr>
        <w:t>[</w:t>
      </w:r>
      <w:r>
        <w:rPr>
          <w:rFonts w:hint="default" w:ascii="仿宋_GB2312" w:hAnsi="仿宋_GB2312" w:eastAsia="仿宋_GB2312" w:cs="仿宋_GB2312"/>
          <w:color w:val="auto"/>
          <w:spacing w:val="-17"/>
          <w:sz w:val="32"/>
          <w:szCs w:val="32"/>
          <w:lang w:val="en-US" w:eastAsia="zh-CN"/>
        </w:rPr>
        <w:t>mzw</w:t>
      </w:r>
      <w:r>
        <w:rPr>
          <w:rFonts w:hint="eastAsia" w:ascii="仿宋_GB2312" w:hAnsi="仿宋_GB2312" w:eastAsia="仿宋_GB2312" w:cs="仿宋_GB2312"/>
          <w:color w:val="auto"/>
          <w:spacing w:val="-17"/>
          <w:sz w:val="32"/>
          <w:szCs w:val="32"/>
          <w:lang w:eastAsia="zh-CN"/>
        </w:rPr>
        <w:t>.</w:t>
      </w:r>
      <w:r>
        <w:rPr>
          <w:rFonts w:hint="default" w:ascii="仿宋_GB2312" w:hAnsi="仿宋_GB2312" w:eastAsia="仿宋_GB2312" w:cs="仿宋_GB2312"/>
          <w:color w:val="auto"/>
          <w:spacing w:val="-17"/>
          <w:sz w:val="32"/>
          <w:szCs w:val="32"/>
          <w:lang w:val="en-US" w:eastAsia="zh-CN"/>
        </w:rPr>
        <w:t>sc.</w:t>
      </w:r>
      <w:r>
        <w:rPr>
          <w:rFonts w:hint="eastAsia" w:ascii="仿宋_GB2312" w:hAnsi="仿宋_GB2312" w:eastAsia="仿宋_GB2312" w:cs="仿宋_GB2312"/>
          <w:color w:val="auto"/>
          <w:spacing w:val="-17"/>
          <w:sz w:val="32"/>
          <w:szCs w:val="32"/>
          <w:lang w:eastAsia="zh-CN"/>
        </w:rPr>
        <w:t>gov.cn</w:t>
      </w:r>
      <w:r>
        <w:rPr>
          <w:rFonts w:hint="eastAsia" w:ascii="仿宋_GB2312" w:hAnsi="华文仿宋" w:eastAsia="仿宋_GB2312"/>
          <w:color w:val="auto"/>
          <w:spacing w:val="-17"/>
          <w:sz w:val="32"/>
          <w:szCs w:val="32"/>
        </w:rPr>
        <w:t>，下同]上发布</w:t>
      </w:r>
      <w:r>
        <w:rPr>
          <w:rFonts w:hint="eastAsia" w:ascii="仿宋_GB2312" w:hAnsi="仿宋_GB2312" w:eastAsia="仿宋_GB2312" w:cs="仿宋_GB2312"/>
          <w:color w:val="auto"/>
          <w:spacing w:val="-17"/>
          <w:sz w:val="32"/>
          <w:szCs w:val="32"/>
          <w:lang w:eastAsia="zh-CN"/>
        </w:rPr>
        <w:t>）</w:t>
      </w:r>
      <w:r>
        <w:rPr>
          <w:rFonts w:hint="eastAsia" w:ascii="仿宋_GB2312" w:hAnsi="华文仿宋" w:eastAsia="仿宋_GB2312"/>
          <w:color w:val="auto"/>
          <w:spacing w:val="-17"/>
          <w:sz w:val="32"/>
          <w:szCs w:val="32"/>
        </w:rPr>
        <w:t>。</w:t>
      </w:r>
    </w:p>
    <w:p>
      <w:pPr>
        <w:spacing w:line="580" w:lineRule="exact"/>
        <w:ind w:firstLine="640" w:firstLineChars="200"/>
        <w:rPr>
          <w:rFonts w:hint="eastAsia" w:ascii="黑体" w:eastAsia="黑体"/>
          <w:b w:val="0"/>
          <w:bCs w:val="0"/>
          <w:color w:val="auto"/>
          <w:sz w:val="32"/>
          <w:szCs w:val="32"/>
        </w:rPr>
      </w:pPr>
      <w:r>
        <w:rPr>
          <w:rFonts w:hint="eastAsia" w:ascii="黑体" w:eastAsia="黑体"/>
          <w:b w:val="0"/>
          <w:bCs w:val="0"/>
          <w:color w:val="auto"/>
          <w:sz w:val="32"/>
          <w:szCs w:val="32"/>
        </w:rPr>
        <w:t>一、招聘单位基本情况</w:t>
      </w:r>
    </w:p>
    <w:tbl>
      <w:tblPr>
        <w:tblStyle w:val="5"/>
        <w:tblW w:w="83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759"/>
        <w:gridCol w:w="1086"/>
        <w:gridCol w:w="1266"/>
        <w:gridCol w:w="4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5" w:hRule="atLeast"/>
          <w:jc w:val="center"/>
        </w:trPr>
        <w:tc>
          <w:tcPr>
            <w:tcW w:w="1759" w:type="dxa"/>
            <w:vAlign w:val="center"/>
          </w:tcPr>
          <w:p>
            <w:pPr>
              <w:spacing w:line="580" w:lineRule="exact"/>
              <w:ind w:firstLine="436" w:firstLineChars="200"/>
              <w:jc w:val="both"/>
              <w:rPr>
                <w:rFonts w:hint="eastAsia" w:ascii="黑体" w:hAnsi="黑体" w:eastAsia="黑体" w:cs="黑体"/>
                <w:bCs/>
                <w:color w:val="auto"/>
                <w:spacing w:val="-11"/>
                <w:sz w:val="24"/>
                <w:szCs w:val="24"/>
              </w:rPr>
            </w:pPr>
            <w:r>
              <w:rPr>
                <w:rFonts w:hint="eastAsia" w:ascii="黑体" w:hAnsi="黑体" w:eastAsia="黑体" w:cs="黑体"/>
                <w:bCs/>
                <w:color w:val="auto"/>
                <w:spacing w:val="-11"/>
                <w:sz w:val="24"/>
                <w:szCs w:val="24"/>
              </w:rPr>
              <w:t>单位名称</w:t>
            </w:r>
          </w:p>
        </w:tc>
        <w:tc>
          <w:tcPr>
            <w:tcW w:w="1086" w:type="dxa"/>
            <w:vAlign w:val="center"/>
          </w:tcPr>
          <w:p>
            <w:pPr>
              <w:spacing w:line="580" w:lineRule="exact"/>
              <w:jc w:val="center"/>
              <w:rPr>
                <w:rFonts w:hint="eastAsia" w:ascii="黑体" w:hAnsi="黑体" w:eastAsia="黑体" w:cs="黑体"/>
                <w:bCs/>
                <w:color w:val="auto"/>
                <w:spacing w:val="-11"/>
                <w:sz w:val="24"/>
                <w:szCs w:val="24"/>
              </w:rPr>
            </w:pPr>
            <w:r>
              <w:rPr>
                <w:rFonts w:hint="eastAsia" w:ascii="黑体" w:hAnsi="黑体" w:eastAsia="黑体" w:cs="黑体"/>
                <w:bCs/>
                <w:color w:val="auto"/>
                <w:spacing w:val="-11"/>
                <w:sz w:val="24"/>
                <w:szCs w:val="24"/>
              </w:rPr>
              <w:t>单位性质</w:t>
            </w:r>
          </w:p>
        </w:tc>
        <w:tc>
          <w:tcPr>
            <w:tcW w:w="1266" w:type="dxa"/>
            <w:vAlign w:val="center"/>
          </w:tcPr>
          <w:p>
            <w:pPr>
              <w:spacing w:line="580" w:lineRule="exact"/>
              <w:jc w:val="center"/>
              <w:rPr>
                <w:rFonts w:hint="eastAsia" w:ascii="黑体" w:hAnsi="黑体" w:eastAsia="黑体" w:cs="黑体"/>
                <w:bCs/>
                <w:color w:val="auto"/>
                <w:spacing w:val="-11"/>
                <w:sz w:val="24"/>
                <w:szCs w:val="24"/>
              </w:rPr>
            </w:pPr>
            <w:r>
              <w:rPr>
                <w:rFonts w:hint="eastAsia" w:ascii="黑体" w:hAnsi="黑体" w:eastAsia="黑体" w:cs="黑体"/>
                <w:bCs/>
                <w:color w:val="auto"/>
                <w:spacing w:val="-11"/>
                <w:sz w:val="24"/>
                <w:szCs w:val="24"/>
              </w:rPr>
              <w:t>单位地址</w:t>
            </w:r>
          </w:p>
        </w:tc>
        <w:tc>
          <w:tcPr>
            <w:tcW w:w="4234" w:type="dxa"/>
            <w:vAlign w:val="center"/>
          </w:tcPr>
          <w:p>
            <w:pPr>
              <w:spacing w:line="580" w:lineRule="exact"/>
              <w:jc w:val="center"/>
              <w:rPr>
                <w:rFonts w:hint="eastAsia" w:ascii="黑体" w:hAnsi="黑体" w:eastAsia="黑体" w:cs="黑体"/>
                <w:bCs/>
                <w:color w:val="auto"/>
                <w:spacing w:val="-11"/>
                <w:sz w:val="24"/>
                <w:szCs w:val="24"/>
              </w:rPr>
            </w:pPr>
            <w:r>
              <w:rPr>
                <w:rFonts w:hint="eastAsia" w:ascii="黑体" w:hAnsi="黑体" w:eastAsia="黑体" w:cs="黑体"/>
                <w:bCs/>
                <w:color w:val="auto"/>
                <w:spacing w:val="-11"/>
                <w:sz w:val="24"/>
                <w:szCs w:val="24"/>
              </w:rPr>
              <w:t>主要职能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759" w:type="dxa"/>
            <w:vAlign w:val="center"/>
          </w:tcPr>
          <w:p>
            <w:pPr>
              <w:spacing w:line="580" w:lineRule="exact"/>
              <w:jc w:val="center"/>
              <w:rPr>
                <w:rFonts w:hint="eastAsia" w:ascii="仿宋_GB2312" w:hAnsi="仿宋_GB2312" w:eastAsia="仿宋_GB2312" w:cs="仿宋_GB2312"/>
                <w:color w:val="auto"/>
                <w:spacing w:val="-11"/>
                <w:sz w:val="21"/>
                <w:szCs w:val="21"/>
              </w:rPr>
            </w:pPr>
            <w:r>
              <w:rPr>
                <w:rFonts w:hint="eastAsia" w:ascii="仿宋_GB2312" w:hAnsi="仿宋_GB2312" w:eastAsia="仿宋_GB2312" w:cs="仿宋_GB2312"/>
                <w:color w:val="auto"/>
                <w:spacing w:val="-11"/>
                <w:sz w:val="21"/>
                <w:szCs w:val="21"/>
              </w:rPr>
              <w:t>四川省民族研究所</w:t>
            </w:r>
          </w:p>
        </w:tc>
        <w:tc>
          <w:tcPr>
            <w:tcW w:w="10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color w:val="auto"/>
                <w:spacing w:val="-11"/>
                <w:sz w:val="21"/>
                <w:szCs w:val="21"/>
              </w:rPr>
            </w:pPr>
            <w:r>
              <w:rPr>
                <w:rFonts w:hint="eastAsia" w:ascii="仿宋_GB2312" w:hAnsi="仿宋_GB2312" w:eastAsia="仿宋_GB2312" w:cs="仿宋_GB2312"/>
                <w:color w:val="auto"/>
                <w:spacing w:val="-11"/>
                <w:sz w:val="21"/>
                <w:szCs w:val="21"/>
              </w:rPr>
              <w:t>公益一类</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color w:val="auto"/>
                <w:spacing w:val="-11"/>
                <w:sz w:val="21"/>
                <w:szCs w:val="21"/>
              </w:rPr>
            </w:pPr>
            <w:r>
              <w:rPr>
                <w:rFonts w:hint="eastAsia" w:ascii="仿宋_GB2312" w:hAnsi="仿宋_GB2312" w:eastAsia="仿宋_GB2312" w:cs="仿宋_GB2312"/>
                <w:color w:val="auto"/>
                <w:spacing w:val="-11"/>
                <w:sz w:val="21"/>
                <w:szCs w:val="21"/>
              </w:rPr>
              <w:t>事业单位</w:t>
            </w:r>
          </w:p>
        </w:tc>
        <w:tc>
          <w:tcPr>
            <w:tcW w:w="126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color w:val="auto"/>
                <w:spacing w:val="-11"/>
                <w:sz w:val="21"/>
                <w:szCs w:val="21"/>
              </w:rPr>
            </w:pPr>
            <w:r>
              <w:rPr>
                <w:rFonts w:hint="eastAsia" w:ascii="仿宋_GB2312" w:hAnsi="仿宋_GB2312" w:eastAsia="仿宋_GB2312" w:cs="仿宋_GB2312"/>
                <w:color w:val="auto"/>
                <w:spacing w:val="-11"/>
                <w:sz w:val="21"/>
                <w:szCs w:val="21"/>
              </w:rPr>
              <w:t>成都市金牛区黄金路196号</w:t>
            </w:r>
          </w:p>
        </w:tc>
        <w:tc>
          <w:tcPr>
            <w:tcW w:w="4234" w:type="dxa"/>
            <w:vAlign w:val="center"/>
          </w:tcPr>
          <w:p>
            <w:pPr>
              <w:spacing w:line="300" w:lineRule="exact"/>
              <w:rPr>
                <w:rFonts w:hint="eastAsia" w:ascii="仿宋_GB2312" w:hAnsi="仿宋_GB2312" w:eastAsia="仿宋_GB2312" w:cs="仿宋_GB2312"/>
                <w:color w:val="auto"/>
                <w:spacing w:val="-11"/>
                <w:sz w:val="21"/>
                <w:szCs w:val="21"/>
              </w:rPr>
            </w:pPr>
            <w:r>
              <w:rPr>
                <w:rFonts w:hint="eastAsia" w:ascii="仿宋_GB2312" w:hAnsi="仿宋_GB2312" w:eastAsia="仿宋_GB2312" w:cs="仿宋_GB2312"/>
                <w:color w:val="auto"/>
                <w:spacing w:val="-11"/>
                <w:sz w:val="21"/>
                <w:szCs w:val="21"/>
              </w:rPr>
              <w:t>专门从事民族研究的省级科研机构，主要研究涉及民族学、人类学、民族史、民族问题等领域。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759" w:type="dxa"/>
            <w:vAlign w:val="center"/>
          </w:tcPr>
          <w:p>
            <w:pPr>
              <w:spacing w:line="580" w:lineRule="exact"/>
              <w:jc w:val="center"/>
              <w:rPr>
                <w:rFonts w:hint="eastAsia" w:ascii="仿宋_GB2312" w:hAnsi="仿宋_GB2312" w:eastAsia="仿宋_GB2312" w:cs="仿宋_GB2312"/>
                <w:color w:val="auto"/>
                <w:spacing w:val="-11"/>
                <w:sz w:val="21"/>
                <w:szCs w:val="21"/>
                <w:lang w:val="en-US" w:eastAsia="zh-CN"/>
              </w:rPr>
            </w:pPr>
            <w:r>
              <w:rPr>
                <w:rFonts w:hint="eastAsia" w:ascii="仿宋_GB2312" w:hAnsi="仿宋_GB2312" w:eastAsia="仿宋_GB2312" w:cs="仿宋_GB2312"/>
                <w:color w:val="auto"/>
                <w:spacing w:val="-11"/>
                <w:sz w:val="21"/>
                <w:szCs w:val="21"/>
                <w:lang w:val="en-US" w:eastAsia="zh-CN"/>
              </w:rPr>
              <w:t>四川省藏文学校</w:t>
            </w:r>
          </w:p>
        </w:tc>
        <w:tc>
          <w:tcPr>
            <w:tcW w:w="10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color w:val="auto"/>
                <w:spacing w:val="-11"/>
                <w:sz w:val="21"/>
                <w:szCs w:val="21"/>
              </w:rPr>
            </w:pPr>
            <w:r>
              <w:rPr>
                <w:rFonts w:hint="eastAsia" w:ascii="仿宋_GB2312" w:hAnsi="仿宋_GB2312" w:eastAsia="仿宋_GB2312" w:cs="仿宋_GB2312"/>
                <w:color w:val="auto"/>
                <w:spacing w:val="-11"/>
                <w:sz w:val="21"/>
                <w:szCs w:val="21"/>
              </w:rPr>
              <w:t>全额拨款</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color w:val="auto"/>
                <w:spacing w:val="-11"/>
                <w:sz w:val="21"/>
                <w:szCs w:val="21"/>
              </w:rPr>
            </w:pPr>
            <w:r>
              <w:rPr>
                <w:rFonts w:hint="eastAsia" w:ascii="仿宋_GB2312" w:hAnsi="仿宋_GB2312" w:eastAsia="仿宋_GB2312" w:cs="仿宋_GB2312"/>
                <w:color w:val="auto"/>
                <w:spacing w:val="-17"/>
                <w:sz w:val="21"/>
                <w:szCs w:val="21"/>
              </w:rPr>
              <w:t>未分类事业单位</w:t>
            </w:r>
          </w:p>
        </w:tc>
        <w:tc>
          <w:tcPr>
            <w:tcW w:w="126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color w:val="auto"/>
                <w:spacing w:val="-11"/>
                <w:sz w:val="21"/>
                <w:szCs w:val="21"/>
                <w:lang w:val="en-US" w:eastAsia="zh-CN"/>
              </w:rPr>
            </w:pPr>
            <w:r>
              <w:rPr>
                <w:rFonts w:hint="eastAsia" w:ascii="仿宋_GB2312" w:hAnsi="仿宋_GB2312" w:eastAsia="仿宋_GB2312" w:cs="仿宋_GB2312"/>
                <w:color w:val="auto"/>
                <w:spacing w:val="-11"/>
                <w:sz w:val="21"/>
                <w:szCs w:val="21"/>
                <w:lang w:val="en-US" w:eastAsia="zh-CN"/>
              </w:rPr>
              <w:t>甘孜州康定市炉城镇西大街296号</w:t>
            </w:r>
          </w:p>
        </w:tc>
        <w:tc>
          <w:tcPr>
            <w:tcW w:w="42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color w:val="auto"/>
                <w:spacing w:val="-11"/>
                <w:sz w:val="21"/>
                <w:szCs w:val="21"/>
              </w:rPr>
            </w:pPr>
            <w:r>
              <w:rPr>
                <w:rFonts w:hint="eastAsia" w:ascii="仿宋_GB2312" w:hAnsi="仿宋_GB2312" w:eastAsia="仿宋_GB2312" w:cs="仿宋_GB2312"/>
                <w:color w:val="auto"/>
                <w:spacing w:val="-11"/>
                <w:sz w:val="21"/>
                <w:szCs w:val="21"/>
              </w:rPr>
              <w:t>以系统传承、弘扬藏民族优秀传统文化和培养社会主义合格建设人才为宗旨，为四川</w:t>
            </w:r>
            <w:r>
              <w:rPr>
                <w:rFonts w:hint="eastAsia" w:ascii="仿宋_GB2312" w:hAnsi="仿宋_GB2312" w:eastAsia="仿宋_GB2312" w:cs="仿宋_GB2312"/>
                <w:color w:val="auto"/>
                <w:spacing w:val="-11"/>
                <w:sz w:val="21"/>
                <w:szCs w:val="21"/>
                <w:lang w:val="en-US" w:eastAsia="zh-CN"/>
              </w:rPr>
              <w:t>涉</w:t>
            </w:r>
            <w:r>
              <w:rPr>
                <w:rFonts w:hint="eastAsia" w:ascii="仿宋_GB2312" w:hAnsi="仿宋_GB2312" w:eastAsia="仿宋_GB2312" w:cs="仿宋_GB2312"/>
                <w:color w:val="auto"/>
                <w:spacing w:val="-11"/>
                <w:sz w:val="21"/>
                <w:szCs w:val="21"/>
              </w:rPr>
              <w:t>藏</w:t>
            </w:r>
            <w:r>
              <w:rPr>
                <w:rFonts w:hint="eastAsia" w:ascii="仿宋_GB2312" w:hAnsi="仿宋_GB2312" w:eastAsia="仿宋_GB2312" w:cs="仿宋_GB2312"/>
                <w:color w:val="auto"/>
                <w:spacing w:val="-11"/>
                <w:sz w:val="21"/>
                <w:szCs w:val="21"/>
                <w:lang w:val="en-US" w:eastAsia="zh-CN"/>
              </w:rPr>
              <w:t>地</w:t>
            </w:r>
            <w:r>
              <w:rPr>
                <w:rFonts w:hint="eastAsia" w:ascii="仿宋_GB2312" w:hAnsi="仿宋_GB2312" w:eastAsia="仿宋_GB2312" w:cs="仿宋_GB2312"/>
                <w:color w:val="auto"/>
                <w:spacing w:val="-11"/>
                <w:sz w:val="21"/>
                <w:szCs w:val="21"/>
              </w:rPr>
              <w:t>区经济社会发展培养藏汉双语人才。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759" w:type="dxa"/>
            <w:vAlign w:val="center"/>
          </w:tcPr>
          <w:p>
            <w:pPr>
              <w:spacing w:line="580" w:lineRule="exact"/>
              <w:jc w:val="center"/>
              <w:rPr>
                <w:rFonts w:hint="eastAsia" w:ascii="仿宋_GB2312" w:hAnsi="仿宋_GB2312" w:eastAsia="仿宋_GB2312" w:cs="仿宋_GB2312"/>
                <w:color w:val="auto"/>
                <w:spacing w:val="-11"/>
                <w:sz w:val="21"/>
                <w:szCs w:val="21"/>
              </w:rPr>
            </w:pPr>
            <w:r>
              <w:rPr>
                <w:rFonts w:hint="eastAsia" w:ascii="仿宋_GB2312" w:hAnsi="仿宋_GB2312" w:eastAsia="仿宋_GB2312" w:cs="仿宋_GB2312"/>
                <w:color w:val="auto"/>
                <w:spacing w:val="-11"/>
                <w:sz w:val="21"/>
                <w:szCs w:val="21"/>
              </w:rPr>
              <w:t>四川省彝文学校</w:t>
            </w:r>
          </w:p>
        </w:tc>
        <w:tc>
          <w:tcPr>
            <w:tcW w:w="10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color w:val="auto"/>
                <w:spacing w:val="-11"/>
                <w:sz w:val="21"/>
                <w:szCs w:val="21"/>
              </w:rPr>
            </w:pPr>
            <w:r>
              <w:rPr>
                <w:rFonts w:hint="eastAsia" w:ascii="仿宋_GB2312" w:hAnsi="仿宋_GB2312" w:eastAsia="仿宋_GB2312" w:cs="仿宋_GB2312"/>
                <w:color w:val="auto"/>
                <w:spacing w:val="-11"/>
                <w:sz w:val="21"/>
                <w:szCs w:val="21"/>
              </w:rPr>
              <w:t>全额拨款</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color w:val="auto"/>
                <w:spacing w:val="-11"/>
                <w:sz w:val="21"/>
                <w:szCs w:val="21"/>
              </w:rPr>
            </w:pPr>
            <w:r>
              <w:rPr>
                <w:rFonts w:hint="eastAsia" w:ascii="仿宋_GB2312" w:hAnsi="仿宋_GB2312" w:eastAsia="仿宋_GB2312" w:cs="仿宋_GB2312"/>
                <w:color w:val="auto"/>
                <w:spacing w:val="-17"/>
                <w:sz w:val="21"/>
                <w:szCs w:val="21"/>
              </w:rPr>
              <w:t>未分类事业单位</w:t>
            </w:r>
          </w:p>
        </w:tc>
        <w:tc>
          <w:tcPr>
            <w:tcW w:w="126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color w:val="auto"/>
                <w:spacing w:val="-11"/>
                <w:sz w:val="21"/>
                <w:szCs w:val="21"/>
              </w:rPr>
            </w:pPr>
            <w:r>
              <w:rPr>
                <w:rFonts w:hint="eastAsia" w:ascii="仿宋_GB2312" w:hAnsi="仿宋_GB2312" w:eastAsia="仿宋_GB2312" w:cs="仿宋_GB2312"/>
                <w:color w:val="auto"/>
                <w:spacing w:val="-11"/>
                <w:sz w:val="21"/>
                <w:szCs w:val="21"/>
              </w:rPr>
              <w:t>凉山州西昌市北街老统部巷28号</w:t>
            </w:r>
          </w:p>
        </w:tc>
        <w:tc>
          <w:tcPr>
            <w:tcW w:w="42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color w:val="auto"/>
                <w:spacing w:val="-17"/>
                <w:sz w:val="21"/>
                <w:szCs w:val="21"/>
              </w:rPr>
            </w:pPr>
            <w:r>
              <w:rPr>
                <w:rFonts w:hint="eastAsia" w:ascii="仿宋_GB2312" w:hAnsi="仿宋_GB2312" w:eastAsia="仿宋_GB2312" w:cs="仿宋_GB2312"/>
                <w:color w:val="auto"/>
                <w:spacing w:val="-17"/>
                <w:sz w:val="21"/>
                <w:szCs w:val="21"/>
              </w:rPr>
              <w:t>以系统传承、弘扬彝族优秀传统文化和培养社会主义合格建设人才为宗旨，为四川彝区经济社会发展培养彝汉双语人才。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759" w:type="dxa"/>
            <w:vAlign w:val="center"/>
          </w:tcPr>
          <w:p>
            <w:pPr>
              <w:spacing w:line="580" w:lineRule="exact"/>
              <w:jc w:val="center"/>
              <w:rPr>
                <w:rFonts w:hint="eastAsia" w:ascii="仿宋_GB2312" w:hAnsi="仿宋_GB2312" w:eastAsia="仿宋_GB2312" w:cs="仿宋_GB2312"/>
                <w:color w:val="auto"/>
                <w:spacing w:val="-11"/>
                <w:sz w:val="21"/>
                <w:szCs w:val="21"/>
                <w:lang w:val="en-US" w:eastAsia="zh-CN"/>
              </w:rPr>
            </w:pPr>
            <w:r>
              <w:rPr>
                <w:rFonts w:hint="eastAsia" w:ascii="仿宋_GB2312" w:hAnsi="仿宋_GB2312" w:eastAsia="仿宋_GB2312" w:cs="仿宋_GB2312"/>
                <w:color w:val="auto"/>
                <w:spacing w:val="-11"/>
                <w:sz w:val="21"/>
                <w:szCs w:val="21"/>
                <w:lang w:val="en-US" w:eastAsia="zh-CN"/>
              </w:rPr>
              <w:t>四川神哲学院</w:t>
            </w:r>
          </w:p>
        </w:tc>
        <w:tc>
          <w:tcPr>
            <w:tcW w:w="10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color w:val="auto"/>
                <w:spacing w:val="-11"/>
                <w:sz w:val="21"/>
                <w:szCs w:val="21"/>
              </w:rPr>
            </w:pPr>
            <w:r>
              <w:rPr>
                <w:rFonts w:hint="eastAsia" w:ascii="仿宋_GB2312" w:hAnsi="仿宋_GB2312" w:eastAsia="仿宋_GB2312" w:cs="仿宋_GB2312"/>
                <w:color w:val="auto"/>
                <w:spacing w:val="-11"/>
                <w:sz w:val="21"/>
                <w:szCs w:val="21"/>
              </w:rPr>
              <w:t>全额拨款</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color w:val="auto"/>
                <w:spacing w:val="-11"/>
                <w:sz w:val="21"/>
                <w:szCs w:val="21"/>
              </w:rPr>
            </w:pPr>
            <w:r>
              <w:rPr>
                <w:rFonts w:hint="eastAsia" w:ascii="仿宋_GB2312" w:hAnsi="仿宋_GB2312" w:eastAsia="仿宋_GB2312" w:cs="仿宋_GB2312"/>
                <w:color w:val="auto"/>
                <w:spacing w:val="-17"/>
                <w:sz w:val="21"/>
                <w:szCs w:val="21"/>
              </w:rPr>
              <w:t>未分类事业单位</w:t>
            </w:r>
          </w:p>
        </w:tc>
        <w:tc>
          <w:tcPr>
            <w:tcW w:w="126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color w:val="auto"/>
                <w:spacing w:val="-11"/>
                <w:sz w:val="21"/>
                <w:szCs w:val="21"/>
                <w:lang w:val="en-US" w:eastAsia="zh-CN"/>
              </w:rPr>
            </w:pPr>
            <w:r>
              <w:rPr>
                <w:rFonts w:hint="eastAsia" w:ascii="仿宋_GB2312" w:hAnsi="仿宋_GB2312" w:eastAsia="仿宋_GB2312" w:cs="仿宋_GB2312"/>
                <w:color w:val="auto"/>
                <w:spacing w:val="-11"/>
                <w:sz w:val="21"/>
                <w:szCs w:val="21"/>
                <w:lang w:val="en-US" w:eastAsia="zh-CN"/>
              </w:rPr>
              <w:t>成都市郫都区红光镇河滨街128号</w:t>
            </w:r>
          </w:p>
        </w:tc>
        <w:tc>
          <w:tcPr>
            <w:tcW w:w="42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color w:val="auto"/>
                <w:spacing w:val="-17"/>
                <w:sz w:val="21"/>
                <w:szCs w:val="21"/>
              </w:rPr>
            </w:pPr>
            <w:r>
              <w:rPr>
                <w:rFonts w:hint="eastAsia" w:ascii="仿宋_GB2312" w:hAnsi="仿宋_GB2312" w:eastAsia="仿宋_GB2312" w:cs="仿宋_GB2312"/>
                <w:color w:val="auto"/>
                <w:spacing w:val="-17"/>
                <w:sz w:val="21"/>
                <w:szCs w:val="21"/>
              </w:rPr>
              <w:t>面向西南三省一市培养爱国的天主教神职人员。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759" w:type="dxa"/>
            <w:vAlign w:val="center"/>
          </w:tcPr>
          <w:p>
            <w:pPr>
              <w:spacing w:line="580" w:lineRule="exact"/>
              <w:jc w:val="center"/>
              <w:rPr>
                <w:rFonts w:hint="eastAsia" w:ascii="仿宋_GB2312" w:hAnsi="仿宋_GB2312" w:eastAsia="仿宋_GB2312" w:cs="仿宋_GB2312"/>
                <w:color w:val="auto"/>
                <w:spacing w:val="-11"/>
                <w:sz w:val="21"/>
                <w:szCs w:val="21"/>
                <w:lang w:val="en-US" w:eastAsia="zh-CN"/>
              </w:rPr>
            </w:pPr>
            <w:r>
              <w:rPr>
                <w:rFonts w:hint="eastAsia" w:ascii="仿宋_GB2312" w:hAnsi="仿宋_GB2312" w:eastAsia="仿宋_GB2312" w:cs="仿宋_GB2312"/>
                <w:color w:val="auto"/>
                <w:spacing w:val="-11"/>
                <w:sz w:val="21"/>
                <w:szCs w:val="21"/>
                <w:lang w:val="en-US" w:eastAsia="zh-CN"/>
              </w:rPr>
              <w:t>四川尼众佛学院</w:t>
            </w:r>
          </w:p>
        </w:tc>
        <w:tc>
          <w:tcPr>
            <w:tcW w:w="10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color w:val="auto"/>
                <w:spacing w:val="-11"/>
                <w:sz w:val="21"/>
                <w:szCs w:val="21"/>
              </w:rPr>
            </w:pPr>
            <w:r>
              <w:rPr>
                <w:rFonts w:hint="eastAsia" w:ascii="仿宋_GB2312" w:hAnsi="仿宋_GB2312" w:eastAsia="仿宋_GB2312" w:cs="仿宋_GB2312"/>
                <w:color w:val="auto"/>
                <w:spacing w:val="-11"/>
                <w:sz w:val="21"/>
                <w:szCs w:val="21"/>
              </w:rPr>
              <w:t>全额拨款</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color w:val="auto"/>
                <w:spacing w:val="-11"/>
                <w:sz w:val="21"/>
                <w:szCs w:val="21"/>
              </w:rPr>
            </w:pPr>
            <w:r>
              <w:rPr>
                <w:rFonts w:hint="eastAsia" w:ascii="仿宋_GB2312" w:hAnsi="仿宋_GB2312" w:eastAsia="仿宋_GB2312" w:cs="仿宋_GB2312"/>
                <w:color w:val="auto"/>
                <w:spacing w:val="-17"/>
                <w:sz w:val="21"/>
                <w:szCs w:val="21"/>
              </w:rPr>
              <w:t>未分类事业单位</w:t>
            </w:r>
          </w:p>
        </w:tc>
        <w:tc>
          <w:tcPr>
            <w:tcW w:w="1266"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color w:val="auto"/>
                <w:spacing w:val="-11"/>
                <w:sz w:val="21"/>
                <w:szCs w:val="21"/>
                <w:lang w:val="en-US" w:eastAsia="zh-CN"/>
              </w:rPr>
            </w:pPr>
            <w:r>
              <w:rPr>
                <w:rFonts w:hint="eastAsia" w:ascii="仿宋_GB2312" w:hAnsi="仿宋_GB2312" w:eastAsia="仿宋_GB2312" w:cs="仿宋_GB2312"/>
                <w:color w:val="auto"/>
                <w:spacing w:val="-11"/>
                <w:sz w:val="21"/>
                <w:szCs w:val="21"/>
                <w:lang w:val="en-US" w:eastAsia="zh-CN"/>
              </w:rPr>
              <w:t>成都市彭州市金彭故径街57号</w:t>
            </w:r>
          </w:p>
        </w:tc>
        <w:tc>
          <w:tcPr>
            <w:tcW w:w="42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color w:val="auto"/>
                <w:spacing w:val="-17"/>
                <w:sz w:val="21"/>
                <w:szCs w:val="21"/>
              </w:rPr>
            </w:pPr>
            <w:r>
              <w:rPr>
                <w:rFonts w:hint="eastAsia" w:ascii="仿宋_GB2312" w:hAnsi="仿宋_GB2312" w:eastAsia="仿宋_GB2312" w:cs="仿宋_GB2312"/>
                <w:color w:val="auto"/>
                <w:spacing w:val="-17"/>
                <w:sz w:val="21"/>
                <w:szCs w:val="21"/>
              </w:rPr>
              <w:t>面向全国培养佛教比丘尼中级、高级人员。</w:t>
            </w:r>
          </w:p>
        </w:tc>
      </w:tr>
    </w:tbl>
    <w:p>
      <w:pPr>
        <w:keepNext w:val="0"/>
        <w:keepLines w:val="0"/>
        <w:pageBreakBefore w:val="0"/>
        <w:widowControl w:val="0"/>
        <w:kinsoku/>
        <w:wordWrap/>
        <w:overflowPunct/>
        <w:topLinePunct w:val="0"/>
        <w:autoSpaceDE/>
        <w:autoSpaceDN/>
        <w:bidi w:val="0"/>
        <w:adjustRightInd/>
        <w:spacing w:line="600" w:lineRule="exact"/>
        <w:ind w:firstLine="572" w:firstLineChars="200"/>
        <w:textAlignment w:val="auto"/>
        <w:outlineLvl w:val="9"/>
        <w:rPr>
          <w:rFonts w:hint="eastAsia" w:ascii="黑体" w:eastAsia="黑体"/>
          <w:bCs/>
          <w:color w:val="auto"/>
          <w:spacing w:val="-17"/>
          <w:sz w:val="32"/>
          <w:szCs w:val="32"/>
        </w:rPr>
      </w:pPr>
      <w:r>
        <w:rPr>
          <w:rFonts w:hint="eastAsia" w:ascii="黑体" w:eastAsia="黑体"/>
          <w:bCs/>
          <w:color w:val="auto"/>
          <w:spacing w:val="-17"/>
          <w:sz w:val="32"/>
          <w:szCs w:val="32"/>
        </w:rPr>
        <w:t>二、招聘对象、范围及基本条件</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hint="eastAsia" w:ascii="楷体_GB2312" w:eastAsia="楷体_GB2312"/>
          <w:b/>
          <w:color w:val="auto"/>
          <w:spacing w:val="0"/>
          <w:sz w:val="32"/>
          <w:szCs w:val="32"/>
        </w:rPr>
      </w:pPr>
      <w:r>
        <w:rPr>
          <w:rFonts w:hint="eastAsia" w:ascii="楷体_GB2312" w:eastAsia="楷体_GB2312"/>
          <w:b/>
          <w:color w:val="auto"/>
          <w:spacing w:val="0"/>
          <w:sz w:val="32"/>
          <w:szCs w:val="32"/>
        </w:rPr>
        <w:t>（一）招聘对象和范围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面向全国招聘202</w:t>
      </w:r>
      <w:r>
        <w:rPr>
          <w:rFonts w:hint="eastAsia" w:ascii="仿宋_GB2312" w:hAnsi="仿宋_GB2312" w:eastAsia="仿宋_GB2312" w:cs="仿宋_GB2312"/>
          <w:color w:val="auto"/>
          <w:spacing w:val="0"/>
          <w:sz w:val="32"/>
          <w:szCs w:val="32"/>
          <w:lang w:val="en-US" w:eastAsia="zh-CN"/>
        </w:rPr>
        <w:t>1</w:t>
      </w:r>
      <w:r>
        <w:rPr>
          <w:rFonts w:hint="eastAsia" w:ascii="仿宋_GB2312" w:hAnsi="仿宋_GB2312" w:eastAsia="仿宋_GB2312" w:cs="仿宋_GB2312"/>
          <w:color w:val="auto"/>
          <w:spacing w:val="0"/>
          <w:sz w:val="32"/>
          <w:szCs w:val="32"/>
        </w:rPr>
        <w:t>年</w:t>
      </w:r>
      <w:r>
        <w:rPr>
          <w:rFonts w:hint="eastAsia" w:ascii="仿宋_GB2312" w:hAnsi="仿宋_GB2312" w:eastAsia="仿宋_GB2312" w:cs="仿宋_GB2312"/>
          <w:color w:val="auto"/>
          <w:spacing w:val="0"/>
          <w:sz w:val="32"/>
          <w:szCs w:val="32"/>
          <w:lang w:val="en-US" w:eastAsia="zh-CN"/>
        </w:rPr>
        <w:t>7</w:t>
      </w:r>
      <w:r>
        <w:rPr>
          <w:rFonts w:hint="eastAsia" w:ascii="仿宋_GB2312" w:hAnsi="仿宋_GB2312" w:eastAsia="仿宋_GB2312" w:cs="仿宋_GB2312"/>
          <w:color w:val="auto"/>
          <w:spacing w:val="0"/>
          <w:sz w:val="32"/>
          <w:szCs w:val="32"/>
        </w:rPr>
        <w:t>月31日前取得国民教育大学本科及以上学历</w:t>
      </w:r>
      <w:r>
        <w:rPr>
          <w:rFonts w:hint="eastAsia" w:ascii="仿宋_GB2312" w:hAnsi="仿宋_GB2312" w:eastAsia="仿宋_GB2312" w:cs="仿宋_GB2312"/>
          <w:color w:val="auto"/>
          <w:spacing w:val="0"/>
          <w:sz w:val="32"/>
          <w:szCs w:val="32"/>
          <w:lang w:eastAsia="zh-CN"/>
        </w:rPr>
        <w:t>和学士及以上学位（</w:t>
      </w:r>
      <w:r>
        <w:rPr>
          <w:rFonts w:hint="eastAsia" w:ascii="仿宋_GB2312" w:hAnsi="仿宋_GB2312" w:eastAsia="仿宋_GB2312" w:cs="仿宋_GB2312"/>
          <w:color w:val="auto"/>
          <w:spacing w:val="0"/>
          <w:sz w:val="32"/>
          <w:szCs w:val="32"/>
          <w:lang w:val="en-US" w:eastAsia="zh-CN"/>
        </w:rPr>
        <w:t>除四川省藏文学校美术课教师</w:t>
      </w:r>
      <w:bookmarkStart w:id="0" w:name="_GoBack"/>
      <w:bookmarkEnd w:id="0"/>
      <w:r>
        <w:rPr>
          <w:rFonts w:hint="eastAsia" w:ascii="仿宋_GB2312" w:hAnsi="仿宋_GB2312" w:eastAsia="仿宋_GB2312" w:cs="仿宋_GB2312"/>
          <w:color w:val="auto"/>
          <w:spacing w:val="0"/>
          <w:sz w:val="32"/>
          <w:szCs w:val="32"/>
          <w:lang w:val="en-US" w:eastAsia="zh-CN"/>
        </w:rPr>
        <w:t>为</w:t>
      </w:r>
      <w:r>
        <w:rPr>
          <w:rFonts w:hint="eastAsia" w:ascii="仿宋_GB2312" w:hAnsi="仿宋_GB2312" w:eastAsia="仿宋_GB2312" w:cs="仿宋_GB2312"/>
          <w:color w:val="auto"/>
          <w:spacing w:val="0"/>
          <w:sz w:val="32"/>
          <w:szCs w:val="32"/>
        </w:rPr>
        <w:t>国民教育</w:t>
      </w:r>
      <w:r>
        <w:rPr>
          <w:rFonts w:hint="eastAsia" w:ascii="仿宋_GB2312" w:hAnsi="仿宋_GB2312" w:eastAsia="仿宋_GB2312" w:cs="仿宋_GB2312"/>
          <w:color w:val="auto"/>
          <w:spacing w:val="0"/>
          <w:sz w:val="32"/>
          <w:szCs w:val="32"/>
          <w:lang w:val="en-US" w:eastAsia="zh-CN"/>
        </w:rPr>
        <w:t>专科</w:t>
      </w:r>
      <w:r>
        <w:rPr>
          <w:rFonts w:hint="eastAsia" w:ascii="仿宋_GB2312" w:hAnsi="仿宋_GB2312" w:eastAsia="仿宋_GB2312" w:cs="仿宋_GB2312"/>
          <w:color w:val="auto"/>
          <w:spacing w:val="0"/>
          <w:sz w:val="32"/>
          <w:szCs w:val="32"/>
        </w:rPr>
        <w:t>及以上学历</w:t>
      </w:r>
      <w:r>
        <w:rPr>
          <w:rFonts w:hint="eastAsia" w:ascii="仿宋_GB2312" w:hAnsi="仿宋_GB2312" w:eastAsia="仿宋_GB2312" w:cs="仿宋_GB2312"/>
          <w:color w:val="auto"/>
          <w:spacing w:val="0"/>
          <w:sz w:val="32"/>
          <w:szCs w:val="32"/>
          <w:lang w:val="en-US" w:eastAsia="zh-CN"/>
        </w:rPr>
        <w:t>外</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，并完全符合《四川省民族宗教委直属事业单位2020年</w:t>
      </w:r>
      <w:r>
        <w:rPr>
          <w:rFonts w:hint="eastAsia" w:ascii="仿宋_GB2312" w:hAnsi="仿宋_GB2312" w:eastAsia="仿宋_GB2312" w:cs="仿宋_GB2312"/>
          <w:color w:val="auto"/>
          <w:spacing w:val="0"/>
          <w:sz w:val="32"/>
          <w:szCs w:val="32"/>
          <w:lang w:val="en-US" w:eastAsia="zh-CN"/>
        </w:rPr>
        <w:t>12</w:t>
      </w:r>
      <w:r>
        <w:rPr>
          <w:rFonts w:hint="eastAsia" w:ascii="仿宋_GB2312" w:hAnsi="仿宋_GB2312" w:eastAsia="仿宋_GB2312" w:cs="仿宋_GB2312"/>
          <w:color w:val="auto"/>
          <w:spacing w:val="0"/>
          <w:sz w:val="32"/>
          <w:szCs w:val="32"/>
        </w:rPr>
        <w:t>月公开招聘工作人员岗位和条件要求一览表》（含表注，以下简称《岗位和条件要求一览表》）相关岗位条件要求和本公告其他要求的人员。其中，202</w:t>
      </w:r>
      <w:r>
        <w:rPr>
          <w:rFonts w:hint="eastAsia" w:ascii="仿宋_GB2312" w:hAnsi="仿宋_GB2312" w:eastAsia="仿宋_GB2312" w:cs="仿宋_GB2312"/>
          <w:color w:val="auto"/>
          <w:spacing w:val="0"/>
          <w:sz w:val="32"/>
          <w:szCs w:val="32"/>
          <w:lang w:val="en-US" w:eastAsia="zh-CN"/>
        </w:rPr>
        <w:t>1</w:t>
      </w:r>
      <w:r>
        <w:rPr>
          <w:rFonts w:hint="eastAsia" w:ascii="仿宋_GB2312" w:hAnsi="仿宋_GB2312" w:eastAsia="仿宋_GB2312" w:cs="仿宋_GB2312"/>
          <w:color w:val="auto"/>
          <w:spacing w:val="0"/>
          <w:sz w:val="32"/>
          <w:szCs w:val="32"/>
        </w:rPr>
        <w:t>年高校应届毕业生必须在202</w:t>
      </w:r>
      <w:r>
        <w:rPr>
          <w:rFonts w:hint="eastAsia" w:ascii="仿宋_GB2312" w:hAnsi="仿宋_GB2312" w:eastAsia="仿宋_GB2312" w:cs="仿宋_GB2312"/>
          <w:color w:val="auto"/>
          <w:spacing w:val="0"/>
          <w:sz w:val="32"/>
          <w:szCs w:val="32"/>
          <w:lang w:val="en-US" w:eastAsia="zh-CN"/>
        </w:rPr>
        <w:t>1</w:t>
      </w:r>
      <w:r>
        <w:rPr>
          <w:rFonts w:hint="eastAsia" w:ascii="仿宋_GB2312" w:hAnsi="仿宋_GB2312" w:eastAsia="仿宋_GB2312" w:cs="仿宋_GB2312"/>
          <w:color w:val="auto"/>
          <w:spacing w:val="0"/>
          <w:sz w:val="32"/>
          <w:szCs w:val="32"/>
        </w:rPr>
        <w:t>年</w:t>
      </w:r>
      <w:r>
        <w:rPr>
          <w:rFonts w:hint="eastAsia" w:ascii="仿宋_GB2312" w:hAnsi="仿宋_GB2312" w:eastAsia="仿宋_GB2312" w:cs="仿宋_GB2312"/>
          <w:color w:val="auto"/>
          <w:spacing w:val="0"/>
          <w:sz w:val="32"/>
          <w:szCs w:val="32"/>
          <w:lang w:val="en-US" w:eastAsia="zh-CN"/>
        </w:rPr>
        <w:t>7</w:t>
      </w:r>
      <w:r>
        <w:rPr>
          <w:rFonts w:hint="eastAsia" w:ascii="仿宋_GB2312" w:hAnsi="仿宋_GB2312" w:eastAsia="仿宋_GB2312" w:cs="仿宋_GB2312"/>
          <w:color w:val="auto"/>
          <w:spacing w:val="0"/>
          <w:sz w:val="32"/>
          <w:szCs w:val="32"/>
        </w:rPr>
        <w:t>月31日前取得符合岗位条件要求的毕业证等证书，并凭证书办理确认等手续；其他报考者必须在面试资格审查前取得符合岗位条件要求的国家承认学历的毕业证等证书。未在规定时间取得并提供有关证书的，视为报考者自动放弃，责任自负。</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报名时</w:t>
      </w:r>
      <w:r>
        <w:rPr>
          <w:rFonts w:hint="eastAsia" w:ascii="仿宋_GB2312" w:hAnsi="华文仿宋" w:eastAsia="仿宋_GB2312"/>
          <w:color w:val="auto"/>
          <w:spacing w:val="0"/>
          <w:sz w:val="32"/>
          <w:szCs w:val="32"/>
        </w:rPr>
        <w:t>四川省民族宗教</w:t>
      </w:r>
      <w:r>
        <w:rPr>
          <w:rFonts w:hint="eastAsia" w:ascii="仿宋_GB2312" w:hAnsi="华文仿宋" w:eastAsia="仿宋_GB2312"/>
          <w:color w:val="auto"/>
          <w:spacing w:val="0"/>
          <w:sz w:val="32"/>
          <w:szCs w:val="32"/>
          <w:lang w:eastAsia="zh-CN"/>
        </w:rPr>
        <w:t>事务委员会</w:t>
      </w:r>
      <w:r>
        <w:rPr>
          <w:rFonts w:hint="eastAsia" w:ascii="仿宋_GB2312" w:hAnsi="华文仿宋" w:eastAsia="仿宋_GB2312"/>
          <w:color w:val="auto"/>
          <w:spacing w:val="0"/>
          <w:sz w:val="32"/>
          <w:szCs w:val="32"/>
          <w:lang w:val="en-US" w:eastAsia="zh-CN"/>
        </w:rPr>
        <w:t>系统</w:t>
      </w:r>
      <w:r>
        <w:rPr>
          <w:rFonts w:hint="eastAsia" w:ascii="仿宋_GB2312" w:hAnsi="仿宋_GB2312" w:eastAsia="仿宋_GB2312" w:cs="仿宋_GB2312"/>
          <w:color w:val="auto"/>
          <w:spacing w:val="0"/>
          <w:sz w:val="32"/>
          <w:szCs w:val="32"/>
        </w:rPr>
        <w:t>在编工作人员，不属本次招聘对象范围。</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hint="eastAsia" w:ascii="楷体_GB2312" w:eastAsia="楷体_GB2312"/>
          <w:b/>
          <w:color w:val="auto"/>
          <w:spacing w:val="0"/>
          <w:sz w:val="32"/>
          <w:szCs w:val="32"/>
        </w:rPr>
      </w:pPr>
      <w:r>
        <w:rPr>
          <w:rFonts w:hint="eastAsia" w:ascii="楷体_GB2312" w:eastAsia="楷体_GB2312"/>
          <w:b/>
          <w:color w:val="auto"/>
          <w:spacing w:val="0"/>
          <w:sz w:val="32"/>
          <w:szCs w:val="32"/>
        </w:rPr>
        <w:t>（二）基本条件</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bCs/>
          <w:color w:val="auto"/>
          <w:spacing w:val="0"/>
          <w:sz w:val="32"/>
          <w:szCs w:val="32"/>
        </w:rPr>
      </w:pPr>
      <w:r>
        <w:rPr>
          <w:rFonts w:ascii="仿宋_GB2312" w:hAnsi="仿宋_GB2312" w:eastAsia="仿宋_GB2312" w:cs="仿宋_GB2312"/>
          <w:b/>
          <w:bCs/>
          <w:color w:val="auto"/>
          <w:spacing w:val="0"/>
          <w:sz w:val="32"/>
          <w:szCs w:val="32"/>
        </w:rPr>
        <w:t>1</w:t>
      </w:r>
      <w:r>
        <w:rPr>
          <w:rFonts w:hint="eastAsia" w:ascii="仿宋_GB2312" w:hAnsi="仿宋_GB2312" w:eastAsia="仿宋_GB2312" w:cs="仿宋_GB2312"/>
          <w:b/>
          <w:bCs/>
          <w:color w:val="auto"/>
          <w:spacing w:val="0"/>
          <w:sz w:val="32"/>
          <w:szCs w:val="32"/>
        </w:rPr>
        <w:t>、报考者应同时具备的条件：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olor w:val="auto"/>
          <w:spacing w:val="0"/>
          <w:sz w:val="32"/>
          <w:szCs w:val="32"/>
        </w:rPr>
      </w:pPr>
      <w:r>
        <w:rPr>
          <w:rFonts w:ascii="仿宋_GB2312" w:hAnsi="仿宋_GB2312" w:eastAsia="仿宋_GB2312" w:cs="仿宋_GB2312"/>
          <w:color w:val="auto"/>
          <w:spacing w:val="0"/>
          <w:sz w:val="32"/>
          <w:szCs w:val="32"/>
        </w:rPr>
        <w:t>(1)</w:t>
      </w:r>
      <w:r>
        <w:rPr>
          <w:rFonts w:hint="eastAsia" w:ascii="仿宋_GB2312" w:hAnsi="仿宋_GB2312" w:eastAsia="仿宋_GB2312" w:cs="仿宋_GB2312"/>
          <w:color w:val="auto"/>
          <w:spacing w:val="0"/>
          <w:sz w:val="32"/>
          <w:szCs w:val="32"/>
        </w:rPr>
        <w:t>具有中华人民共和国国籍，热爱社会主义祖国，拥护中华人民共和国宪法，拥护中国共产党，遵纪守法，品行端正，有良好的职业道德，爱岗敬业，事业心和责任感强。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olor w:val="auto"/>
          <w:spacing w:val="0"/>
          <w:sz w:val="32"/>
          <w:szCs w:val="32"/>
        </w:rPr>
      </w:pPr>
      <w:r>
        <w:rPr>
          <w:rFonts w:ascii="仿宋_GB2312" w:hAnsi="仿宋_GB2312" w:eastAsia="仿宋_GB2312" w:cs="仿宋_GB2312"/>
          <w:color w:val="auto"/>
          <w:spacing w:val="0"/>
          <w:sz w:val="32"/>
          <w:szCs w:val="32"/>
        </w:rPr>
        <w:t>(2)</w:t>
      </w:r>
      <w:r>
        <w:rPr>
          <w:rFonts w:hint="eastAsia" w:ascii="仿宋_GB2312" w:hAnsi="仿宋_GB2312" w:eastAsia="仿宋_GB2312" w:cs="仿宋_GB2312"/>
          <w:color w:val="auto"/>
          <w:spacing w:val="0"/>
          <w:sz w:val="32"/>
          <w:szCs w:val="32"/>
        </w:rPr>
        <w:t>身体健康，体检合格，具有</w:t>
      </w:r>
      <w:r>
        <w:rPr>
          <w:rFonts w:hint="eastAsia" w:ascii="仿宋_GB2312" w:hAnsi="仿宋_GB2312" w:eastAsia="仿宋_GB2312" w:cs="仿宋_GB2312"/>
          <w:color w:val="auto"/>
          <w:spacing w:val="0"/>
          <w:sz w:val="32"/>
          <w:szCs w:val="32"/>
          <w:lang w:eastAsia="zh-CN"/>
        </w:rPr>
        <w:t>能</w:t>
      </w:r>
      <w:r>
        <w:rPr>
          <w:rFonts w:hint="eastAsia" w:ascii="仿宋_GB2312" w:hAnsi="仿宋_GB2312" w:eastAsia="仿宋_GB2312" w:cs="仿宋_GB2312"/>
          <w:color w:val="auto"/>
          <w:spacing w:val="0"/>
          <w:sz w:val="32"/>
          <w:szCs w:val="32"/>
        </w:rPr>
        <w:t>经常</w:t>
      </w:r>
      <w:r>
        <w:rPr>
          <w:rFonts w:hint="eastAsia" w:ascii="仿宋_GB2312" w:hAnsi="仿宋_GB2312" w:eastAsia="仿宋_GB2312" w:cs="仿宋_GB2312"/>
          <w:color w:val="auto"/>
          <w:spacing w:val="0"/>
          <w:sz w:val="32"/>
          <w:szCs w:val="32"/>
          <w:lang w:eastAsia="zh-CN"/>
        </w:rPr>
        <w:t>到</w:t>
      </w:r>
      <w:r>
        <w:rPr>
          <w:rFonts w:hint="eastAsia" w:ascii="仿宋_GB2312" w:hAnsi="仿宋_GB2312" w:eastAsia="仿宋_GB2312" w:cs="仿宋_GB2312"/>
          <w:color w:val="auto"/>
          <w:spacing w:val="0"/>
          <w:sz w:val="32"/>
          <w:szCs w:val="32"/>
        </w:rPr>
        <w:t>民族地区和高原正常履行招聘岗位职责的身体条件。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olor w:val="auto"/>
          <w:spacing w:val="0"/>
          <w:sz w:val="32"/>
          <w:szCs w:val="32"/>
        </w:rPr>
      </w:pPr>
      <w:r>
        <w:rPr>
          <w:rFonts w:ascii="仿宋_GB2312" w:hAnsi="仿宋_GB2312" w:eastAsia="仿宋_GB2312" w:cs="仿宋_GB2312"/>
          <w:color w:val="auto"/>
          <w:spacing w:val="0"/>
          <w:sz w:val="32"/>
          <w:szCs w:val="32"/>
        </w:rPr>
        <w:t>(3)</w:t>
      </w:r>
      <w:r>
        <w:rPr>
          <w:rFonts w:hint="eastAsia" w:ascii="仿宋_GB2312" w:hAnsi="仿宋_GB2312" w:eastAsia="仿宋_GB2312" w:cs="仿宋_GB2312"/>
          <w:color w:val="auto"/>
          <w:spacing w:val="0"/>
          <w:sz w:val="32"/>
          <w:szCs w:val="32"/>
        </w:rPr>
        <w:t>具备本公告具体招聘岗位要求的条件和资格（详见《岗位和条件要求一览表》）。其中，报考者本人有效学位证上的学位，应与拟报考岗位的“学位”资格要求相符；报考者本人有效的毕业证所载学历和所获专业名称，应与拟报考岗位的“学历”和“专业条件要求”两栏分别相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olor w:val="auto"/>
          <w:spacing w:val="0"/>
          <w:sz w:val="32"/>
          <w:szCs w:val="32"/>
        </w:rPr>
      </w:pPr>
      <w:r>
        <w:rPr>
          <w:rFonts w:ascii="仿宋_GB2312" w:hAnsi="仿宋_GB2312" w:eastAsia="仿宋_GB2312" w:cs="仿宋_GB2312"/>
          <w:color w:val="auto"/>
          <w:spacing w:val="0"/>
          <w:sz w:val="32"/>
          <w:szCs w:val="32"/>
        </w:rPr>
        <w:t xml:space="preserve">(4) </w:t>
      </w:r>
      <w:r>
        <w:rPr>
          <w:rFonts w:hint="eastAsia" w:ascii="仿宋_GB2312" w:hAnsi="仿宋_GB2312" w:eastAsia="仿宋_GB2312" w:cs="仿宋_GB2312"/>
          <w:color w:val="auto"/>
          <w:spacing w:val="0"/>
          <w:sz w:val="32"/>
          <w:szCs w:val="32"/>
        </w:rPr>
        <w:t>委培、定向毕业生，须征得原委培、定向单位同意。</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hAnsi="仿宋_GB2312" w:eastAsia="仿宋_GB2312"/>
          <w:b/>
          <w:bCs/>
          <w:color w:val="auto"/>
          <w:spacing w:val="0"/>
          <w:sz w:val="32"/>
          <w:szCs w:val="32"/>
        </w:rPr>
      </w:pPr>
      <w:r>
        <w:rPr>
          <w:rFonts w:hint="eastAsia" w:ascii="仿宋_GB2312" w:hAnsi="仿宋_GB2312" w:eastAsia="仿宋_GB2312" w:cs="仿宋_GB2312"/>
          <w:b/>
          <w:bCs/>
          <w:color w:val="auto"/>
          <w:spacing w:val="0"/>
          <w:sz w:val="32"/>
          <w:szCs w:val="32"/>
        </w:rPr>
        <w:t>特别提示：不符报考条件者，请勿报考，否则取消报考或聘用资格，责任由报考者自负。</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hAnsi="仿宋_GB2312" w:eastAsia="仿宋_GB2312"/>
          <w:b/>
          <w:bCs/>
          <w:color w:val="auto"/>
          <w:spacing w:val="0"/>
          <w:sz w:val="32"/>
          <w:szCs w:val="32"/>
        </w:rPr>
      </w:pPr>
      <w:r>
        <w:rPr>
          <w:rFonts w:ascii="仿宋_GB2312" w:hAnsi="仿宋_GB2312" w:eastAsia="仿宋_GB2312" w:cs="仿宋_GB2312"/>
          <w:b/>
          <w:bCs/>
          <w:color w:val="auto"/>
          <w:spacing w:val="0"/>
          <w:sz w:val="32"/>
          <w:szCs w:val="32"/>
        </w:rPr>
        <w:t>2</w:t>
      </w:r>
      <w:r>
        <w:rPr>
          <w:rFonts w:hint="eastAsia" w:ascii="仿宋_GB2312" w:hAnsi="仿宋_GB2312" w:eastAsia="仿宋_GB2312" w:cs="仿宋_GB2312"/>
          <w:b/>
          <w:bCs/>
          <w:color w:val="auto"/>
          <w:spacing w:val="0"/>
          <w:sz w:val="32"/>
          <w:szCs w:val="32"/>
        </w:rPr>
        <w:t>、有下列情况之一者，不得报考：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olor w:val="auto"/>
          <w:spacing w:val="0"/>
          <w:sz w:val="32"/>
          <w:szCs w:val="32"/>
        </w:rPr>
      </w:pPr>
      <w:r>
        <w:rPr>
          <w:rFonts w:ascii="仿宋_GB2312" w:hAnsi="仿宋_GB2312" w:eastAsia="仿宋_GB2312" w:cs="仿宋_GB2312"/>
          <w:color w:val="auto"/>
          <w:spacing w:val="0"/>
          <w:sz w:val="32"/>
          <w:szCs w:val="32"/>
        </w:rPr>
        <w:t>(1)</w:t>
      </w:r>
      <w:r>
        <w:rPr>
          <w:rFonts w:hint="eastAsia" w:ascii="仿宋_GB2312" w:hAnsi="仿宋_GB2312" w:eastAsia="仿宋_GB2312" w:cs="仿宋_GB2312"/>
          <w:color w:val="auto"/>
          <w:spacing w:val="0"/>
          <w:sz w:val="32"/>
          <w:szCs w:val="32"/>
        </w:rPr>
        <w:t>曾受过各类刑事处罚的。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olor w:val="auto"/>
          <w:spacing w:val="0"/>
          <w:sz w:val="32"/>
          <w:szCs w:val="32"/>
        </w:rPr>
      </w:pPr>
      <w:r>
        <w:rPr>
          <w:rFonts w:ascii="仿宋_GB2312" w:hAnsi="仿宋_GB2312" w:eastAsia="仿宋_GB2312" w:cs="仿宋_GB2312"/>
          <w:color w:val="auto"/>
          <w:spacing w:val="0"/>
          <w:sz w:val="32"/>
          <w:szCs w:val="32"/>
        </w:rPr>
        <w:t>(2)</w:t>
      </w:r>
      <w:r>
        <w:rPr>
          <w:rFonts w:hint="eastAsia" w:ascii="仿宋_GB2312" w:hAnsi="仿宋_GB2312" w:eastAsia="仿宋_GB2312" w:cs="仿宋_GB2312"/>
          <w:color w:val="auto"/>
          <w:spacing w:val="0"/>
          <w:sz w:val="32"/>
          <w:szCs w:val="32"/>
        </w:rPr>
        <w:t>曾被开除公职的。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olor w:val="auto"/>
          <w:spacing w:val="0"/>
          <w:sz w:val="32"/>
          <w:szCs w:val="32"/>
        </w:rPr>
      </w:pPr>
      <w:r>
        <w:rPr>
          <w:rFonts w:ascii="仿宋_GB2312" w:hAnsi="仿宋_GB2312" w:eastAsia="仿宋_GB2312" w:cs="仿宋_GB2312"/>
          <w:color w:val="auto"/>
          <w:spacing w:val="0"/>
          <w:sz w:val="32"/>
          <w:szCs w:val="32"/>
        </w:rPr>
        <w:t>(3)</w:t>
      </w:r>
      <w:r>
        <w:rPr>
          <w:rFonts w:hint="eastAsia" w:ascii="仿宋_GB2312" w:hAnsi="仿宋_GB2312" w:eastAsia="仿宋_GB2312" w:cs="仿宋_GB2312"/>
          <w:color w:val="auto"/>
          <w:spacing w:val="0"/>
          <w:sz w:val="32"/>
          <w:szCs w:val="32"/>
        </w:rPr>
        <w:t>有违法、违纪行为正在接受审查、调查的。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olor w:val="auto"/>
          <w:spacing w:val="0"/>
          <w:sz w:val="32"/>
          <w:szCs w:val="32"/>
        </w:rPr>
      </w:pPr>
      <w:r>
        <w:rPr>
          <w:rFonts w:ascii="仿宋_GB2312" w:hAnsi="仿宋_GB2312" w:eastAsia="仿宋_GB2312" w:cs="仿宋_GB2312"/>
          <w:color w:val="auto"/>
          <w:spacing w:val="0"/>
          <w:sz w:val="32"/>
          <w:szCs w:val="32"/>
        </w:rPr>
        <w:t>(4)</w:t>
      </w:r>
      <w:r>
        <w:rPr>
          <w:rFonts w:hint="eastAsia" w:ascii="仿宋_GB2312" w:hAnsi="仿宋_GB2312" w:eastAsia="仿宋_GB2312" w:cs="仿宋_GB2312"/>
          <w:color w:val="auto"/>
          <w:spacing w:val="0"/>
          <w:sz w:val="32"/>
          <w:szCs w:val="32"/>
        </w:rPr>
        <w:t>尚未解除党纪、政纪处分的。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olor w:val="auto"/>
          <w:spacing w:val="0"/>
          <w:sz w:val="32"/>
          <w:szCs w:val="32"/>
        </w:rPr>
      </w:pPr>
      <w:r>
        <w:rPr>
          <w:rFonts w:ascii="仿宋_GB2312" w:hAnsi="仿宋_GB2312" w:eastAsia="仿宋_GB2312" w:cs="仿宋_GB2312"/>
          <w:color w:val="auto"/>
          <w:spacing w:val="0"/>
          <w:sz w:val="32"/>
          <w:szCs w:val="32"/>
        </w:rPr>
        <w:t>(5)</w:t>
      </w:r>
      <w:r>
        <w:rPr>
          <w:rFonts w:hint="eastAsia" w:ascii="仿宋_GB2312" w:hAnsi="仿宋_GB2312" w:eastAsia="仿宋_GB2312" w:cs="仿宋_GB2312"/>
          <w:color w:val="auto"/>
          <w:spacing w:val="0"/>
          <w:sz w:val="32"/>
          <w:szCs w:val="32"/>
        </w:rPr>
        <w:t>按照《事业单位公开招聘人员暂行规定》和《四川省省属事业单位公开招聘工作人员实施细则（试行）》的相关规定应当回避的。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olor w:val="auto"/>
          <w:spacing w:val="0"/>
          <w:sz w:val="32"/>
          <w:szCs w:val="32"/>
        </w:rPr>
      </w:pPr>
      <w:r>
        <w:rPr>
          <w:rFonts w:ascii="仿宋_GB2312" w:hAnsi="仿宋_GB2312" w:eastAsia="仿宋_GB2312" w:cs="仿宋_GB2312"/>
          <w:color w:val="auto"/>
          <w:spacing w:val="0"/>
          <w:sz w:val="32"/>
          <w:szCs w:val="32"/>
        </w:rPr>
        <w:t>(6)</w:t>
      </w:r>
      <w:r>
        <w:rPr>
          <w:rFonts w:hint="eastAsia" w:ascii="仿宋_GB2312" w:hAnsi="仿宋_GB2312" w:eastAsia="仿宋_GB2312" w:cs="仿宋_GB2312"/>
          <w:color w:val="auto"/>
          <w:spacing w:val="0"/>
          <w:sz w:val="32"/>
          <w:szCs w:val="32"/>
        </w:rPr>
        <w:t>尚处于试用期内的新录用公务员。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olor w:val="auto"/>
          <w:spacing w:val="0"/>
          <w:sz w:val="32"/>
          <w:szCs w:val="32"/>
        </w:rPr>
      </w:pPr>
      <w:r>
        <w:rPr>
          <w:rFonts w:ascii="仿宋_GB2312" w:hAnsi="仿宋_GB2312" w:eastAsia="仿宋_GB2312" w:cs="仿宋_GB2312"/>
          <w:color w:val="auto"/>
          <w:spacing w:val="0"/>
          <w:sz w:val="32"/>
          <w:szCs w:val="32"/>
        </w:rPr>
        <w:t>(7)</w:t>
      </w:r>
      <w:r>
        <w:rPr>
          <w:rFonts w:hint="eastAsia" w:ascii="仿宋_GB2312" w:hAnsi="仿宋_GB2312" w:eastAsia="仿宋_GB2312" w:cs="仿宋_GB2312"/>
          <w:color w:val="auto"/>
          <w:spacing w:val="0"/>
          <w:sz w:val="32"/>
          <w:szCs w:val="32"/>
        </w:rPr>
        <w:t>按照《关于加快推进失信被执行人信用监督、警示和惩戒机制建设的意见》规定，由人民法院通过司法程序认定的失信被执行人。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olor w:val="auto"/>
          <w:spacing w:val="0"/>
          <w:sz w:val="32"/>
          <w:szCs w:val="32"/>
        </w:rPr>
      </w:pPr>
      <w:r>
        <w:rPr>
          <w:rFonts w:ascii="仿宋_GB2312" w:hAnsi="仿宋_GB2312" w:eastAsia="仿宋_GB2312" w:cs="仿宋_GB2312"/>
          <w:color w:val="auto"/>
          <w:spacing w:val="0"/>
          <w:sz w:val="32"/>
          <w:szCs w:val="32"/>
        </w:rPr>
        <w:t>(8)</w:t>
      </w:r>
      <w:r>
        <w:rPr>
          <w:rFonts w:hint="eastAsia" w:ascii="仿宋_GB2312" w:hAnsi="仿宋_GB2312" w:eastAsia="仿宋_GB2312" w:cs="仿宋_GB2312"/>
          <w:color w:val="auto"/>
          <w:spacing w:val="0"/>
          <w:sz w:val="32"/>
          <w:szCs w:val="32"/>
        </w:rPr>
        <w:t>法律法规等规定的其他不能报考事业单位的情形。</w:t>
      </w:r>
    </w:p>
    <w:p>
      <w:pPr>
        <w:keepNext w:val="0"/>
        <w:keepLines w:val="0"/>
        <w:pageBreakBefore w:val="0"/>
        <w:widowControl w:val="0"/>
        <w:tabs>
          <w:tab w:val="left" w:pos="960"/>
          <w:tab w:val="left" w:pos="1440"/>
        </w:tabs>
        <w:kinsoku/>
        <w:wordWrap/>
        <w:overflowPunct/>
        <w:topLinePunct w:val="0"/>
        <w:autoSpaceDE/>
        <w:autoSpaceDN/>
        <w:bidi w:val="0"/>
        <w:adjustRightInd/>
        <w:spacing w:line="560" w:lineRule="exact"/>
        <w:ind w:firstLine="640" w:firstLineChars="200"/>
        <w:textAlignment w:val="auto"/>
        <w:outlineLvl w:val="9"/>
        <w:rPr>
          <w:rFonts w:hint="eastAsia" w:ascii="黑体" w:eastAsia="黑体"/>
          <w:bCs/>
          <w:color w:val="auto"/>
          <w:spacing w:val="0"/>
          <w:sz w:val="32"/>
          <w:szCs w:val="32"/>
        </w:rPr>
      </w:pPr>
      <w:r>
        <w:rPr>
          <w:rFonts w:hint="eastAsia" w:ascii="黑体" w:eastAsia="黑体"/>
          <w:bCs/>
          <w:color w:val="auto"/>
          <w:spacing w:val="0"/>
          <w:sz w:val="32"/>
          <w:szCs w:val="32"/>
        </w:rPr>
        <w:t>三、公开招聘单位和名额</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color w:val="auto"/>
          <w:spacing w:val="0"/>
          <w:sz w:val="32"/>
          <w:szCs w:val="32"/>
        </w:rPr>
      </w:pPr>
      <w:r>
        <w:rPr>
          <w:rFonts w:hint="eastAsia" w:ascii="仿宋_GB2312" w:hAnsi="仿宋_GB2312" w:eastAsia="仿宋_GB2312" w:cs="仿宋_GB2312"/>
          <w:color w:val="auto"/>
          <w:spacing w:val="0"/>
          <w:sz w:val="32"/>
          <w:szCs w:val="32"/>
        </w:rPr>
        <w:t>本次招聘均在</w:t>
      </w:r>
      <w:r>
        <w:rPr>
          <w:rFonts w:hint="eastAsia" w:ascii="仿宋_GB2312" w:hAnsi="仿宋_GB2312" w:eastAsia="仿宋_GB2312" w:cs="仿宋_GB2312"/>
          <w:color w:val="auto"/>
          <w:spacing w:val="0"/>
          <w:sz w:val="32"/>
          <w:szCs w:val="32"/>
          <w:lang w:val="en-US" w:eastAsia="zh-CN"/>
        </w:rPr>
        <w:t>该事业</w:t>
      </w:r>
      <w:r>
        <w:rPr>
          <w:rFonts w:hint="eastAsia" w:ascii="仿宋_GB2312" w:hAnsi="仿宋_GB2312" w:eastAsia="仿宋_GB2312" w:cs="仿宋_GB2312"/>
          <w:color w:val="auto"/>
          <w:spacing w:val="0"/>
          <w:sz w:val="32"/>
          <w:szCs w:val="32"/>
        </w:rPr>
        <w:t>单位经批准设置的岗位内招聘，招聘名额为1</w:t>
      </w:r>
      <w:r>
        <w:rPr>
          <w:rFonts w:hint="eastAsia" w:ascii="仿宋_GB2312" w:hAnsi="仿宋_GB2312" w:eastAsia="仿宋_GB2312" w:cs="仿宋_GB2312"/>
          <w:color w:val="auto"/>
          <w:spacing w:val="0"/>
          <w:sz w:val="32"/>
          <w:szCs w:val="32"/>
          <w:lang w:val="en-US" w:eastAsia="zh-CN"/>
        </w:rPr>
        <w:t>4</w:t>
      </w:r>
      <w:r>
        <w:rPr>
          <w:rFonts w:hint="eastAsia" w:ascii="仿宋_GB2312" w:hAnsi="仿宋_GB2312" w:eastAsia="仿宋_GB2312" w:cs="仿宋_GB2312"/>
          <w:color w:val="auto"/>
          <w:spacing w:val="0"/>
          <w:sz w:val="32"/>
          <w:szCs w:val="32"/>
        </w:rPr>
        <w:t>名，其中四川省民族研究所</w:t>
      </w:r>
      <w:r>
        <w:rPr>
          <w:rFonts w:hint="eastAsia" w:ascii="仿宋_GB2312" w:hAnsi="仿宋_GB2312" w:eastAsia="仿宋_GB2312" w:cs="仿宋_GB2312"/>
          <w:color w:val="auto"/>
          <w:spacing w:val="0"/>
          <w:sz w:val="32"/>
          <w:szCs w:val="32"/>
          <w:lang w:val="en-US" w:eastAsia="zh-CN"/>
        </w:rPr>
        <w:t>5</w:t>
      </w:r>
      <w:r>
        <w:rPr>
          <w:rFonts w:hint="eastAsia" w:ascii="仿宋_GB2312" w:hAnsi="仿宋_GB2312" w:eastAsia="仿宋_GB2312" w:cs="仿宋_GB2312"/>
          <w:color w:val="auto"/>
          <w:spacing w:val="0"/>
          <w:sz w:val="32"/>
          <w:szCs w:val="32"/>
        </w:rPr>
        <w:t>名</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四川省藏文学校3名</w:t>
      </w:r>
      <w:r>
        <w:rPr>
          <w:rFonts w:hint="eastAsia" w:ascii="仿宋_GB2312" w:hAnsi="仿宋_GB2312" w:eastAsia="仿宋_GB2312" w:cs="仿宋_GB2312"/>
          <w:color w:val="auto"/>
          <w:spacing w:val="0"/>
          <w:sz w:val="32"/>
          <w:szCs w:val="32"/>
          <w:lang w:eastAsia="zh-CN"/>
        </w:rPr>
        <w:t>、四川省彝文学校</w:t>
      </w:r>
      <w:r>
        <w:rPr>
          <w:rFonts w:hint="eastAsia" w:ascii="仿宋_GB2312" w:hAnsi="仿宋_GB2312" w:eastAsia="仿宋_GB2312" w:cs="仿宋_GB2312"/>
          <w:color w:val="auto"/>
          <w:spacing w:val="0"/>
          <w:sz w:val="32"/>
          <w:szCs w:val="32"/>
          <w:lang w:val="en-US" w:eastAsia="zh-CN"/>
        </w:rPr>
        <w:t>3名</w:t>
      </w:r>
      <w:r>
        <w:rPr>
          <w:rFonts w:hint="eastAsia" w:ascii="仿宋_GB2312" w:hAnsi="仿宋_GB2312" w:eastAsia="仿宋_GB2312" w:cs="仿宋_GB2312"/>
          <w:color w:val="auto"/>
          <w:spacing w:val="0"/>
          <w:sz w:val="32"/>
          <w:szCs w:val="32"/>
          <w:lang w:eastAsia="zh-CN"/>
        </w:rPr>
        <w:t>、四川神哲学院</w:t>
      </w:r>
      <w:r>
        <w:rPr>
          <w:rFonts w:hint="eastAsia" w:ascii="仿宋_GB2312" w:hAnsi="仿宋_GB2312" w:eastAsia="仿宋_GB2312" w:cs="仿宋_GB2312"/>
          <w:color w:val="auto"/>
          <w:spacing w:val="0"/>
          <w:sz w:val="32"/>
          <w:szCs w:val="32"/>
          <w:lang w:val="en-US" w:eastAsia="zh-CN"/>
        </w:rPr>
        <w:t>2名</w:t>
      </w:r>
      <w:r>
        <w:rPr>
          <w:rFonts w:hint="eastAsia" w:ascii="仿宋_GB2312" w:hAnsi="仿宋_GB2312" w:eastAsia="仿宋_GB2312" w:cs="仿宋_GB2312"/>
          <w:color w:val="auto"/>
          <w:spacing w:val="0"/>
          <w:sz w:val="32"/>
          <w:szCs w:val="32"/>
          <w:lang w:eastAsia="zh-CN"/>
        </w:rPr>
        <w:t>、四川尼众佛学院</w:t>
      </w:r>
      <w:r>
        <w:rPr>
          <w:rFonts w:hint="eastAsia" w:ascii="仿宋_GB2312" w:hAnsi="仿宋_GB2312" w:eastAsia="仿宋_GB2312" w:cs="仿宋_GB2312"/>
          <w:color w:val="auto"/>
          <w:spacing w:val="0"/>
          <w:sz w:val="32"/>
          <w:szCs w:val="32"/>
          <w:lang w:val="en-US" w:eastAsia="zh-CN"/>
        </w:rPr>
        <w:t>1名</w:t>
      </w:r>
      <w:r>
        <w:rPr>
          <w:rFonts w:hint="eastAsia" w:ascii="仿宋_GB2312" w:hAnsi="仿宋_GB2312" w:eastAsia="仿宋_GB2312" w:cs="仿宋_GB2312"/>
          <w:color w:val="auto"/>
          <w:spacing w:val="0"/>
          <w:sz w:val="32"/>
          <w:szCs w:val="32"/>
        </w:rPr>
        <w:t>，具体岗位见《岗位和条件要求一览表》。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黑体" w:eastAsia="黑体"/>
          <w:bCs/>
          <w:color w:val="auto"/>
          <w:spacing w:val="0"/>
          <w:sz w:val="32"/>
          <w:szCs w:val="32"/>
        </w:rPr>
      </w:pPr>
      <w:r>
        <w:rPr>
          <w:rFonts w:hint="eastAsia" w:ascii="黑体" w:eastAsia="黑体"/>
          <w:bCs/>
          <w:color w:val="auto"/>
          <w:spacing w:val="0"/>
          <w:sz w:val="32"/>
          <w:szCs w:val="32"/>
        </w:rPr>
        <w:t>四、报名及网上缴费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b/>
          <w:color w:val="auto"/>
          <w:spacing w:val="0"/>
          <w:sz w:val="32"/>
          <w:szCs w:val="32"/>
        </w:rPr>
      </w:pPr>
      <w:r>
        <w:rPr>
          <w:rFonts w:hint="eastAsia" w:ascii="仿宋_GB2312" w:hAnsi="仿宋_GB2312" w:eastAsia="仿宋_GB2312" w:cs="仿宋_GB2312"/>
          <w:color w:val="auto"/>
          <w:spacing w:val="0"/>
          <w:sz w:val="32"/>
          <w:szCs w:val="32"/>
        </w:rPr>
        <w:t>本次公开招聘的报名仅采用网络报名方式进行，不组织现场报名。报名网站为四川省人力资源和社会保障厅官网“人事考试”专栏，</w:t>
      </w:r>
      <w:r>
        <w:rPr>
          <w:rFonts w:hint="eastAsia" w:ascii="仿宋_GB2312" w:hAnsi="仿宋_GB2312" w:eastAsia="仿宋_GB2312" w:cs="仿宋_GB2312"/>
          <w:b w:val="0"/>
          <w:bCs/>
          <w:color w:val="auto"/>
          <w:spacing w:val="0"/>
          <w:sz w:val="32"/>
          <w:szCs w:val="32"/>
        </w:rPr>
        <w:t>报名时间为2020年</w:t>
      </w:r>
      <w:r>
        <w:rPr>
          <w:rFonts w:hint="eastAsia" w:ascii="仿宋_GB2312" w:hAnsi="仿宋_GB2312" w:eastAsia="仿宋_GB2312" w:cs="仿宋_GB2312"/>
          <w:b w:val="0"/>
          <w:bCs/>
          <w:color w:val="auto"/>
          <w:spacing w:val="0"/>
          <w:sz w:val="32"/>
          <w:szCs w:val="32"/>
          <w:lang w:val="en-US" w:eastAsia="zh-CN"/>
        </w:rPr>
        <w:t>11</w:t>
      </w:r>
      <w:r>
        <w:rPr>
          <w:rFonts w:hint="eastAsia" w:ascii="仿宋_GB2312" w:hAnsi="仿宋_GB2312" w:eastAsia="仿宋_GB2312" w:cs="仿宋_GB2312"/>
          <w:b w:val="0"/>
          <w:bCs/>
          <w:color w:val="auto"/>
          <w:spacing w:val="0"/>
          <w:sz w:val="32"/>
          <w:szCs w:val="32"/>
        </w:rPr>
        <w:t>月5日10∶00至</w:t>
      </w:r>
      <w:r>
        <w:rPr>
          <w:rFonts w:hint="eastAsia" w:ascii="仿宋_GB2312" w:hAnsi="仿宋_GB2312" w:eastAsia="仿宋_GB2312" w:cs="仿宋_GB2312"/>
          <w:b w:val="0"/>
          <w:bCs/>
          <w:color w:val="auto"/>
          <w:spacing w:val="0"/>
          <w:sz w:val="32"/>
          <w:szCs w:val="32"/>
          <w:lang w:val="en-US" w:eastAsia="zh-CN"/>
        </w:rPr>
        <w:t>11</w:t>
      </w:r>
      <w:r>
        <w:rPr>
          <w:rFonts w:hint="eastAsia" w:ascii="仿宋_GB2312" w:hAnsi="仿宋_GB2312" w:eastAsia="仿宋_GB2312" w:cs="仿宋_GB2312"/>
          <w:b w:val="0"/>
          <w:bCs/>
          <w:color w:val="auto"/>
          <w:spacing w:val="0"/>
          <w:sz w:val="32"/>
          <w:szCs w:val="32"/>
        </w:rPr>
        <w:t>月9日18∶00。</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报名按以下程序进行：</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hint="eastAsia" w:ascii="楷体_GB2312" w:eastAsia="楷体_GB2312" w:cs="宋体"/>
          <w:b/>
          <w:color w:val="auto"/>
          <w:spacing w:val="0"/>
          <w:sz w:val="32"/>
          <w:szCs w:val="32"/>
        </w:rPr>
      </w:pPr>
      <w:r>
        <w:rPr>
          <w:rFonts w:hint="eastAsia" w:ascii="楷体_GB2312" w:eastAsia="楷体_GB2312" w:cs="宋体"/>
          <w:b/>
          <w:color w:val="auto"/>
          <w:spacing w:val="0"/>
          <w:sz w:val="32"/>
          <w:szCs w:val="32"/>
        </w:rPr>
        <w:t>（一）报名</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hint="eastAsia" w:ascii="仿宋_GB2312" w:hAnsi="仿宋_GB2312" w:eastAsia="仿宋_GB2312" w:cs="仿宋_GB2312"/>
          <w:b/>
          <w:bCs w:val="0"/>
          <w:color w:val="auto"/>
          <w:spacing w:val="0"/>
          <w:sz w:val="32"/>
          <w:szCs w:val="32"/>
        </w:rPr>
      </w:pPr>
      <w:r>
        <w:rPr>
          <w:rFonts w:hint="eastAsia" w:ascii="仿宋_GB2312" w:hAnsi="仿宋_GB2312" w:eastAsia="仿宋_GB2312" w:cs="仿宋_GB2312"/>
          <w:b/>
          <w:bCs w:val="0"/>
          <w:color w:val="auto"/>
          <w:spacing w:val="0"/>
          <w:sz w:val="32"/>
          <w:szCs w:val="32"/>
        </w:rPr>
        <w:t>1、报名须知。报考者登录报名网站后，请认真阅读本公告，详细了解招聘对象、范围、条件以及有关政策规定和有关注意事项等内容，根据自身情况选择完全符合报考条件的一个岗位报名，每个报考者在本批次</w:t>
      </w:r>
      <w:r>
        <w:rPr>
          <w:rFonts w:hint="eastAsia" w:ascii="仿宋_GB2312" w:hAnsi="仿宋_GB2312" w:eastAsia="仿宋_GB2312" w:cs="仿宋_GB2312"/>
          <w:b/>
          <w:bCs w:val="0"/>
          <w:color w:val="auto"/>
          <w:spacing w:val="0"/>
          <w:sz w:val="32"/>
          <w:szCs w:val="32"/>
          <w:lang w:eastAsia="zh-CN"/>
        </w:rPr>
        <w:t>省属</w:t>
      </w:r>
      <w:r>
        <w:rPr>
          <w:rFonts w:hint="eastAsia" w:ascii="仿宋_GB2312" w:hAnsi="仿宋_GB2312" w:eastAsia="仿宋_GB2312" w:cs="仿宋_GB2312"/>
          <w:b/>
          <w:bCs w:val="0"/>
          <w:color w:val="auto"/>
          <w:spacing w:val="0"/>
          <w:sz w:val="32"/>
          <w:szCs w:val="32"/>
        </w:rPr>
        <w:t>事业单位公招中限报一个岗位。</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hint="eastAsia" w:ascii="仿宋_GB2312" w:hAnsi="仿宋_GB2312" w:eastAsia="仿宋_GB2312" w:cs="仿宋_GB2312"/>
          <w:b/>
          <w:bCs w:val="0"/>
          <w:color w:val="auto"/>
          <w:spacing w:val="0"/>
          <w:sz w:val="32"/>
          <w:szCs w:val="32"/>
        </w:rPr>
      </w:pPr>
      <w:r>
        <w:rPr>
          <w:rFonts w:hint="eastAsia" w:ascii="仿宋_GB2312" w:hAnsi="华文仿宋" w:eastAsia="仿宋_GB2312"/>
          <w:b/>
          <w:bCs w:val="0"/>
          <w:color w:val="auto"/>
          <w:spacing w:val="0"/>
          <w:sz w:val="32"/>
          <w:szCs w:val="32"/>
        </w:rPr>
        <w:t>四川省民族宗教</w:t>
      </w:r>
      <w:r>
        <w:rPr>
          <w:rFonts w:hint="eastAsia" w:ascii="仿宋_GB2312" w:hAnsi="华文仿宋" w:eastAsia="仿宋_GB2312"/>
          <w:b/>
          <w:bCs w:val="0"/>
          <w:color w:val="auto"/>
          <w:spacing w:val="0"/>
          <w:sz w:val="32"/>
          <w:szCs w:val="32"/>
          <w:lang w:eastAsia="zh-CN"/>
        </w:rPr>
        <w:t>事务委员会对本次公招</w:t>
      </w:r>
      <w:r>
        <w:rPr>
          <w:rFonts w:hint="eastAsia" w:ascii="仿宋_GB2312" w:hAnsi="仿宋_GB2312" w:eastAsia="仿宋_GB2312" w:cs="仿宋_GB2312"/>
          <w:b/>
          <w:bCs w:val="0"/>
          <w:color w:val="auto"/>
          <w:spacing w:val="0"/>
          <w:sz w:val="32"/>
          <w:szCs w:val="32"/>
        </w:rPr>
        <w:t>不进行网上资格审查，考生在报名前对本公告内容有不清楚的，可拨打本公告后所列“网上报名咨询电话”向招聘单位或招聘单位业务主管</w:t>
      </w:r>
      <w:r>
        <w:rPr>
          <w:rFonts w:hint="eastAsia" w:ascii="仿宋_GB2312" w:hAnsi="仿宋_GB2312" w:eastAsia="仿宋_GB2312" w:cs="仿宋_GB2312"/>
          <w:b/>
          <w:bCs w:val="0"/>
          <w:color w:val="auto"/>
          <w:spacing w:val="0"/>
          <w:sz w:val="32"/>
          <w:szCs w:val="32"/>
          <w:lang w:val="en-US" w:eastAsia="zh-CN"/>
        </w:rPr>
        <w:t>部门</w:t>
      </w:r>
      <w:r>
        <w:rPr>
          <w:rFonts w:hint="eastAsia" w:ascii="仿宋_GB2312" w:hAnsi="仿宋_GB2312" w:eastAsia="仿宋_GB2312" w:cs="仿宋_GB2312"/>
          <w:b/>
          <w:bCs w:val="0"/>
          <w:color w:val="auto"/>
          <w:spacing w:val="0"/>
          <w:sz w:val="32"/>
          <w:szCs w:val="32"/>
        </w:rPr>
        <w:t>进行咨询。报考者最终是否符合所报岗位条件要求</w:t>
      </w:r>
      <w:r>
        <w:rPr>
          <w:rFonts w:hint="eastAsia" w:ascii="仿宋_GB2312" w:hAnsi="仿宋_GB2312" w:eastAsia="仿宋_GB2312" w:cs="仿宋_GB2312"/>
          <w:b/>
          <w:bCs w:val="0"/>
          <w:color w:val="auto"/>
          <w:spacing w:val="0"/>
          <w:sz w:val="32"/>
          <w:szCs w:val="32"/>
          <w:lang w:eastAsia="zh-CN"/>
        </w:rPr>
        <w:t>，</w:t>
      </w:r>
      <w:r>
        <w:rPr>
          <w:rFonts w:hint="eastAsia" w:ascii="仿宋_GB2312" w:hAnsi="仿宋_GB2312" w:eastAsia="仿宋_GB2312" w:cs="仿宋_GB2312"/>
          <w:b/>
          <w:bCs w:val="0"/>
          <w:color w:val="auto"/>
          <w:spacing w:val="0"/>
          <w:sz w:val="32"/>
          <w:szCs w:val="32"/>
        </w:rPr>
        <w:t>由</w:t>
      </w:r>
      <w:r>
        <w:rPr>
          <w:rFonts w:hint="eastAsia" w:ascii="仿宋_GB2312" w:hAnsi="华文仿宋" w:eastAsia="仿宋_GB2312"/>
          <w:b/>
          <w:bCs w:val="0"/>
          <w:color w:val="auto"/>
          <w:spacing w:val="0"/>
          <w:sz w:val="32"/>
          <w:szCs w:val="32"/>
        </w:rPr>
        <w:t>四川省民族宗教</w:t>
      </w:r>
      <w:r>
        <w:rPr>
          <w:rFonts w:hint="eastAsia" w:ascii="仿宋_GB2312" w:hAnsi="华文仿宋" w:eastAsia="仿宋_GB2312"/>
          <w:b/>
          <w:bCs w:val="0"/>
          <w:color w:val="auto"/>
          <w:spacing w:val="0"/>
          <w:sz w:val="32"/>
          <w:szCs w:val="32"/>
          <w:lang w:eastAsia="zh-CN"/>
        </w:rPr>
        <w:t>事务委员会</w:t>
      </w:r>
      <w:r>
        <w:rPr>
          <w:rFonts w:hint="eastAsia" w:ascii="仿宋_GB2312" w:hAnsi="仿宋_GB2312" w:eastAsia="仿宋_GB2312" w:cs="仿宋_GB2312"/>
          <w:b/>
          <w:bCs w:val="0"/>
          <w:color w:val="auto"/>
          <w:spacing w:val="0"/>
          <w:sz w:val="32"/>
          <w:szCs w:val="32"/>
        </w:rPr>
        <w:t>负责的面试资格审查、考核中的复核</w:t>
      </w:r>
      <w:r>
        <w:rPr>
          <w:rFonts w:hint="eastAsia" w:ascii="仿宋_GB2312" w:hAnsi="仿宋_GB2312" w:eastAsia="仿宋_GB2312" w:cs="仿宋_GB2312"/>
          <w:b/>
          <w:bCs w:val="0"/>
          <w:color w:val="auto"/>
          <w:spacing w:val="0"/>
          <w:sz w:val="32"/>
          <w:szCs w:val="32"/>
          <w:lang w:eastAsia="zh-CN"/>
        </w:rPr>
        <w:t>和</w:t>
      </w:r>
      <w:r>
        <w:rPr>
          <w:rFonts w:hint="eastAsia" w:ascii="仿宋_GB2312" w:hAnsi="华文仿宋" w:eastAsia="仿宋_GB2312"/>
          <w:b/>
          <w:bCs w:val="0"/>
          <w:color w:val="auto"/>
          <w:spacing w:val="0"/>
          <w:sz w:val="32"/>
          <w:szCs w:val="32"/>
        </w:rPr>
        <w:t>四川省民族宗教</w:t>
      </w:r>
      <w:r>
        <w:rPr>
          <w:rFonts w:hint="eastAsia" w:ascii="仿宋_GB2312" w:hAnsi="华文仿宋" w:eastAsia="仿宋_GB2312"/>
          <w:b/>
          <w:bCs w:val="0"/>
          <w:color w:val="auto"/>
          <w:spacing w:val="0"/>
          <w:sz w:val="32"/>
          <w:szCs w:val="32"/>
          <w:lang w:eastAsia="zh-CN"/>
        </w:rPr>
        <w:t>事务委员会</w:t>
      </w:r>
      <w:r>
        <w:rPr>
          <w:rFonts w:hint="eastAsia" w:ascii="仿宋_GB2312" w:hAnsi="仿宋_GB2312" w:eastAsia="仿宋_GB2312" w:cs="仿宋_GB2312"/>
          <w:b/>
          <w:bCs w:val="0"/>
          <w:color w:val="auto"/>
          <w:spacing w:val="0"/>
          <w:sz w:val="32"/>
          <w:szCs w:val="32"/>
        </w:rPr>
        <w:t>审核确认的结果最终确定。</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hint="eastAsia" w:ascii="仿宋_GB2312" w:hAnsi="仿宋_GB2312" w:eastAsia="仿宋_GB2312" w:cs="仿宋_GB2312"/>
          <w:b/>
          <w:bCs w:val="0"/>
          <w:color w:val="auto"/>
          <w:spacing w:val="0"/>
          <w:sz w:val="32"/>
          <w:szCs w:val="32"/>
        </w:rPr>
      </w:pPr>
      <w:r>
        <w:rPr>
          <w:rFonts w:hint="eastAsia" w:ascii="仿宋_GB2312" w:hAnsi="仿宋_GB2312" w:eastAsia="仿宋_GB2312" w:cs="仿宋_GB2312"/>
          <w:b/>
          <w:bCs w:val="0"/>
          <w:color w:val="auto"/>
          <w:spacing w:val="0"/>
          <w:sz w:val="32"/>
          <w:szCs w:val="32"/>
        </w:rPr>
        <w:t>在招聘的任何环节发现报考者不符合报考条件、弄虚作假、违反回避制度，报考或聘用资格一律无效，且责任自负。</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hint="eastAsia" w:ascii="仿宋_GB2312" w:hAnsi="仿宋_GB2312" w:eastAsia="仿宋_GB2312" w:cs="仿宋_GB2312"/>
          <w:b/>
          <w:bCs w:val="0"/>
          <w:color w:val="auto"/>
          <w:spacing w:val="0"/>
          <w:sz w:val="32"/>
          <w:szCs w:val="32"/>
        </w:rPr>
      </w:pPr>
      <w:r>
        <w:rPr>
          <w:rFonts w:hint="eastAsia" w:ascii="仿宋_GB2312" w:hAnsi="仿宋_GB2312" w:eastAsia="仿宋_GB2312" w:cs="仿宋_GB2312"/>
          <w:b/>
          <w:bCs w:val="0"/>
          <w:color w:val="auto"/>
          <w:spacing w:val="0"/>
          <w:sz w:val="32"/>
          <w:szCs w:val="32"/>
          <w:lang w:val="zh-CN"/>
        </w:rPr>
        <w:t>根据新冠肺炎疫情防控要求，本次招聘可能会调整考试日程，调整情况将提前在本公告发布网站予以公布，请报考人员随时关注变化情况并做好相应安排。</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color w:val="auto"/>
          <w:spacing w:val="0"/>
          <w:sz w:val="32"/>
          <w:szCs w:val="32"/>
        </w:rPr>
        <w:t>2、填报信息。</w:t>
      </w:r>
      <w:r>
        <w:rPr>
          <w:rFonts w:hint="eastAsia" w:ascii="仿宋_GB2312" w:hAnsi="仿宋_GB2312" w:eastAsia="仿宋_GB2312" w:cs="仿宋_GB2312"/>
          <w:color w:val="auto"/>
          <w:spacing w:val="0"/>
          <w:sz w:val="32"/>
          <w:szCs w:val="32"/>
        </w:rPr>
        <w:t>符合条件的报考者按网络提示要求通过注册，如实、准确填写《2020年</w:t>
      </w:r>
      <w:r>
        <w:rPr>
          <w:rFonts w:hint="eastAsia" w:ascii="仿宋_GB2312" w:hAnsi="仿宋_GB2312" w:eastAsia="仿宋_GB2312" w:cs="仿宋_GB2312"/>
          <w:color w:val="auto"/>
          <w:spacing w:val="0"/>
          <w:sz w:val="32"/>
          <w:szCs w:val="32"/>
          <w:lang w:val="en-US" w:eastAsia="zh-CN"/>
        </w:rPr>
        <w:t>12月</w:t>
      </w:r>
      <w:r>
        <w:rPr>
          <w:rFonts w:hint="eastAsia" w:ascii="仿宋_GB2312" w:hAnsi="仿宋_GB2312" w:eastAsia="仿宋_GB2312" w:cs="仿宋_GB2312"/>
          <w:color w:val="auto"/>
          <w:spacing w:val="0"/>
          <w:sz w:val="32"/>
          <w:szCs w:val="32"/>
        </w:rPr>
        <w:t>四川省省属事业单位公开招聘工作人员报考信息表》（以下简称《报考信息表》）的各项内容，以便招聘单位了解报考者基本情况，但不作为资格审查的依据。</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b/>
          <w:color w:val="auto"/>
          <w:spacing w:val="0"/>
          <w:sz w:val="32"/>
          <w:szCs w:val="32"/>
        </w:rPr>
        <w:t>3、上传相片。</w:t>
      </w:r>
      <w:r>
        <w:rPr>
          <w:rFonts w:hint="eastAsia" w:ascii="仿宋_GB2312" w:hAnsi="仿宋_GB2312" w:eastAsia="仿宋_GB2312" w:cs="仿宋_GB2312"/>
          <w:color w:val="auto"/>
          <w:spacing w:val="0"/>
          <w:sz w:val="32"/>
          <w:szCs w:val="32"/>
        </w:rPr>
        <w:t>报考者须下载照片审核处理工具（在《报考信息表》上传照片处下载）进行照片处理，并按网络提示上传照片。不使用该工具将无法正常上传照片。如遇照片上传技术问题，可咨询12333、028-86740101。报名照片将用于准考证、考场座次表等，请上传时慎重选用</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hint="eastAsia" w:ascii="楷体_GB2312" w:eastAsia="楷体_GB2312" w:cs="宋体"/>
          <w:b/>
          <w:color w:val="auto"/>
          <w:spacing w:val="0"/>
          <w:sz w:val="32"/>
          <w:szCs w:val="32"/>
        </w:rPr>
      </w:pPr>
      <w:r>
        <w:rPr>
          <w:rFonts w:hint="eastAsia" w:ascii="楷体_GB2312" w:eastAsia="楷体_GB2312" w:cs="宋体"/>
          <w:b/>
          <w:color w:val="auto"/>
          <w:spacing w:val="0"/>
          <w:sz w:val="32"/>
          <w:szCs w:val="32"/>
        </w:rPr>
        <w:t>（二）网上缴费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上传相片质量合格的报考者，须及时按网络提示进行网上缴费，</w:t>
      </w:r>
      <w:r>
        <w:rPr>
          <w:rFonts w:hint="eastAsia" w:ascii="仿宋_GB2312" w:hAnsi="仿宋_GB2312" w:eastAsia="仿宋_GB2312" w:cs="仿宋_GB2312"/>
          <w:b/>
          <w:bCs/>
          <w:color w:val="auto"/>
          <w:spacing w:val="0"/>
          <w:sz w:val="32"/>
          <w:szCs w:val="32"/>
        </w:rPr>
        <w:t>网上缴费时间截止2020年</w:t>
      </w:r>
      <w:r>
        <w:rPr>
          <w:rFonts w:hint="eastAsia" w:ascii="仿宋_GB2312" w:hAnsi="仿宋_GB2312" w:eastAsia="仿宋_GB2312" w:cs="仿宋_GB2312"/>
          <w:b/>
          <w:bCs/>
          <w:color w:val="auto"/>
          <w:spacing w:val="0"/>
          <w:sz w:val="32"/>
          <w:szCs w:val="32"/>
          <w:lang w:val="en-US" w:eastAsia="zh-CN"/>
        </w:rPr>
        <w:t>11</w:t>
      </w:r>
      <w:r>
        <w:rPr>
          <w:rFonts w:hint="eastAsia" w:ascii="仿宋_GB2312" w:hAnsi="仿宋_GB2312" w:eastAsia="仿宋_GB2312" w:cs="仿宋_GB2312"/>
          <w:b/>
          <w:bCs/>
          <w:color w:val="auto"/>
          <w:spacing w:val="0"/>
          <w:sz w:val="32"/>
          <w:szCs w:val="32"/>
        </w:rPr>
        <w:t>月</w:t>
      </w:r>
      <w:r>
        <w:rPr>
          <w:rFonts w:hint="eastAsia" w:ascii="仿宋_GB2312" w:hAnsi="仿宋_GB2312" w:eastAsia="仿宋_GB2312" w:cs="仿宋_GB2312"/>
          <w:b/>
          <w:bCs/>
          <w:color w:val="auto"/>
          <w:spacing w:val="0"/>
          <w:sz w:val="32"/>
          <w:szCs w:val="32"/>
          <w:lang w:val="en-US" w:eastAsia="zh-CN"/>
        </w:rPr>
        <w:t>1</w:t>
      </w:r>
      <w:r>
        <w:rPr>
          <w:rFonts w:hint="eastAsia" w:ascii="仿宋_GB2312" w:hAnsi="仿宋_GB2312" w:eastAsia="仿宋_GB2312" w:cs="仿宋_GB2312"/>
          <w:b/>
          <w:bCs/>
          <w:color w:val="auto"/>
          <w:spacing w:val="0"/>
          <w:sz w:val="32"/>
          <w:szCs w:val="32"/>
        </w:rPr>
        <w:t>0日18:00</w:t>
      </w:r>
      <w:r>
        <w:rPr>
          <w:rFonts w:hint="eastAsia" w:ascii="仿宋_GB2312" w:hAnsi="仿宋_GB2312" w:eastAsia="仿宋_GB2312" w:cs="仿宋_GB2312"/>
          <w:color w:val="auto"/>
          <w:spacing w:val="0"/>
          <w:sz w:val="32"/>
          <w:szCs w:val="32"/>
        </w:rPr>
        <w:t>。按照四川省发改委、四川省财政厅川发改价格〔2017〕472号文件规定，笔试1科缴费50元，2科缴费100元。通过网络报名且上传相片质量合格的报考者未按要求在规定时间内进行网上缴费的，视为自动放弃报考。</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hint="eastAsia" w:ascii="楷体_GB2312" w:eastAsia="楷体_GB2312" w:cs="宋体"/>
          <w:b/>
          <w:color w:val="auto"/>
          <w:spacing w:val="0"/>
          <w:sz w:val="32"/>
          <w:szCs w:val="32"/>
        </w:rPr>
      </w:pPr>
      <w:r>
        <w:rPr>
          <w:rFonts w:hint="eastAsia" w:ascii="楷体_GB2312" w:eastAsia="楷体_GB2312" w:cs="宋体"/>
          <w:b/>
          <w:color w:val="auto"/>
          <w:spacing w:val="0"/>
          <w:sz w:val="32"/>
          <w:szCs w:val="32"/>
        </w:rPr>
        <w:t>（三）岗位调整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招聘岗位的报考人数与招聘名额之比未达到本公告规定的笔试开考比例的，由</w:t>
      </w:r>
      <w:r>
        <w:rPr>
          <w:rFonts w:hint="eastAsia" w:ascii="仿宋_GB2312" w:hAnsi="华文仿宋" w:eastAsia="仿宋_GB2312"/>
          <w:color w:val="auto"/>
          <w:spacing w:val="0"/>
          <w:sz w:val="32"/>
          <w:szCs w:val="32"/>
        </w:rPr>
        <w:t>四川省民族宗教</w:t>
      </w:r>
      <w:r>
        <w:rPr>
          <w:rFonts w:hint="eastAsia" w:ascii="仿宋_GB2312" w:hAnsi="华文仿宋" w:eastAsia="仿宋_GB2312"/>
          <w:color w:val="auto"/>
          <w:spacing w:val="0"/>
          <w:sz w:val="32"/>
          <w:szCs w:val="32"/>
          <w:lang w:eastAsia="zh-CN"/>
        </w:rPr>
        <w:t>事务委员会</w:t>
      </w:r>
      <w:r>
        <w:rPr>
          <w:rFonts w:hint="eastAsia" w:ascii="仿宋_GB2312" w:hAnsi="仿宋_GB2312" w:eastAsia="仿宋_GB2312" w:cs="仿宋_GB2312"/>
          <w:color w:val="auto"/>
          <w:spacing w:val="0"/>
          <w:sz w:val="32"/>
          <w:szCs w:val="32"/>
        </w:rPr>
        <w:t>调减该岗位招聘名额或取消该招聘岗位，调减招聘名额后，该岗位报考人数与调减后的招聘名额之比应达到该岗位规定的开考比例。调减或取消的情况，由</w:t>
      </w:r>
      <w:r>
        <w:rPr>
          <w:rFonts w:hint="eastAsia" w:ascii="仿宋_GB2312" w:hAnsi="华文仿宋" w:eastAsia="仿宋_GB2312"/>
          <w:color w:val="auto"/>
          <w:spacing w:val="0"/>
          <w:sz w:val="32"/>
          <w:szCs w:val="32"/>
        </w:rPr>
        <w:t>四川省民族宗教</w:t>
      </w:r>
      <w:r>
        <w:rPr>
          <w:rFonts w:hint="eastAsia" w:ascii="仿宋_GB2312" w:hAnsi="华文仿宋" w:eastAsia="仿宋_GB2312"/>
          <w:color w:val="auto"/>
          <w:spacing w:val="0"/>
          <w:sz w:val="32"/>
          <w:szCs w:val="32"/>
          <w:lang w:eastAsia="zh-CN"/>
        </w:rPr>
        <w:t>事务委员会</w:t>
      </w:r>
      <w:r>
        <w:rPr>
          <w:rFonts w:hint="eastAsia" w:ascii="仿宋_GB2312" w:hAnsi="华文仿宋" w:eastAsia="仿宋_GB2312"/>
          <w:color w:val="auto"/>
          <w:spacing w:val="0"/>
          <w:sz w:val="32"/>
          <w:szCs w:val="32"/>
          <w:lang w:val="en-US" w:eastAsia="zh-CN"/>
        </w:rPr>
        <w:t>2020年11</w:t>
      </w:r>
      <w:r>
        <w:rPr>
          <w:rFonts w:hint="eastAsia" w:ascii="仿宋_GB2312" w:hAnsi="仿宋_GB2312" w:eastAsia="仿宋_GB2312" w:cs="仿宋_GB2312"/>
          <w:color w:val="auto"/>
          <w:spacing w:val="0"/>
          <w:sz w:val="32"/>
          <w:szCs w:val="32"/>
        </w:rPr>
        <w:t>月1</w:t>
      </w:r>
      <w:r>
        <w:rPr>
          <w:rFonts w:hint="eastAsia" w:ascii="仿宋_GB2312" w:hAnsi="仿宋_GB2312" w:eastAsia="仿宋_GB2312" w:cs="仿宋_GB2312"/>
          <w:color w:val="auto"/>
          <w:spacing w:val="0"/>
          <w:sz w:val="32"/>
          <w:szCs w:val="32"/>
          <w:lang w:val="en-US" w:eastAsia="zh-CN"/>
        </w:rPr>
        <w:t>7</w:t>
      </w:r>
      <w:r>
        <w:rPr>
          <w:rFonts w:hint="eastAsia" w:ascii="仿宋_GB2312" w:hAnsi="仿宋_GB2312" w:eastAsia="仿宋_GB2312" w:cs="仿宋_GB2312"/>
          <w:color w:val="auto"/>
          <w:spacing w:val="0"/>
          <w:sz w:val="32"/>
          <w:szCs w:val="32"/>
        </w:rPr>
        <w:t>日在招聘公告发布网站向社会公布。取消岗位中缴纳笔试考务费报考者所缴费用，2020年</w:t>
      </w:r>
      <w:r>
        <w:rPr>
          <w:rFonts w:hint="eastAsia" w:ascii="仿宋_GB2312" w:hAnsi="仿宋_GB2312" w:eastAsia="仿宋_GB2312" w:cs="仿宋_GB2312"/>
          <w:color w:val="auto"/>
          <w:spacing w:val="0"/>
          <w:sz w:val="32"/>
          <w:szCs w:val="32"/>
          <w:lang w:val="en-US" w:eastAsia="zh-CN"/>
        </w:rPr>
        <w:t>11</w:t>
      </w:r>
      <w:r>
        <w:rPr>
          <w:rFonts w:hint="eastAsia" w:ascii="仿宋_GB2312" w:hAnsi="仿宋_GB2312" w:eastAsia="仿宋_GB2312" w:cs="仿宋_GB2312"/>
          <w:color w:val="auto"/>
          <w:spacing w:val="0"/>
          <w:sz w:val="32"/>
          <w:szCs w:val="32"/>
        </w:rPr>
        <w:t>月</w:t>
      </w:r>
      <w:r>
        <w:rPr>
          <w:rFonts w:hint="eastAsia" w:ascii="仿宋_GB2312" w:hAnsi="仿宋_GB2312" w:eastAsia="仿宋_GB2312" w:cs="仿宋_GB2312"/>
          <w:color w:val="auto"/>
          <w:spacing w:val="0"/>
          <w:sz w:val="32"/>
          <w:szCs w:val="32"/>
          <w:lang w:val="en-US" w:eastAsia="zh-CN"/>
        </w:rPr>
        <w:t>30</w:t>
      </w:r>
      <w:r>
        <w:rPr>
          <w:rFonts w:hint="eastAsia" w:ascii="仿宋_GB2312" w:hAnsi="仿宋_GB2312" w:eastAsia="仿宋_GB2312" w:cs="仿宋_GB2312"/>
          <w:color w:val="auto"/>
          <w:spacing w:val="0"/>
          <w:sz w:val="32"/>
          <w:szCs w:val="32"/>
        </w:rPr>
        <w:t>日前通过互联网自动退回到缴费报考者报名时缴费的银行卡账户。</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hint="eastAsia" w:ascii="楷体_GB2312" w:eastAsia="楷体_GB2312" w:cs="宋体"/>
          <w:b/>
          <w:color w:val="auto"/>
          <w:spacing w:val="0"/>
          <w:sz w:val="32"/>
          <w:szCs w:val="32"/>
        </w:rPr>
      </w:pPr>
      <w:r>
        <w:rPr>
          <w:rFonts w:hint="eastAsia" w:ascii="楷体_GB2312" w:eastAsia="楷体_GB2312" w:cs="宋体"/>
          <w:b/>
          <w:color w:val="auto"/>
          <w:spacing w:val="0"/>
          <w:sz w:val="32"/>
          <w:szCs w:val="32"/>
        </w:rPr>
        <w:t>（四）打印报名表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color w:val="auto"/>
          <w:spacing w:val="0"/>
          <w:sz w:val="32"/>
          <w:szCs w:val="32"/>
        </w:rPr>
      </w:pPr>
      <w:r>
        <w:rPr>
          <w:rFonts w:hint="eastAsia" w:ascii="仿宋_GB2312" w:hAnsi="仿宋_GB2312" w:eastAsia="仿宋_GB2312" w:cs="仿宋_GB2312"/>
          <w:color w:val="auto"/>
          <w:spacing w:val="0"/>
          <w:sz w:val="32"/>
          <w:szCs w:val="32"/>
        </w:rPr>
        <w:t>上传相片合格并缴费成功的报考者，应及时登陆四川省人力资源和社会保障厅官网“人事考试”专栏，按网络提示打印《报考信息表》</w:t>
      </w:r>
      <w:r>
        <w:rPr>
          <w:rFonts w:hint="eastAsia" w:ascii="仿宋_GB2312" w:hAnsi="仿宋_GB2312" w:eastAsia="仿宋_GB2312" w:cs="仿宋_GB2312"/>
          <w:color w:val="auto"/>
          <w:spacing w:val="0"/>
          <w:sz w:val="32"/>
          <w:szCs w:val="32"/>
          <w:lang w:eastAsia="zh-CN"/>
        </w:rPr>
        <w:t>二</w:t>
      </w:r>
      <w:r>
        <w:rPr>
          <w:rFonts w:hint="eastAsia" w:ascii="仿宋_GB2312" w:hAnsi="仿宋_GB2312" w:eastAsia="仿宋_GB2312" w:cs="仿宋_GB2312"/>
          <w:color w:val="auto"/>
          <w:spacing w:val="0"/>
          <w:sz w:val="32"/>
          <w:szCs w:val="32"/>
        </w:rPr>
        <w:t>份，供面试资格审查时使用。</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hint="eastAsia" w:ascii="楷体_GB2312" w:eastAsia="楷体_GB2312" w:cs="宋体"/>
          <w:b/>
          <w:color w:val="auto"/>
          <w:spacing w:val="0"/>
          <w:sz w:val="32"/>
          <w:szCs w:val="32"/>
        </w:rPr>
      </w:pPr>
      <w:r>
        <w:rPr>
          <w:rFonts w:hint="eastAsia" w:ascii="楷体_GB2312" w:eastAsia="楷体_GB2312" w:cs="宋体"/>
          <w:b/>
          <w:color w:val="auto"/>
          <w:spacing w:val="0"/>
          <w:sz w:val="32"/>
          <w:szCs w:val="32"/>
        </w:rPr>
        <w:t>（五）打印准考证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网上报名并缴费成功的报考者，凭身份证号、姓名，</w:t>
      </w:r>
      <w:r>
        <w:rPr>
          <w:rFonts w:hint="eastAsia" w:ascii="仿宋_GB2312" w:hAnsi="仿宋_GB2312" w:eastAsia="仿宋_GB2312" w:cs="仿宋_GB2312"/>
          <w:b/>
          <w:bCs/>
          <w:color w:val="auto"/>
          <w:spacing w:val="0"/>
          <w:sz w:val="32"/>
          <w:szCs w:val="32"/>
        </w:rPr>
        <w:t>于12月1日至12月4日</w:t>
      </w:r>
      <w:r>
        <w:rPr>
          <w:rFonts w:hint="eastAsia" w:ascii="仿宋_GB2312" w:hAnsi="仿宋_GB2312" w:eastAsia="仿宋_GB2312" w:cs="仿宋_GB2312"/>
          <w:color w:val="auto"/>
          <w:spacing w:val="0"/>
          <w:sz w:val="32"/>
          <w:szCs w:val="32"/>
        </w:rPr>
        <w:t>登录四川省人力资源和社会保障厅官网“人事考试”专栏打印本人准考证，在打印准考证前，报考者必须在网上签订人事考试诚信承诺书。在考试当天，报考者须持本人准考证和有效身份证（过期身份证、身份证复印件均不得作为参考证件）按准考证指定的时间和考场参加笔试。逾期未打印准考证或未按要求签订诚信承诺书，以及相关证件不符合规定要求而影响考试的一切责任由报考者自行承担。</w:t>
      </w:r>
    </w:p>
    <w:p>
      <w:pPr>
        <w:keepNext w:val="0"/>
        <w:keepLines w:val="0"/>
        <w:pageBreakBefore w:val="0"/>
        <w:widowControl w:val="0"/>
        <w:tabs>
          <w:tab w:val="left" w:pos="960"/>
          <w:tab w:val="left" w:pos="1440"/>
        </w:tabs>
        <w:kinsoku/>
        <w:wordWrap/>
        <w:overflowPunct/>
        <w:topLinePunct w:val="0"/>
        <w:autoSpaceDE/>
        <w:autoSpaceDN/>
        <w:bidi w:val="0"/>
        <w:adjustRightInd/>
        <w:spacing w:line="560" w:lineRule="exact"/>
        <w:ind w:firstLine="640" w:firstLineChars="200"/>
        <w:textAlignment w:val="auto"/>
        <w:outlineLvl w:val="9"/>
        <w:rPr>
          <w:rFonts w:hint="eastAsia" w:ascii="黑体" w:eastAsia="黑体"/>
          <w:bCs/>
          <w:color w:val="auto"/>
          <w:spacing w:val="0"/>
          <w:sz w:val="32"/>
          <w:szCs w:val="32"/>
        </w:rPr>
      </w:pPr>
      <w:r>
        <w:rPr>
          <w:rFonts w:hint="eastAsia" w:ascii="黑体" w:eastAsia="黑体"/>
          <w:bCs/>
          <w:color w:val="auto"/>
          <w:spacing w:val="0"/>
          <w:sz w:val="32"/>
          <w:szCs w:val="32"/>
        </w:rPr>
        <w:t>五、考试</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本次公开招聘采取综合淘汰的考试方式进行。考试包括笔试和面试。</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按照《四川省事业单位工作人员招聘工作试行办法》（川人发〔2006〕9号）、《四川省省属事业单位公开招聘工作人员实施细则（试行）》（川人发〔2006〕34号）和《关于进一步规范省属事业单位公开招聘工作人员工作的通知》（川人办发〔2009〕457号）等要求，</w:t>
      </w:r>
      <w:r>
        <w:rPr>
          <w:rFonts w:hint="eastAsia" w:ascii="仿宋_GB2312" w:hAnsi="仿宋_GB2312" w:eastAsia="仿宋_GB2312" w:cs="仿宋_GB2312"/>
          <w:color w:val="auto"/>
          <w:spacing w:val="0"/>
          <w:sz w:val="32"/>
          <w:szCs w:val="32"/>
          <w:lang w:eastAsia="zh-CN"/>
        </w:rPr>
        <w:t>结合</w:t>
      </w:r>
      <w:r>
        <w:rPr>
          <w:rFonts w:hint="eastAsia" w:ascii="仿宋_GB2312" w:hAnsi="华文仿宋" w:eastAsia="仿宋_GB2312"/>
          <w:color w:val="auto"/>
          <w:spacing w:val="0"/>
          <w:sz w:val="32"/>
          <w:szCs w:val="32"/>
        </w:rPr>
        <w:t>四川省民族宗教</w:t>
      </w:r>
      <w:r>
        <w:rPr>
          <w:rFonts w:hint="eastAsia" w:ascii="仿宋_GB2312" w:hAnsi="华文仿宋" w:eastAsia="仿宋_GB2312"/>
          <w:color w:val="auto"/>
          <w:spacing w:val="0"/>
          <w:sz w:val="32"/>
          <w:szCs w:val="32"/>
          <w:lang w:eastAsia="zh-CN"/>
        </w:rPr>
        <w:t>事务委员会直属事业单位实际，</w:t>
      </w:r>
      <w:r>
        <w:rPr>
          <w:rFonts w:hint="eastAsia" w:ascii="仿宋_GB2312" w:hAnsi="仿宋_GB2312" w:eastAsia="仿宋_GB2312" w:cs="仿宋_GB2312"/>
          <w:color w:val="auto"/>
          <w:spacing w:val="0"/>
          <w:sz w:val="32"/>
          <w:szCs w:val="32"/>
        </w:rPr>
        <w:t>笔试开考比例为有效报考人数与招聘岗位的招聘人数之比不低于3∶1。</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考试成绩按以下原则计算：</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lang w:eastAsia="zh-CN"/>
        </w:rPr>
        <w:t>四川省藏文学校美术课</w:t>
      </w:r>
      <w:r>
        <w:rPr>
          <w:rFonts w:hint="eastAsia" w:ascii="仿宋_GB2312" w:hAnsi="仿宋_GB2312" w:eastAsia="仿宋_GB2312" w:cs="仿宋_GB2312"/>
          <w:b w:val="0"/>
          <w:bCs w:val="0"/>
          <w:color w:val="auto"/>
          <w:spacing w:val="0"/>
          <w:sz w:val="32"/>
          <w:szCs w:val="32"/>
          <w:lang w:val="en-US" w:eastAsia="zh-CN"/>
        </w:rPr>
        <w:t>教</w:t>
      </w:r>
      <w:r>
        <w:rPr>
          <w:rFonts w:hint="eastAsia" w:ascii="仿宋_GB2312" w:hAnsi="仿宋_GB2312" w:eastAsia="仿宋_GB2312" w:cs="仿宋_GB2312"/>
          <w:b w:val="0"/>
          <w:bCs w:val="0"/>
          <w:color w:val="auto"/>
          <w:spacing w:val="0"/>
          <w:sz w:val="32"/>
          <w:szCs w:val="32"/>
          <w:lang w:eastAsia="zh-CN"/>
        </w:rPr>
        <w:t>师</w:t>
      </w:r>
      <w:r>
        <w:rPr>
          <w:rFonts w:hint="eastAsia" w:ascii="仿宋_GB2312" w:hAnsi="仿宋_GB2312" w:eastAsia="仿宋_GB2312" w:cs="仿宋_GB2312"/>
          <w:b w:val="0"/>
          <w:bCs w:val="0"/>
          <w:color w:val="auto"/>
          <w:spacing w:val="0"/>
          <w:sz w:val="32"/>
          <w:szCs w:val="32"/>
        </w:rPr>
        <w:t>岗位笔试总成绩=（</w:t>
      </w:r>
      <w:r>
        <w:rPr>
          <w:rFonts w:hint="eastAsia" w:ascii="仿宋_GB2312" w:hAnsi="仿宋_GB2312" w:eastAsia="仿宋_GB2312" w:cs="仿宋_GB2312"/>
          <w:b w:val="0"/>
          <w:bCs w:val="0"/>
          <w:color w:val="auto"/>
          <w:spacing w:val="0"/>
          <w:sz w:val="32"/>
          <w:szCs w:val="32"/>
          <w:lang w:eastAsia="zh-CN"/>
        </w:rPr>
        <w:t>公共科目</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eastAsia="zh-CN"/>
        </w:rPr>
        <w:t>综合知识</w:t>
      </w:r>
      <w:r>
        <w:rPr>
          <w:rFonts w:hint="eastAsia" w:ascii="仿宋_GB2312" w:hAnsi="仿宋_GB2312" w:eastAsia="仿宋_GB2312" w:cs="仿宋_GB2312"/>
          <w:b w:val="0"/>
          <w:bCs w:val="0"/>
          <w:color w:val="auto"/>
          <w:spacing w:val="0"/>
          <w:sz w:val="32"/>
          <w:szCs w:val="32"/>
        </w:rPr>
        <w:t>》笔试成绩×</w:t>
      </w:r>
      <w:r>
        <w:rPr>
          <w:rFonts w:hint="eastAsia" w:ascii="仿宋_GB2312" w:hAnsi="仿宋_GB2312" w:eastAsia="仿宋_GB2312" w:cs="仿宋_GB2312"/>
          <w:b w:val="0"/>
          <w:bCs w:val="0"/>
          <w:color w:val="auto"/>
          <w:spacing w:val="0"/>
          <w:sz w:val="32"/>
          <w:szCs w:val="32"/>
          <w:lang w:val="en-US" w:eastAsia="zh-CN"/>
        </w:rPr>
        <w:t>6</w:t>
      </w:r>
      <w:r>
        <w:rPr>
          <w:rFonts w:hint="eastAsia" w:ascii="仿宋_GB2312" w:hAnsi="仿宋_GB2312" w:eastAsia="仿宋_GB2312" w:cs="仿宋_GB2312"/>
          <w:b w:val="0"/>
          <w:bCs w:val="0"/>
          <w:color w:val="auto"/>
          <w:spacing w:val="0"/>
          <w:sz w:val="32"/>
          <w:szCs w:val="32"/>
        </w:rPr>
        <w:t>0%+</w:t>
      </w:r>
      <w:r>
        <w:rPr>
          <w:rFonts w:hint="eastAsia" w:ascii="仿宋_GB2312" w:hAnsi="仿宋_GB2312" w:eastAsia="仿宋_GB2312" w:cs="仿宋_GB2312"/>
          <w:b w:val="0"/>
          <w:bCs w:val="0"/>
          <w:color w:val="auto"/>
          <w:spacing w:val="0"/>
          <w:sz w:val="32"/>
          <w:szCs w:val="32"/>
          <w:lang w:eastAsia="zh-CN"/>
        </w:rPr>
        <w:t>专业科目《唐卡艺术综合知识》</w:t>
      </w:r>
      <w:r>
        <w:rPr>
          <w:rFonts w:hint="eastAsia" w:ascii="仿宋_GB2312" w:hAnsi="仿宋_GB2312" w:eastAsia="仿宋_GB2312" w:cs="仿宋_GB2312"/>
          <w:b w:val="0"/>
          <w:bCs w:val="0"/>
          <w:color w:val="auto"/>
          <w:spacing w:val="0"/>
          <w:sz w:val="32"/>
          <w:szCs w:val="32"/>
        </w:rPr>
        <w:t>笔试成绩×</w:t>
      </w:r>
      <w:r>
        <w:rPr>
          <w:rFonts w:hint="eastAsia" w:ascii="仿宋_GB2312" w:hAnsi="仿宋_GB2312" w:eastAsia="仿宋_GB2312" w:cs="仿宋_GB2312"/>
          <w:b w:val="0"/>
          <w:bCs w:val="0"/>
          <w:color w:val="auto"/>
          <w:spacing w:val="0"/>
          <w:sz w:val="32"/>
          <w:szCs w:val="32"/>
          <w:lang w:val="en-US" w:eastAsia="zh-CN"/>
        </w:rPr>
        <w:t>4</w:t>
      </w:r>
      <w:r>
        <w:rPr>
          <w:rFonts w:hint="eastAsia" w:ascii="仿宋_GB2312" w:hAnsi="仿宋_GB2312" w:eastAsia="仿宋_GB2312" w:cs="仿宋_GB2312"/>
          <w:b w:val="0"/>
          <w:bCs w:val="0"/>
          <w:color w:val="auto"/>
          <w:spacing w:val="0"/>
          <w:sz w:val="32"/>
          <w:szCs w:val="32"/>
        </w:rPr>
        <w:t>0%）+政策性加分；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其他岗位笔试总成绩=</w:t>
      </w:r>
      <w:r>
        <w:rPr>
          <w:rFonts w:hint="eastAsia" w:ascii="仿宋_GB2312" w:hAnsi="仿宋_GB2312" w:eastAsia="仿宋_GB2312" w:cs="仿宋_GB2312"/>
          <w:b w:val="0"/>
          <w:bCs w:val="0"/>
          <w:color w:val="auto"/>
          <w:spacing w:val="0"/>
          <w:sz w:val="32"/>
          <w:szCs w:val="32"/>
          <w:lang w:eastAsia="zh-CN"/>
        </w:rPr>
        <w:t>公共科目</w:t>
      </w:r>
      <w:r>
        <w:rPr>
          <w:rFonts w:hint="eastAsia" w:ascii="仿宋_GB2312" w:hAnsi="仿宋_GB2312" w:eastAsia="仿宋_GB2312" w:cs="仿宋_GB2312"/>
          <w:b w:val="0"/>
          <w:bCs w:val="0"/>
          <w:color w:val="auto"/>
          <w:spacing w:val="0"/>
          <w:sz w:val="32"/>
          <w:szCs w:val="32"/>
        </w:rPr>
        <w:t>《综合知识》笔试成绩×100%+政策性加分。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b w:val="0"/>
          <w:bCs w:val="0"/>
          <w:color w:val="auto"/>
          <w:spacing w:val="0"/>
          <w:sz w:val="32"/>
          <w:szCs w:val="32"/>
        </w:rPr>
        <w:t>考试总成绩=笔试总成绩×</w:t>
      </w:r>
      <w:r>
        <w:rPr>
          <w:rFonts w:hint="eastAsia" w:ascii="仿宋_GB2312" w:hAnsi="仿宋_GB2312" w:eastAsia="仿宋_GB2312" w:cs="仿宋_GB2312"/>
          <w:b w:val="0"/>
          <w:bCs w:val="0"/>
          <w:color w:val="auto"/>
          <w:spacing w:val="0"/>
          <w:sz w:val="32"/>
          <w:szCs w:val="32"/>
          <w:lang w:val="en-US" w:eastAsia="zh-CN"/>
        </w:rPr>
        <w:t>5</w:t>
      </w:r>
      <w:r>
        <w:rPr>
          <w:rFonts w:hint="eastAsia" w:ascii="仿宋_GB2312" w:hAnsi="仿宋_GB2312" w:eastAsia="仿宋_GB2312" w:cs="仿宋_GB2312"/>
          <w:b w:val="0"/>
          <w:bCs w:val="0"/>
          <w:color w:val="auto"/>
          <w:spacing w:val="0"/>
          <w:sz w:val="32"/>
          <w:szCs w:val="32"/>
        </w:rPr>
        <w:t>0%+面试成绩×</w:t>
      </w:r>
      <w:r>
        <w:rPr>
          <w:rFonts w:hint="eastAsia" w:ascii="仿宋_GB2312" w:hAnsi="仿宋_GB2312" w:eastAsia="仿宋_GB2312" w:cs="仿宋_GB2312"/>
          <w:b w:val="0"/>
          <w:bCs w:val="0"/>
          <w:color w:val="auto"/>
          <w:spacing w:val="0"/>
          <w:sz w:val="32"/>
          <w:szCs w:val="32"/>
          <w:lang w:val="en-US" w:eastAsia="zh-CN"/>
        </w:rPr>
        <w:t>5</w:t>
      </w:r>
      <w:r>
        <w:rPr>
          <w:rFonts w:hint="eastAsia" w:ascii="仿宋_GB2312" w:hAnsi="仿宋_GB2312" w:eastAsia="仿宋_GB2312" w:cs="仿宋_GB2312"/>
          <w:b w:val="0"/>
          <w:bCs w:val="0"/>
          <w:color w:val="auto"/>
          <w:spacing w:val="0"/>
          <w:sz w:val="32"/>
          <w:szCs w:val="32"/>
        </w:rPr>
        <w:t>0%。</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hint="eastAsia" w:ascii="楷体_GB2312" w:eastAsia="楷体_GB2312" w:cs="宋体"/>
          <w:b/>
          <w:color w:val="auto"/>
          <w:spacing w:val="0"/>
          <w:sz w:val="32"/>
          <w:szCs w:val="32"/>
        </w:rPr>
      </w:pPr>
      <w:r>
        <w:rPr>
          <w:rFonts w:hint="eastAsia" w:ascii="楷体_GB2312" w:eastAsia="楷体_GB2312" w:cs="宋体"/>
          <w:b/>
          <w:color w:val="auto"/>
          <w:spacing w:val="0"/>
          <w:sz w:val="32"/>
          <w:szCs w:val="32"/>
        </w:rPr>
        <w:t>（一）笔试</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b/>
          <w:color w:val="auto"/>
          <w:spacing w:val="0"/>
          <w:sz w:val="32"/>
          <w:szCs w:val="32"/>
        </w:rPr>
        <w:t>1、笔试科目。</w:t>
      </w:r>
      <w:r>
        <w:rPr>
          <w:rFonts w:hint="eastAsia" w:ascii="仿宋_GB2312" w:hAnsi="华文仿宋" w:eastAsia="仿宋_GB2312" w:cs="宋体"/>
          <w:b w:val="0"/>
          <w:bCs w:val="0"/>
          <w:color w:val="auto"/>
          <w:spacing w:val="0"/>
          <w:sz w:val="32"/>
          <w:szCs w:val="32"/>
          <w:lang w:eastAsia="zh-CN"/>
        </w:rPr>
        <w:t>报考</w:t>
      </w:r>
      <w:r>
        <w:rPr>
          <w:rFonts w:hint="eastAsia" w:ascii="仿宋_GB2312" w:hAnsi="仿宋_GB2312" w:eastAsia="仿宋_GB2312" w:cs="仿宋_GB2312"/>
          <w:color w:val="auto"/>
          <w:spacing w:val="0"/>
          <w:sz w:val="32"/>
          <w:szCs w:val="32"/>
          <w:lang w:eastAsia="zh-CN"/>
        </w:rPr>
        <w:t>四川省藏文学校美术</w:t>
      </w:r>
      <w:r>
        <w:rPr>
          <w:rFonts w:hint="eastAsia" w:ascii="仿宋_GB2312" w:hAnsi="仿宋_GB2312" w:eastAsia="仿宋_GB2312" w:cs="仿宋_GB2312"/>
          <w:color w:val="auto"/>
          <w:spacing w:val="0"/>
          <w:sz w:val="32"/>
          <w:szCs w:val="32"/>
          <w:lang w:val="en-US" w:eastAsia="zh-CN"/>
        </w:rPr>
        <w:t>课</w:t>
      </w:r>
      <w:r>
        <w:rPr>
          <w:rFonts w:hint="eastAsia" w:ascii="仿宋_GB2312" w:hAnsi="仿宋_GB2312" w:eastAsia="仿宋_GB2312" w:cs="仿宋_GB2312"/>
          <w:color w:val="auto"/>
          <w:spacing w:val="0"/>
          <w:sz w:val="32"/>
          <w:szCs w:val="32"/>
          <w:lang w:eastAsia="zh-CN"/>
        </w:rPr>
        <w:t>教师岗位的考生</w:t>
      </w:r>
      <w:r>
        <w:rPr>
          <w:rFonts w:hint="default"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lang w:eastAsia="zh-CN"/>
        </w:rPr>
        <w:t>笔试</w:t>
      </w:r>
      <w:r>
        <w:rPr>
          <w:rFonts w:hint="eastAsia" w:ascii="仿宋_GB2312" w:hAnsi="华文仿宋" w:eastAsia="仿宋_GB2312" w:cs="宋体"/>
          <w:color w:val="auto"/>
          <w:spacing w:val="0"/>
          <w:sz w:val="32"/>
          <w:szCs w:val="32"/>
        </w:rPr>
        <w:t>公共科目《综合知识》</w:t>
      </w:r>
      <w:r>
        <w:rPr>
          <w:rFonts w:hint="eastAsia" w:ascii="仿宋_GB2312" w:hAnsi="华文仿宋" w:eastAsia="仿宋_GB2312" w:cs="宋体"/>
          <w:color w:val="auto"/>
          <w:spacing w:val="0"/>
          <w:sz w:val="32"/>
          <w:szCs w:val="32"/>
          <w:lang w:val="en-US" w:eastAsia="zh-CN"/>
        </w:rPr>
        <w:t>1科和</w:t>
      </w:r>
      <w:r>
        <w:rPr>
          <w:rFonts w:hint="eastAsia" w:ascii="仿宋_GB2312" w:hAnsi="华文仿宋" w:eastAsia="仿宋_GB2312" w:cs="宋体"/>
          <w:color w:val="auto"/>
          <w:spacing w:val="0"/>
          <w:sz w:val="32"/>
          <w:szCs w:val="32"/>
        </w:rPr>
        <w:t>专业</w:t>
      </w:r>
      <w:r>
        <w:rPr>
          <w:rFonts w:hint="eastAsia" w:ascii="仿宋_GB2312" w:hAnsi="华文仿宋" w:eastAsia="仿宋_GB2312" w:cs="宋体"/>
          <w:color w:val="auto"/>
          <w:spacing w:val="0"/>
          <w:sz w:val="32"/>
          <w:szCs w:val="32"/>
          <w:lang w:eastAsia="zh-CN"/>
        </w:rPr>
        <w:t>科目</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eastAsia="zh-CN"/>
        </w:rPr>
        <w:t>唐卡艺术综合知识</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val="en-US" w:eastAsia="zh-CN"/>
        </w:rPr>
        <w:t>1</w:t>
      </w:r>
      <w:r>
        <w:rPr>
          <w:rFonts w:hint="eastAsia" w:ascii="仿宋_GB2312" w:hAnsi="华文仿宋" w:eastAsia="仿宋_GB2312" w:cs="宋体"/>
          <w:color w:val="auto"/>
          <w:spacing w:val="0"/>
          <w:sz w:val="32"/>
          <w:szCs w:val="32"/>
        </w:rPr>
        <w:t>科</w:t>
      </w:r>
      <w:r>
        <w:rPr>
          <w:rFonts w:hint="eastAsia" w:ascii="仿宋_GB2312" w:hAnsi="华文仿宋" w:eastAsia="仿宋_GB2312" w:cs="宋体"/>
          <w:color w:val="auto"/>
          <w:spacing w:val="0"/>
          <w:sz w:val="32"/>
          <w:szCs w:val="32"/>
          <w:lang w:eastAsia="zh-CN"/>
        </w:rPr>
        <w:t>，共</w:t>
      </w:r>
      <w:r>
        <w:rPr>
          <w:rFonts w:hint="eastAsia" w:ascii="仿宋_GB2312" w:hAnsi="华文仿宋" w:eastAsia="仿宋_GB2312" w:cs="宋体"/>
          <w:color w:val="auto"/>
          <w:spacing w:val="0"/>
          <w:sz w:val="32"/>
          <w:szCs w:val="32"/>
          <w:lang w:val="en-US" w:eastAsia="zh-CN"/>
        </w:rPr>
        <w:t>2科；报考其他岗位的考生</w:t>
      </w:r>
      <w:r>
        <w:rPr>
          <w:rFonts w:hint="default" w:ascii="仿宋_GB2312" w:hAnsi="华文仿宋" w:eastAsia="仿宋_GB2312" w:cs="宋体"/>
          <w:color w:val="auto"/>
          <w:spacing w:val="0"/>
          <w:sz w:val="32"/>
          <w:szCs w:val="32"/>
          <w:lang w:val="en-US" w:eastAsia="zh-CN"/>
        </w:rPr>
        <w:t>,</w:t>
      </w:r>
      <w:r>
        <w:rPr>
          <w:rFonts w:hint="eastAsia" w:ascii="仿宋_GB2312" w:hAnsi="华文仿宋" w:eastAsia="仿宋_GB2312" w:cs="宋体"/>
          <w:color w:val="auto"/>
          <w:spacing w:val="0"/>
          <w:sz w:val="32"/>
          <w:szCs w:val="32"/>
          <w:lang w:val="en-US" w:eastAsia="zh-CN"/>
        </w:rPr>
        <w:t>笔试均为</w:t>
      </w:r>
      <w:r>
        <w:rPr>
          <w:rFonts w:hint="eastAsia" w:ascii="仿宋_GB2312" w:hAnsi="华文仿宋" w:eastAsia="仿宋_GB2312" w:cs="宋体"/>
          <w:color w:val="auto"/>
          <w:spacing w:val="0"/>
          <w:sz w:val="32"/>
          <w:szCs w:val="32"/>
        </w:rPr>
        <w:t>公共科目《综合知识》1科。</w:t>
      </w:r>
      <w:r>
        <w:rPr>
          <w:rFonts w:hint="eastAsia" w:ascii="仿宋_GB2312" w:hAnsi="仿宋_GB2312" w:eastAsia="仿宋_GB2312" w:cs="仿宋_GB2312"/>
          <w:color w:val="auto"/>
          <w:spacing w:val="0"/>
          <w:sz w:val="32"/>
          <w:szCs w:val="32"/>
          <w:lang w:eastAsia="zh-CN"/>
        </w:rPr>
        <w:t>每科</w:t>
      </w:r>
      <w:r>
        <w:rPr>
          <w:rFonts w:hint="eastAsia" w:ascii="仿宋_GB2312" w:hAnsi="仿宋_GB2312" w:eastAsia="仿宋_GB2312" w:cs="仿宋_GB2312"/>
          <w:color w:val="auto"/>
          <w:spacing w:val="0"/>
          <w:sz w:val="32"/>
          <w:szCs w:val="32"/>
        </w:rPr>
        <w:t>满分</w:t>
      </w:r>
      <w:r>
        <w:rPr>
          <w:rFonts w:hint="eastAsia" w:ascii="仿宋_GB2312" w:hAnsi="仿宋_GB2312" w:eastAsia="仿宋_GB2312" w:cs="仿宋_GB2312"/>
          <w:color w:val="auto"/>
          <w:spacing w:val="0"/>
          <w:sz w:val="32"/>
          <w:szCs w:val="32"/>
          <w:lang w:eastAsia="zh-CN"/>
        </w:rPr>
        <w:t>均</w:t>
      </w:r>
      <w:r>
        <w:rPr>
          <w:rFonts w:hint="eastAsia" w:ascii="仿宋_GB2312" w:hAnsi="仿宋_GB2312" w:eastAsia="仿宋_GB2312" w:cs="仿宋_GB2312"/>
          <w:color w:val="auto"/>
          <w:spacing w:val="0"/>
          <w:sz w:val="32"/>
          <w:szCs w:val="32"/>
        </w:rPr>
        <w:t>为100分</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b/>
          <w:color w:val="auto"/>
          <w:spacing w:val="0"/>
          <w:sz w:val="32"/>
          <w:szCs w:val="32"/>
          <w:lang w:val="en-US" w:eastAsia="zh-CN"/>
        </w:rPr>
        <w:t>2</w:t>
      </w:r>
      <w:r>
        <w:rPr>
          <w:rFonts w:hint="eastAsia" w:ascii="仿宋_GB2312" w:hAnsi="仿宋_GB2312" w:eastAsia="仿宋_GB2312" w:cs="仿宋_GB2312"/>
          <w:b/>
          <w:color w:val="auto"/>
          <w:spacing w:val="0"/>
          <w:sz w:val="32"/>
          <w:szCs w:val="32"/>
        </w:rPr>
        <w:t>、笔试</w:t>
      </w:r>
      <w:r>
        <w:rPr>
          <w:rFonts w:hint="eastAsia" w:ascii="仿宋_GB2312" w:hAnsi="仿宋_GB2312" w:eastAsia="仿宋_GB2312" w:cs="仿宋_GB2312"/>
          <w:b/>
          <w:color w:val="auto"/>
          <w:spacing w:val="0"/>
          <w:sz w:val="32"/>
          <w:szCs w:val="32"/>
          <w:lang w:eastAsia="zh-CN"/>
        </w:rPr>
        <w:t>范围。</w:t>
      </w:r>
      <w:r>
        <w:rPr>
          <w:rFonts w:hint="eastAsia" w:ascii="仿宋_GB2312" w:hAnsi="仿宋_GB2312" w:eastAsia="仿宋_GB2312" w:cs="仿宋_GB2312"/>
          <w:color w:val="auto"/>
          <w:spacing w:val="0"/>
          <w:sz w:val="32"/>
          <w:szCs w:val="32"/>
        </w:rPr>
        <w:t>公共科目《综合知识》</w:t>
      </w:r>
      <w:r>
        <w:rPr>
          <w:rFonts w:hint="eastAsia" w:ascii="仿宋_GB2312" w:hAnsi="仿宋_GB2312" w:eastAsia="仿宋_GB2312" w:cs="仿宋_GB2312"/>
          <w:color w:val="auto"/>
          <w:spacing w:val="0"/>
          <w:sz w:val="32"/>
          <w:szCs w:val="32"/>
          <w:lang w:eastAsia="zh-CN"/>
        </w:rPr>
        <w:t>的考试范围详见</w:t>
      </w:r>
      <w:r>
        <w:rPr>
          <w:rFonts w:hint="eastAsia" w:ascii="仿宋_GB2312" w:hAnsi="仿宋_GB2312" w:eastAsia="仿宋_GB2312" w:cs="仿宋_GB2312"/>
          <w:color w:val="auto"/>
          <w:spacing w:val="0"/>
          <w:sz w:val="32"/>
          <w:szCs w:val="32"/>
        </w:rPr>
        <w:t>四川省人力资源和社会保障厅</w:t>
      </w:r>
      <w:r>
        <w:rPr>
          <w:rFonts w:hint="eastAsia" w:ascii="仿宋_GB2312" w:hAnsi="仿宋_GB2312" w:eastAsia="仿宋_GB2312" w:cs="仿宋_GB2312"/>
          <w:color w:val="auto"/>
          <w:spacing w:val="0"/>
          <w:sz w:val="32"/>
          <w:szCs w:val="32"/>
          <w:u w:val="none"/>
        </w:rPr>
        <w:t>2014年9月28日修订发布的《四川省省属事业单位公</w:t>
      </w:r>
      <w:r>
        <w:rPr>
          <w:rFonts w:hint="eastAsia" w:ascii="仿宋_GB2312" w:hAnsi="仿宋_GB2312" w:eastAsia="仿宋_GB2312" w:cs="仿宋_GB2312"/>
          <w:b w:val="0"/>
          <w:bCs w:val="0"/>
          <w:color w:val="auto"/>
          <w:spacing w:val="0"/>
          <w:sz w:val="32"/>
          <w:szCs w:val="32"/>
          <w:u w:val="none"/>
        </w:rPr>
        <w:t>开招聘工作人员〈综合知识〉笔试复习大纲》</w:t>
      </w:r>
      <w:r>
        <w:rPr>
          <w:rFonts w:hint="eastAsia" w:ascii="仿宋_GB2312" w:hAnsi="仿宋_GB2312" w:eastAsia="仿宋_GB2312" w:cs="仿宋_GB2312"/>
          <w:b w:val="0"/>
          <w:bCs w:val="0"/>
          <w:color w:val="auto"/>
          <w:spacing w:val="0"/>
          <w:sz w:val="32"/>
          <w:szCs w:val="32"/>
        </w:rPr>
        <w:t>（请登录四川省人力资源和社会保障厅官网“人事考</w:t>
      </w:r>
      <w:r>
        <w:rPr>
          <w:rFonts w:hint="eastAsia" w:ascii="仿宋_GB2312" w:hAnsi="仿宋_GB2312" w:eastAsia="仿宋_GB2312" w:cs="仿宋_GB2312"/>
          <w:color w:val="auto"/>
          <w:spacing w:val="0"/>
          <w:sz w:val="32"/>
          <w:szCs w:val="32"/>
        </w:rPr>
        <w:t>试”专栏“政策法规”条目查阅或下载）</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color w:val="auto"/>
          <w:spacing w:val="0"/>
          <w:sz w:val="32"/>
          <w:szCs w:val="32"/>
          <w:lang w:eastAsia="zh-CN"/>
        </w:rPr>
      </w:pPr>
      <w:r>
        <w:rPr>
          <w:rFonts w:hint="eastAsia" w:ascii="仿宋_GB2312" w:hAnsi="华文仿宋" w:eastAsia="仿宋_GB2312" w:cs="仿宋_GB2312"/>
          <w:color w:val="auto"/>
          <w:spacing w:val="0"/>
          <w:sz w:val="32"/>
          <w:szCs w:val="32"/>
        </w:rPr>
        <w:t>专业科目</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eastAsia="zh-CN"/>
        </w:rPr>
        <w:t>唐卡艺术综合知识</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eastAsia="zh-CN"/>
        </w:rPr>
        <w:t>不限定复习范围、不指定</w:t>
      </w:r>
      <w:r>
        <w:rPr>
          <w:rFonts w:hint="eastAsia" w:ascii="仿宋_GB2312" w:hAnsi="仿宋_GB2312" w:eastAsia="仿宋_GB2312" w:cs="仿宋_GB2312"/>
          <w:color w:val="auto"/>
          <w:spacing w:val="0"/>
          <w:sz w:val="32"/>
          <w:szCs w:val="32"/>
        </w:rPr>
        <w:t>复习资料。</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b/>
          <w:bCs/>
          <w:color w:val="auto"/>
          <w:spacing w:val="0"/>
          <w:sz w:val="32"/>
          <w:szCs w:val="32"/>
          <w:u w:val="none"/>
          <w:lang w:val="en-US" w:eastAsia="zh-CN"/>
        </w:rPr>
        <w:t>3</w:t>
      </w:r>
      <w:r>
        <w:rPr>
          <w:rFonts w:hint="eastAsia" w:ascii="仿宋_GB2312" w:hAnsi="仿宋_GB2312" w:eastAsia="仿宋_GB2312" w:cs="仿宋_GB2312"/>
          <w:b/>
          <w:bCs/>
          <w:color w:val="auto"/>
          <w:spacing w:val="0"/>
          <w:sz w:val="32"/>
          <w:szCs w:val="32"/>
          <w:u w:val="none"/>
        </w:rPr>
        <w:t>、笔试时间和地点。</w:t>
      </w:r>
      <w:r>
        <w:rPr>
          <w:rFonts w:hint="eastAsia" w:ascii="仿宋_GB2312" w:hAnsi="仿宋_GB2312" w:eastAsia="仿宋_GB2312" w:cs="仿宋_GB2312"/>
          <w:color w:val="auto"/>
          <w:spacing w:val="0"/>
          <w:sz w:val="32"/>
          <w:szCs w:val="32"/>
          <w:u w:val="none"/>
        </w:rPr>
        <w:t>定于2020年12月5日举行，具体时间和具体地点详见《准考证》。缺考笔试科目或笔试成绩为0分的报考者，视作自动放弃，取消报考资格。</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hint="eastAsia" w:ascii="仿宋_GB2312" w:hAnsi="仿宋_GB2312" w:eastAsia="仿宋_GB2312" w:cs="仿宋_GB2312"/>
          <w:color w:val="auto"/>
          <w:spacing w:val="0"/>
          <w:sz w:val="32"/>
          <w:szCs w:val="32"/>
          <w:u w:val="none"/>
          <w:lang w:eastAsia="zh-CN"/>
        </w:rPr>
      </w:pPr>
      <w:r>
        <w:rPr>
          <w:rFonts w:hint="eastAsia" w:ascii="仿宋_GB2312" w:hAnsi="仿宋_GB2312" w:eastAsia="仿宋_GB2312" w:cs="仿宋_GB2312"/>
          <w:b/>
          <w:color w:val="auto"/>
          <w:spacing w:val="0"/>
          <w:sz w:val="32"/>
          <w:szCs w:val="32"/>
          <w:lang w:val="en-US" w:eastAsia="zh-CN"/>
        </w:rPr>
        <w:t>4</w:t>
      </w:r>
      <w:r>
        <w:rPr>
          <w:rFonts w:hint="eastAsia" w:ascii="仿宋_GB2312" w:hAnsi="仿宋_GB2312" w:eastAsia="仿宋_GB2312" w:cs="仿宋_GB2312"/>
          <w:b/>
          <w:color w:val="auto"/>
          <w:spacing w:val="0"/>
          <w:sz w:val="32"/>
          <w:szCs w:val="32"/>
        </w:rPr>
        <w:t>、笔试成绩公布。</w:t>
      </w:r>
      <w:r>
        <w:rPr>
          <w:rFonts w:hint="eastAsia" w:ascii="仿宋_GB2312" w:hAnsi="仿宋_GB2312" w:eastAsia="仿宋_GB2312" w:cs="仿宋_GB2312"/>
          <w:color w:val="auto"/>
          <w:spacing w:val="0"/>
          <w:sz w:val="32"/>
          <w:szCs w:val="32"/>
          <w:u w:val="none"/>
        </w:rPr>
        <w:t>公共科目笔试原始成绩、专业笔试原始成绩于2020年12月22日分别在四川省人力资源和社会保障厅官网“人事考试”专栏、</w:t>
      </w:r>
      <w:r>
        <w:rPr>
          <w:rFonts w:hint="eastAsia" w:ascii="仿宋_GB2312" w:hAnsi="仿宋_GB2312" w:eastAsia="仿宋_GB2312" w:cs="仿宋_GB2312"/>
          <w:color w:val="auto"/>
          <w:spacing w:val="0"/>
          <w:sz w:val="32"/>
          <w:szCs w:val="32"/>
          <w:u w:val="none"/>
          <w:lang w:eastAsia="zh-CN"/>
        </w:rPr>
        <w:t>四川省民族宗教事务委员会官网</w:t>
      </w:r>
      <w:r>
        <w:rPr>
          <w:rFonts w:hint="eastAsia" w:ascii="仿宋_GB2312" w:hAnsi="仿宋_GB2312" w:eastAsia="仿宋_GB2312" w:cs="仿宋_GB2312"/>
          <w:color w:val="auto"/>
          <w:spacing w:val="0"/>
          <w:sz w:val="32"/>
          <w:szCs w:val="32"/>
          <w:u w:val="none"/>
        </w:rPr>
        <w:t>公布，报考者请自行登录上述网站或到</w:t>
      </w:r>
      <w:r>
        <w:rPr>
          <w:rFonts w:hint="eastAsia" w:ascii="仿宋_GB2312" w:hAnsi="仿宋_GB2312" w:eastAsia="仿宋_GB2312" w:cs="仿宋_GB2312"/>
          <w:color w:val="auto"/>
          <w:spacing w:val="0"/>
          <w:sz w:val="32"/>
          <w:szCs w:val="32"/>
          <w:u w:val="none"/>
          <w:lang w:val="en-US" w:eastAsia="zh-CN"/>
        </w:rPr>
        <w:t>四川省民族宗教事务委员会</w:t>
      </w:r>
      <w:r>
        <w:rPr>
          <w:rFonts w:hint="eastAsia" w:ascii="仿宋_GB2312" w:hAnsi="仿宋_GB2312" w:eastAsia="仿宋_GB2312" w:cs="仿宋_GB2312"/>
          <w:color w:val="auto"/>
          <w:spacing w:val="0"/>
          <w:sz w:val="32"/>
          <w:szCs w:val="32"/>
          <w:u w:val="none"/>
        </w:rPr>
        <w:t>查询本人相应笔试原始成绩</w:t>
      </w:r>
      <w:r>
        <w:rPr>
          <w:rFonts w:hint="eastAsia" w:ascii="仿宋_GB2312" w:hAnsi="仿宋_GB2312" w:eastAsia="仿宋_GB2312" w:cs="仿宋_GB2312"/>
          <w:color w:val="auto"/>
          <w:spacing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rPr>
        <w:t>对公共科目笔试成绩显示缺考、零分等特殊情况有疑问的报考者，可于2020年12月22日至12月23日24：00登录四川省人力资源和社会保障厅官网“人事考试”专栏申请核查本人公共科目笔试原始成绩，逾期不再受理，核查结果由省人事考试中心于2020年12月28日前在四川省人力资源和社会保障厅官网“人事考试”专栏公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rPr>
        <w:t>对专业知识笔试成绩有疑问的报考者，可于2020年</w:t>
      </w:r>
      <w:r>
        <w:rPr>
          <w:rFonts w:hint="eastAsia" w:ascii="仿宋_GB2312" w:hAnsi="仿宋_GB2312" w:eastAsia="仿宋_GB2312" w:cs="仿宋_GB2312"/>
          <w:color w:val="auto"/>
          <w:spacing w:val="0"/>
          <w:sz w:val="32"/>
          <w:szCs w:val="32"/>
          <w:u w:val="none"/>
          <w:lang w:val="en-US" w:eastAsia="zh-CN"/>
        </w:rPr>
        <w:t>12</w:t>
      </w:r>
      <w:r>
        <w:rPr>
          <w:rFonts w:hint="eastAsia" w:ascii="仿宋_GB2312" w:hAnsi="仿宋_GB2312" w:eastAsia="仿宋_GB2312" w:cs="仿宋_GB2312"/>
          <w:color w:val="auto"/>
          <w:spacing w:val="0"/>
          <w:sz w:val="32"/>
          <w:szCs w:val="32"/>
          <w:u w:val="none"/>
        </w:rPr>
        <w:t>月</w:t>
      </w:r>
      <w:r>
        <w:rPr>
          <w:rFonts w:hint="eastAsia" w:ascii="仿宋_GB2312" w:hAnsi="仿宋_GB2312" w:eastAsia="仿宋_GB2312" w:cs="仿宋_GB2312"/>
          <w:color w:val="auto"/>
          <w:spacing w:val="0"/>
          <w:sz w:val="32"/>
          <w:szCs w:val="32"/>
          <w:u w:val="none"/>
          <w:lang w:val="en-US" w:eastAsia="zh-CN"/>
        </w:rPr>
        <w:t>22</w:t>
      </w:r>
      <w:r>
        <w:rPr>
          <w:rFonts w:hint="eastAsia" w:ascii="仿宋_GB2312" w:hAnsi="仿宋_GB2312" w:eastAsia="仿宋_GB2312" w:cs="仿宋_GB2312"/>
          <w:color w:val="auto"/>
          <w:spacing w:val="0"/>
          <w:sz w:val="32"/>
          <w:szCs w:val="32"/>
          <w:u w:val="none"/>
        </w:rPr>
        <w:t>日</w:t>
      </w:r>
      <w:r>
        <w:rPr>
          <w:rFonts w:hint="eastAsia" w:ascii="仿宋_GB2312" w:hAnsi="仿宋_GB2312" w:eastAsia="仿宋_GB2312" w:cs="仿宋_GB2312"/>
          <w:color w:val="auto"/>
          <w:spacing w:val="0"/>
          <w:sz w:val="32"/>
          <w:szCs w:val="32"/>
          <w:u w:val="none"/>
          <w:lang w:val="en-US" w:eastAsia="zh-CN"/>
        </w:rPr>
        <w:t>8:00至12月23日18:00工作时间</w:t>
      </w:r>
      <w:r>
        <w:rPr>
          <w:rFonts w:hint="eastAsia" w:ascii="仿宋_GB2312" w:hAnsi="仿宋_GB2312" w:eastAsia="仿宋_GB2312" w:cs="仿宋_GB2312"/>
          <w:color w:val="auto"/>
          <w:spacing w:val="0"/>
          <w:sz w:val="32"/>
          <w:szCs w:val="32"/>
          <w:u w:val="none"/>
        </w:rPr>
        <w:t>到</w:t>
      </w:r>
      <w:r>
        <w:rPr>
          <w:rFonts w:hint="eastAsia" w:ascii="仿宋_GB2312" w:hAnsi="仿宋_GB2312" w:eastAsia="仿宋_GB2312" w:cs="仿宋_GB2312"/>
          <w:color w:val="auto"/>
          <w:spacing w:val="0"/>
          <w:sz w:val="32"/>
          <w:szCs w:val="32"/>
          <w:u w:val="none"/>
          <w:lang w:eastAsia="zh-CN"/>
        </w:rPr>
        <w:t>四川省民族宗教事务委员会</w:t>
      </w:r>
      <w:r>
        <w:rPr>
          <w:rFonts w:hint="eastAsia" w:ascii="仿宋_GB2312" w:hAnsi="仿宋_GB2312" w:eastAsia="仿宋_GB2312" w:cs="仿宋_GB2312"/>
          <w:color w:val="auto"/>
          <w:spacing w:val="0"/>
          <w:sz w:val="32"/>
          <w:szCs w:val="32"/>
          <w:u w:val="none"/>
        </w:rPr>
        <w:t>申请核查本人相应专业知识笔试原始成绩，逾期不再受理，核查结果由</w:t>
      </w:r>
      <w:r>
        <w:rPr>
          <w:rFonts w:hint="eastAsia" w:ascii="仿宋_GB2312" w:hAnsi="仿宋_GB2312" w:eastAsia="仿宋_GB2312" w:cs="仿宋_GB2312"/>
          <w:color w:val="auto"/>
          <w:spacing w:val="0"/>
          <w:sz w:val="32"/>
          <w:szCs w:val="32"/>
          <w:u w:val="none"/>
          <w:lang w:eastAsia="zh-CN"/>
        </w:rPr>
        <w:t>四川省民族宗教事务委员会</w:t>
      </w:r>
      <w:r>
        <w:rPr>
          <w:rFonts w:hint="eastAsia" w:ascii="仿宋_GB2312" w:hAnsi="仿宋_GB2312" w:eastAsia="仿宋_GB2312" w:cs="仿宋_GB2312"/>
          <w:color w:val="auto"/>
          <w:spacing w:val="0"/>
          <w:sz w:val="32"/>
          <w:szCs w:val="32"/>
          <w:u w:val="none"/>
        </w:rPr>
        <w:t>于2020年12月28日前分别在四川省人力资源和社会保障厅官网“人事考试”专栏、</w:t>
      </w:r>
      <w:r>
        <w:rPr>
          <w:rFonts w:hint="eastAsia" w:ascii="仿宋_GB2312" w:hAnsi="仿宋_GB2312" w:eastAsia="仿宋_GB2312" w:cs="仿宋_GB2312"/>
          <w:color w:val="auto"/>
          <w:spacing w:val="0"/>
          <w:sz w:val="32"/>
          <w:szCs w:val="32"/>
          <w:u w:val="none"/>
          <w:lang w:eastAsia="zh-CN"/>
        </w:rPr>
        <w:t>四川省民族宗教事务委员会官网</w:t>
      </w:r>
      <w:r>
        <w:rPr>
          <w:rFonts w:hint="eastAsia" w:ascii="仿宋_GB2312" w:hAnsi="仿宋_GB2312" w:eastAsia="仿宋_GB2312" w:cs="仿宋_GB2312"/>
          <w:color w:val="auto"/>
          <w:spacing w:val="0"/>
          <w:sz w:val="32"/>
          <w:szCs w:val="32"/>
          <w:u w:val="none"/>
        </w:rPr>
        <w:t>公布。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rPr>
        <w:t>报考者的笔试总成绩及岗位排名由</w:t>
      </w:r>
      <w:r>
        <w:rPr>
          <w:rFonts w:hint="eastAsia" w:ascii="仿宋_GB2312" w:hAnsi="仿宋_GB2312" w:eastAsia="仿宋_GB2312" w:cs="仿宋_GB2312"/>
          <w:color w:val="auto"/>
          <w:spacing w:val="0"/>
          <w:sz w:val="32"/>
          <w:szCs w:val="32"/>
          <w:u w:val="none"/>
          <w:lang w:eastAsia="zh-CN"/>
        </w:rPr>
        <w:t>四川省民族宗教事务委员会</w:t>
      </w:r>
      <w:r>
        <w:rPr>
          <w:rFonts w:hint="eastAsia" w:ascii="仿宋_GB2312" w:hAnsi="仿宋_GB2312" w:eastAsia="仿宋_GB2312" w:cs="仿宋_GB2312"/>
          <w:color w:val="auto"/>
          <w:spacing w:val="0"/>
          <w:sz w:val="32"/>
          <w:szCs w:val="32"/>
          <w:u w:val="none"/>
        </w:rPr>
        <w:t>于2021年1月6日在四川省人力资源和社会保障厅官网“人事考试”专栏</w:t>
      </w:r>
      <w:r>
        <w:rPr>
          <w:rFonts w:hint="eastAsia" w:ascii="仿宋_GB2312" w:hAnsi="仿宋_GB2312" w:eastAsia="仿宋_GB2312" w:cs="仿宋_GB2312"/>
          <w:color w:val="auto"/>
          <w:spacing w:val="0"/>
          <w:sz w:val="32"/>
          <w:szCs w:val="32"/>
        </w:rPr>
        <w:t>、四川省民族宗教事务委员会官网</w:t>
      </w:r>
      <w:r>
        <w:rPr>
          <w:rFonts w:hint="eastAsia" w:ascii="仿宋_GB2312" w:hAnsi="仿宋_GB2312" w:eastAsia="仿宋_GB2312" w:cs="仿宋_GB2312"/>
          <w:color w:val="auto"/>
          <w:spacing w:val="0"/>
          <w:sz w:val="32"/>
          <w:szCs w:val="32"/>
          <w:u w:val="none"/>
        </w:rPr>
        <w:t>发布。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color w:val="auto"/>
          <w:spacing w:val="0"/>
          <w:sz w:val="32"/>
          <w:szCs w:val="32"/>
          <w:u w:val="none"/>
          <w:lang w:eastAsia="zh-CN"/>
        </w:rPr>
      </w:pPr>
      <w:r>
        <w:rPr>
          <w:rFonts w:hint="eastAsia" w:ascii="仿宋_GB2312" w:hAnsi="仿宋_GB2312" w:eastAsia="仿宋_GB2312" w:cs="仿宋_GB2312"/>
          <w:color w:val="auto"/>
          <w:spacing w:val="0"/>
          <w:sz w:val="32"/>
          <w:szCs w:val="32"/>
          <w:lang w:val="en-US" w:eastAsia="zh-CN"/>
        </w:rPr>
        <w:t>5、</w:t>
      </w:r>
      <w:r>
        <w:rPr>
          <w:rFonts w:hint="eastAsia" w:ascii="仿宋_GB2312" w:hAnsi="仿宋_GB2312" w:eastAsia="仿宋_GB2312" w:cs="仿宋_GB2312"/>
          <w:b/>
          <w:color w:val="auto"/>
          <w:spacing w:val="0"/>
          <w:sz w:val="32"/>
          <w:szCs w:val="32"/>
        </w:rPr>
        <w:t>政策性加分。</w:t>
      </w:r>
      <w:r>
        <w:rPr>
          <w:rFonts w:hint="eastAsia" w:ascii="仿宋_GB2312" w:hAnsi="仿宋_GB2312" w:eastAsia="仿宋_GB2312" w:cs="仿宋_GB2312"/>
          <w:color w:val="auto"/>
          <w:spacing w:val="0"/>
          <w:sz w:val="32"/>
          <w:szCs w:val="32"/>
          <w:u w:val="none"/>
          <w:lang w:eastAsia="zh-CN"/>
        </w:rPr>
        <w:t>大学生村（社区）干部按《关于大学生村（社区）干部报考公务员和事业单位工作人员享受加分政策有关问题的通知》（川组通〔2010〕4号）规定加分；退役大学生士兵按《关于退役大学生士兵报考事业单位享受基层服务项目服务期满大学生同等待遇问题的通知》（川人社办发〔2012〕406号）和《关于退役大学生士兵报考事业单位享受有关加分政策答复意见的通知》（川人社函〔2018〕318号）规定加分；“三支一扶”“西部志愿者”及“特岗教师”等基层项目人员按《关于“十三五”期间实施高校毕业生“三支一扶”计划的通知》（川人社发〔2016〕34号）和《关于做好2018年“三支一扶”计划招募工作的通知》（川人社发〔2018〕16号）规定加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u w:val="none"/>
          <w:lang w:eastAsia="zh-CN"/>
        </w:rPr>
        <w:t>申请加分的报考者，务必于2020年12月25日前在工作时间将以下材料交四川省民族宗教事务委员会干部人事处</w:t>
      </w:r>
      <w:r>
        <w:rPr>
          <w:rFonts w:hint="eastAsia" w:ascii="仿宋_GB2312" w:hAnsi="仿宋_GB2312" w:eastAsia="仿宋_GB2312" w:cs="仿宋_GB2312"/>
          <w:color w:val="auto"/>
          <w:spacing w:val="0"/>
          <w:sz w:val="32"/>
          <w:szCs w:val="32"/>
          <w:u w:val="none"/>
          <w:lang w:val="en-US" w:eastAsia="zh-CN"/>
        </w:rPr>
        <w:t>606办公室</w:t>
      </w:r>
      <w:r>
        <w:rPr>
          <w:rFonts w:hint="eastAsia" w:ascii="仿宋_GB2312" w:hAnsi="仿宋_GB2312" w:eastAsia="仿宋_GB2312" w:cs="仿宋_GB2312"/>
          <w:color w:val="auto"/>
          <w:spacing w:val="0"/>
          <w:sz w:val="32"/>
          <w:szCs w:val="32"/>
          <w:u w:val="none"/>
          <w:lang w:eastAsia="zh-CN"/>
        </w:rPr>
        <w:t>（地址：成都市金牛区黄金路196号,联</w:t>
      </w:r>
      <w:r>
        <w:rPr>
          <w:rFonts w:hint="eastAsia" w:ascii="仿宋_GB2312" w:hAnsi="仿宋_GB2312" w:eastAsia="仿宋_GB2312" w:cs="仿宋_GB2312"/>
          <w:color w:val="auto"/>
          <w:spacing w:val="0"/>
          <w:sz w:val="32"/>
          <w:szCs w:val="32"/>
        </w:rPr>
        <w:t>系电话</w:t>
      </w:r>
      <w:r>
        <w:rPr>
          <w:rFonts w:ascii="仿宋_GB2312" w:hAnsi="仿宋_GB2312" w:eastAsia="仿宋_GB2312" w:cs="仿宋_GB2312"/>
          <w:color w:val="auto"/>
          <w:spacing w:val="0"/>
          <w:sz w:val="32"/>
          <w:szCs w:val="32"/>
        </w:rPr>
        <w:t>028-62012041</w:t>
      </w:r>
      <w:r>
        <w:rPr>
          <w:rFonts w:hint="eastAsia" w:ascii="仿宋_GB2312" w:hAnsi="仿宋_GB2312" w:eastAsia="仿宋_GB2312" w:cs="仿宋_GB2312"/>
          <w:color w:val="auto"/>
          <w:spacing w:val="0"/>
          <w:sz w:val="32"/>
          <w:szCs w:val="32"/>
          <w:lang w:eastAsia="zh-CN"/>
        </w:rPr>
        <w:t>，下同</w:t>
      </w:r>
      <w:r>
        <w:rPr>
          <w:rFonts w:hint="eastAsia" w:ascii="仿宋_GB2312" w:hAnsi="仿宋_GB2312" w:eastAsia="仿宋_GB2312" w:cs="仿宋_GB2312"/>
          <w:color w:val="auto"/>
          <w:spacing w:val="0"/>
          <w:sz w:val="32"/>
          <w:szCs w:val="32"/>
        </w:rPr>
        <w:t>）</w:t>
      </w:r>
      <w:r>
        <w:rPr>
          <w:rFonts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rPr>
        <w:t>以便审查。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color w:val="auto"/>
          <w:spacing w:val="0"/>
          <w:sz w:val="32"/>
          <w:szCs w:val="32"/>
          <w:u w:val="none"/>
          <w:lang w:eastAsia="zh-CN"/>
        </w:rPr>
      </w:pPr>
      <w:r>
        <w:rPr>
          <w:rFonts w:hint="eastAsia" w:ascii="仿宋_GB2312" w:hAnsi="仿宋_GB2312" w:eastAsia="仿宋_GB2312" w:cs="仿宋_GB2312"/>
          <w:color w:val="auto"/>
          <w:spacing w:val="0"/>
          <w:sz w:val="32"/>
          <w:szCs w:val="32"/>
          <w:u w:val="none"/>
          <w:lang w:eastAsia="zh-CN"/>
        </w:rPr>
        <w:t>1、“大学生志愿服务西部计划”、“三支一扶”计划以及“农村义务教育阶段学校教师特设岗位计划”和大学生村（社区）干部：服务所在地县以上团委（或人社局、教育局）出具的证明、考核材料、服务合同（协议）和服务证书等材料原件及复印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color w:val="auto"/>
          <w:spacing w:val="0"/>
          <w:sz w:val="32"/>
          <w:szCs w:val="32"/>
          <w:u w:val="none"/>
          <w:lang w:eastAsia="zh-CN"/>
        </w:rPr>
      </w:pPr>
      <w:r>
        <w:rPr>
          <w:rFonts w:hint="eastAsia" w:ascii="仿宋_GB2312" w:hAnsi="仿宋_GB2312" w:eastAsia="仿宋_GB2312" w:cs="仿宋_GB2312"/>
          <w:color w:val="auto"/>
          <w:spacing w:val="0"/>
          <w:sz w:val="32"/>
          <w:szCs w:val="32"/>
          <w:u w:val="none"/>
          <w:lang w:eastAsia="zh-CN"/>
        </w:rPr>
        <w:t>2、申请加分的退役大学生士兵，须提供本人有效的《退出现役证》、《优秀士兵证》、《优秀士官证》、《优秀义务兵证》、《优秀学员证》有关奖励证书（证章）和专科及以上毕业证等材料原件及复印件。</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hint="eastAsia" w:ascii="仿宋_GB2312" w:hAnsi="仿宋_GB2312" w:eastAsia="仿宋_GB2312" w:cs="仿宋_GB2312"/>
          <w:color w:val="auto"/>
          <w:spacing w:val="0"/>
          <w:sz w:val="32"/>
          <w:szCs w:val="32"/>
          <w:u w:val="none"/>
          <w:lang w:eastAsia="zh-CN"/>
        </w:rPr>
      </w:pPr>
      <w:r>
        <w:rPr>
          <w:rFonts w:hint="eastAsia" w:ascii="仿宋_GB2312" w:hAnsi="仿宋_GB2312" w:eastAsia="仿宋_GB2312" w:cs="仿宋_GB2312"/>
          <w:b/>
          <w:bCs/>
          <w:color w:val="auto"/>
          <w:spacing w:val="0"/>
          <w:sz w:val="32"/>
          <w:szCs w:val="32"/>
          <w:u w:val="none"/>
          <w:lang w:eastAsia="zh-CN"/>
        </w:rPr>
        <w:t>材料不齐备、非原件或逾期未按要求提交材料的，不予受理、责任自负</w:t>
      </w:r>
      <w:r>
        <w:rPr>
          <w:rFonts w:hint="eastAsia" w:ascii="仿宋_GB2312" w:hAnsi="仿宋_GB2312" w:eastAsia="仿宋_GB2312" w:cs="仿宋_GB2312"/>
          <w:color w:val="auto"/>
          <w:spacing w:val="0"/>
          <w:sz w:val="32"/>
          <w:szCs w:val="32"/>
          <w:u w:val="none"/>
          <w:lang w:eastAsia="zh-CN"/>
        </w:rPr>
        <w:t>。经审查符合条件的由四川省民族宗教事务委员会按公告和有关政策规定加分。</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hint="eastAsia" w:ascii="楷体_GB2312" w:eastAsia="楷体_GB2312" w:cs="宋体"/>
          <w:b/>
          <w:color w:val="auto"/>
          <w:spacing w:val="0"/>
          <w:sz w:val="32"/>
          <w:szCs w:val="32"/>
        </w:rPr>
      </w:pPr>
      <w:r>
        <w:rPr>
          <w:rFonts w:hint="eastAsia" w:ascii="楷体_GB2312" w:eastAsia="楷体_GB2312" w:cs="宋体"/>
          <w:b/>
          <w:color w:val="auto"/>
          <w:spacing w:val="0"/>
          <w:sz w:val="32"/>
          <w:szCs w:val="32"/>
        </w:rPr>
        <w:t>（二）面试</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color w:val="auto"/>
          <w:spacing w:val="0"/>
          <w:sz w:val="32"/>
          <w:szCs w:val="32"/>
        </w:rPr>
        <w:t>1、面试方式。</w:t>
      </w:r>
      <w:r>
        <w:rPr>
          <w:rFonts w:hint="eastAsia" w:ascii="仿宋_GB2312" w:hAnsi="仿宋_GB2312" w:eastAsia="仿宋_GB2312" w:cs="仿宋_GB2312"/>
          <w:color w:val="auto"/>
          <w:spacing w:val="0"/>
          <w:sz w:val="32"/>
          <w:szCs w:val="32"/>
        </w:rPr>
        <w:t>采用结构化</w:t>
      </w:r>
      <w:r>
        <w:rPr>
          <w:rFonts w:hint="eastAsia" w:ascii="仿宋_GB2312" w:hAnsi="仿宋_GB2312" w:eastAsia="仿宋_GB2312" w:cs="仿宋_GB2312"/>
          <w:color w:val="auto"/>
          <w:spacing w:val="0"/>
          <w:sz w:val="32"/>
          <w:szCs w:val="32"/>
          <w:lang w:eastAsia="zh-CN"/>
        </w:rPr>
        <w:t>面试</w:t>
      </w:r>
      <w:r>
        <w:rPr>
          <w:rFonts w:hint="eastAsia" w:ascii="仿宋_GB2312" w:hAnsi="仿宋_GB2312" w:eastAsia="仿宋_GB2312" w:cs="仿宋_GB2312"/>
          <w:color w:val="auto"/>
          <w:spacing w:val="0"/>
          <w:sz w:val="32"/>
          <w:szCs w:val="32"/>
          <w:lang w:val="en-US" w:eastAsia="zh-CN"/>
        </w:rPr>
        <w:t>或试讲</w:t>
      </w:r>
      <w:r>
        <w:rPr>
          <w:rFonts w:hint="eastAsia" w:ascii="仿宋_GB2312" w:hAnsi="仿宋_GB2312" w:eastAsia="仿宋_GB2312" w:cs="仿宋_GB2312"/>
          <w:color w:val="auto"/>
          <w:spacing w:val="0"/>
          <w:sz w:val="32"/>
          <w:szCs w:val="32"/>
        </w:rPr>
        <w:t>方式进行。面试成绩满分为100分。</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color w:val="auto"/>
          <w:spacing w:val="0"/>
          <w:sz w:val="32"/>
          <w:szCs w:val="32"/>
        </w:rPr>
        <w:t>2、确定面试入围资格审查人员。</w:t>
      </w:r>
      <w:r>
        <w:rPr>
          <w:rFonts w:hint="eastAsia" w:ascii="仿宋_GB2312" w:hAnsi="仿宋_GB2312" w:eastAsia="仿宋_GB2312" w:cs="仿宋_GB2312"/>
          <w:color w:val="auto"/>
          <w:spacing w:val="0"/>
          <w:sz w:val="32"/>
          <w:szCs w:val="32"/>
        </w:rPr>
        <w:t>四川省民族宗教事务委员会根据各具体招聘岗位的参考人员笔试总成绩和招聘名额，从高分到低分按3:1的比例确定面试入围资格审查人员。与最后一名面试入围资格审查人员笔试总成绩相同的人员，一并确定为面试入围资格审查人员。笔试成绩为0分或缺考的人员视为自动放弃。</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color w:val="auto"/>
          <w:spacing w:val="0"/>
          <w:sz w:val="32"/>
          <w:szCs w:val="32"/>
        </w:rPr>
        <w:t>3、面试资格审查手续的办理。</w:t>
      </w:r>
      <w:r>
        <w:rPr>
          <w:rFonts w:hint="eastAsia" w:ascii="仿宋_GB2312" w:hAnsi="仿宋_GB2312" w:eastAsia="仿宋_GB2312" w:cs="仿宋_GB2312"/>
          <w:color w:val="auto"/>
          <w:spacing w:val="0"/>
          <w:sz w:val="32"/>
          <w:szCs w:val="32"/>
        </w:rPr>
        <w:t>面试资格审查由四川省民族宗教事务委员会负责进行，具体时间、地点及人员</w:t>
      </w:r>
      <w:r>
        <w:rPr>
          <w:rFonts w:hint="eastAsia" w:ascii="仿宋_GB2312" w:hAnsi="仿宋_GB2312" w:eastAsia="仿宋_GB2312" w:cs="仿宋_GB2312"/>
          <w:color w:val="auto"/>
          <w:spacing w:val="0"/>
          <w:sz w:val="32"/>
          <w:szCs w:val="32"/>
          <w:lang w:val="en-US" w:eastAsia="zh-CN"/>
        </w:rPr>
        <w:t>名单于2021年1月15日</w:t>
      </w:r>
      <w:r>
        <w:rPr>
          <w:rFonts w:hint="eastAsia" w:ascii="仿宋_GB2312" w:hAnsi="仿宋_GB2312" w:eastAsia="仿宋_GB2312" w:cs="仿宋_GB2312"/>
          <w:color w:val="auto"/>
          <w:spacing w:val="0"/>
          <w:sz w:val="32"/>
          <w:szCs w:val="32"/>
        </w:rPr>
        <w:t>由四川省民族宗教事务委员会在四川省人力资源和社会保障厅官网“人事考试”专栏和四川省民族宗教事务委员会</w:t>
      </w:r>
      <w:r>
        <w:rPr>
          <w:rFonts w:hint="eastAsia" w:ascii="仿宋_GB2312" w:hAnsi="仿宋_GB2312" w:eastAsia="仿宋_GB2312" w:cs="仿宋_GB2312"/>
          <w:color w:val="auto"/>
          <w:spacing w:val="0"/>
          <w:sz w:val="32"/>
          <w:szCs w:val="32"/>
          <w:lang w:eastAsia="zh-CN"/>
        </w:rPr>
        <w:t>官网</w:t>
      </w:r>
      <w:r>
        <w:rPr>
          <w:rFonts w:hint="eastAsia" w:ascii="仿宋_GB2312" w:hAnsi="仿宋_GB2312" w:eastAsia="仿宋_GB2312" w:cs="仿宋_GB2312"/>
          <w:color w:val="auto"/>
          <w:spacing w:val="0"/>
          <w:sz w:val="32"/>
          <w:szCs w:val="32"/>
        </w:rPr>
        <w:t>公布，不再另行通知，请报考者注意查阅。</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获得面试入围审查资格的人员</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请按照规定的时间带上以下材料到指定地点办理面试资格审查手续：</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①《报考信息表》2份（请在四川省人力资源和社会保障厅官网“人事考试”专栏自行打印并按要求张贴近期2寸免冠证件照片）；</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②身份证原件</w:t>
      </w:r>
      <w:r>
        <w:rPr>
          <w:rFonts w:hint="eastAsia" w:ascii="仿宋_GB2312" w:hAnsi="仿宋_GB2312" w:eastAsia="仿宋_GB2312" w:cs="仿宋_GB2312"/>
          <w:color w:val="auto"/>
          <w:spacing w:val="0"/>
          <w:sz w:val="32"/>
          <w:szCs w:val="32"/>
          <w:lang w:eastAsia="zh-CN"/>
        </w:rPr>
        <w:t>及</w:t>
      </w:r>
      <w:r>
        <w:rPr>
          <w:rFonts w:hint="eastAsia" w:ascii="仿宋_GB2312" w:hAnsi="仿宋_GB2312" w:eastAsia="仿宋_GB2312" w:cs="仿宋_GB2312"/>
          <w:color w:val="auto"/>
          <w:spacing w:val="0"/>
          <w:sz w:val="32"/>
          <w:szCs w:val="32"/>
        </w:rPr>
        <w:t>复印件1份；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③有效的学位证、毕业证原件</w:t>
      </w:r>
      <w:r>
        <w:rPr>
          <w:rFonts w:hint="eastAsia" w:ascii="仿宋_GB2312" w:hAnsi="仿宋_GB2312" w:eastAsia="仿宋_GB2312" w:cs="仿宋_GB2312"/>
          <w:color w:val="auto"/>
          <w:spacing w:val="0"/>
          <w:sz w:val="32"/>
          <w:szCs w:val="32"/>
          <w:lang w:eastAsia="zh-CN"/>
        </w:rPr>
        <w:t>及</w:t>
      </w:r>
      <w:r>
        <w:rPr>
          <w:rFonts w:hint="eastAsia" w:ascii="仿宋_GB2312" w:hAnsi="仿宋_GB2312" w:eastAsia="仿宋_GB2312" w:cs="仿宋_GB2312"/>
          <w:color w:val="auto"/>
          <w:spacing w:val="0"/>
          <w:sz w:val="32"/>
          <w:szCs w:val="32"/>
        </w:rPr>
        <w:t>复印件</w:t>
      </w:r>
      <w:r>
        <w:rPr>
          <w:rFonts w:hint="eastAsia" w:ascii="仿宋_GB2312" w:hAnsi="仿宋_GB2312" w:eastAsia="仿宋_GB2312" w:cs="仿宋_GB2312"/>
          <w:color w:val="auto"/>
          <w:spacing w:val="0"/>
          <w:sz w:val="32"/>
          <w:szCs w:val="32"/>
          <w:lang w:eastAsia="zh-CN"/>
        </w:rPr>
        <w:t>各</w:t>
      </w:r>
      <w:r>
        <w:rPr>
          <w:rFonts w:hint="eastAsia" w:ascii="仿宋_GB2312" w:hAnsi="仿宋_GB2312" w:eastAsia="仿宋_GB2312" w:cs="仿宋_GB2312"/>
          <w:color w:val="auto"/>
          <w:spacing w:val="0"/>
          <w:sz w:val="32"/>
          <w:szCs w:val="32"/>
        </w:rPr>
        <w:t>1份。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其中，参加面试资格审查时，在规定时间内尚未取得毕业证和学位证的2021年应届毕业生，需提供学生证原件及复印件1份，学校主管毕业生就业工作</w:t>
      </w:r>
      <w:r>
        <w:rPr>
          <w:rFonts w:hint="eastAsia" w:ascii="仿宋_GB2312" w:hAnsi="仿宋_GB2312" w:eastAsia="仿宋_GB2312" w:cs="仿宋_GB2312"/>
          <w:color w:val="auto"/>
          <w:spacing w:val="0"/>
          <w:sz w:val="32"/>
          <w:szCs w:val="32"/>
          <w:lang w:eastAsia="zh-CN"/>
        </w:rPr>
        <w:t>委</w:t>
      </w:r>
      <w:r>
        <w:rPr>
          <w:rFonts w:hint="eastAsia" w:ascii="仿宋_GB2312" w:hAnsi="仿宋_GB2312" w:eastAsia="仿宋_GB2312" w:cs="仿宋_GB2312"/>
          <w:color w:val="auto"/>
          <w:spacing w:val="0"/>
          <w:sz w:val="32"/>
          <w:szCs w:val="32"/>
        </w:rPr>
        <w:t>开具的就读院系及专业等情况的证明原件。其最终是否符合报考岗位的学位、学历和专业资格条件，以本人毕业时取得的有效学位证，以及毕业证所载的学历和专业名称为准；不符者，</w:t>
      </w:r>
      <w:r>
        <w:rPr>
          <w:rFonts w:hint="eastAsia" w:ascii="仿宋_GB2312" w:hAnsi="仿宋_GB2312" w:eastAsia="仿宋_GB2312" w:cs="仿宋_GB2312"/>
          <w:color w:val="auto"/>
          <w:spacing w:val="0"/>
          <w:sz w:val="32"/>
          <w:szCs w:val="32"/>
          <w:lang w:eastAsia="zh-CN"/>
        </w:rPr>
        <w:t>四川省民族宗教事务委员会</w:t>
      </w:r>
      <w:r>
        <w:rPr>
          <w:rFonts w:hint="eastAsia" w:ascii="仿宋_GB2312" w:hAnsi="仿宋_GB2312" w:eastAsia="仿宋_GB2312" w:cs="仿宋_GB2312"/>
          <w:color w:val="auto"/>
          <w:spacing w:val="0"/>
          <w:sz w:val="32"/>
          <w:szCs w:val="32"/>
        </w:rPr>
        <w:t>将在公招的任一环节取消报考者的报考（聘用）资格，责任由报考者自负。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留学人员应持国家教育部留学服务中心认证学历、学位参加资格审查。留学期间所学专业未列入国家教育行政</w:t>
      </w:r>
      <w:r>
        <w:rPr>
          <w:rFonts w:hint="eastAsia" w:ascii="仿宋_GB2312" w:hAnsi="仿宋_GB2312" w:eastAsia="仿宋_GB2312" w:cs="仿宋_GB2312"/>
          <w:color w:val="auto"/>
          <w:spacing w:val="0"/>
          <w:sz w:val="32"/>
          <w:szCs w:val="32"/>
          <w:lang w:eastAsia="zh-CN"/>
        </w:rPr>
        <w:t>委</w:t>
      </w:r>
      <w:r>
        <w:rPr>
          <w:rFonts w:hint="eastAsia" w:ascii="仿宋_GB2312" w:hAnsi="仿宋_GB2312" w:eastAsia="仿宋_GB2312" w:cs="仿宋_GB2312"/>
          <w:color w:val="auto"/>
          <w:spacing w:val="0"/>
          <w:sz w:val="32"/>
          <w:szCs w:val="32"/>
        </w:rPr>
        <w:t>颁布的学科专业目录的，可按有关规定进行第三方专业认定，认定与招聘专业为相似专业的视为专业条件合格。</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④其他与报考资格相关的材料。</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hint="eastAsia" w:ascii="仿宋_GB2312" w:hAnsi="仿宋_GB2312" w:eastAsia="仿宋_GB2312" w:cs="仿宋_GB2312"/>
          <w:b/>
          <w:bCs/>
          <w:color w:val="auto"/>
          <w:spacing w:val="0"/>
          <w:sz w:val="32"/>
          <w:szCs w:val="32"/>
        </w:rPr>
      </w:pPr>
      <w:r>
        <w:rPr>
          <w:rFonts w:hint="eastAsia" w:ascii="仿宋_GB2312" w:hAnsi="仿宋_GB2312" w:eastAsia="仿宋_GB2312" w:cs="仿宋_GB2312"/>
          <w:b/>
          <w:bCs/>
          <w:color w:val="auto"/>
          <w:spacing w:val="0"/>
          <w:sz w:val="32"/>
          <w:szCs w:val="32"/>
        </w:rPr>
        <w:t>不能按要求提供上述证件和证明以及未按时参加资格审查的，视为自动放弃其面试资格。</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面试入围资格审查中因发现不符合报考条件取消面试资格以及因缺少面试资格审查公告要求的证件和没按规定时间参加资格审查自动放弃其面试审查资格而产生的空额，按笔试总成绩从高到低依次等额递补人员参加面试资格审查。依次等额递补取得面试审查资格的人员，由四川省民族宗教事务委员会根据报考者在《报考信息表》上所留联系电话直接通知其在规定的时间、地点进行资格审查。因报考人员联系电话</w:t>
      </w:r>
      <w:r>
        <w:rPr>
          <w:rFonts w:hint="eastAsia" w:ascii="仿宋_GB2312" w:hAnsi="仿宋_GB2312" w:eastAsia="仿宋_GB2312" w:cs="仿宋_GB2312"/>
          <w:color w:val="auto"/>
          <w:spacing w:val="0"/>
          <w:sz w:val="32"/>
          <w:szCs w:val="32"/>
          <w:lang w:eastAsia="zh-CN"/>
        </w:rPr>
        <w:t>填写错误</w:t>
      </w:r>
      <w:r>
        <w:rPr>
          <w:rFonts w:hint="eastAsia" w:ascii="仿宋_GB2312" w:hAnsi="仿宋_GB2312" w:eastAsia="仿宋_GB2312" w:cs="仿宋_GB2312"/>
          <w:color w:val="auto"/>
          <w:spacing w:val="0"/>
          <w:sz w:val="32"/>
          <w:szCs w:val="32"/>
        </w:rPr>
        <w:t>或不畅通导致不能递补参加面试资格审查的，视为自行放弃，责任自负。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通过面试资格审查的面试人员，由四川省民族宗教事务委员会发给面试通知书。</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color w:val="auto"/>
          <w:spacing w:val="0"/>
          <w:sz w:val="32"/>
          <w:szCs w:val="32"/>
        </w:rPr>
        <w:t>4、面试时间及地点。</w:t>
      </w:r>
      <w:r>
        <w:rPr>
          <w:rFonts w:hint="eastAsia" w:ascii="仿宋_GB2312" w:hAnsi="仿宋_GB2312" w:eastAsia="仿宋_GB2312" w:cs="仿宋_GB2312"/>
          <w:color w:val="auto"/>
          <w:spacing w:val="0"/>
          <w:sz w:val="32"/>
          <w:szCs w:val="32"/>
        </w:rPr>
        <w:t>面试的时间及地点详见面试通知书。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面试当日，面试人员凭面试通知书、本人有效身份证按面试通知书规定的时间、指定的地点准时到面试考场候考。未按规定的时间和要求到考场候考的视为自动放弃面试资格。由此出现的面试名额空缺不再递补面试人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如因面试入围资格审查或缺考出现空缺而造成实际参加面试人数与招聘人数之比低于规定的面试入围比例时，面试正常进行。如招聘岗位实际面试人员未形成竞争（即参加面试人数少于或等于该岗位拟招聘人数），该岗位面试人员面试成绩低于60分的，取消应聘资格。</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rPr>
        <w:t>5、</w:t>
      </w:r>
      <w:r>
        <w:rPr>
          <w:rFonts w:hint="eastAsia" w:ascii="仿宋_GB2312" w:hAnsi="仿宋_GB2312" w:eastAsia="仿宋_GB2312" w:cs="仿宋_GB2312"/>
          <w:b/>
          <w:color w:val="auto"/>
          <w:spacing w:val="0"/>
          <w:sz w:val="32"/>
          <w:szCs w:val="32"/>
        </w:rPr>
        <w:t>面试主要范围。</w:t>
      </w:r>
      <w:r>
        <w:rPr>
          <w:rFonts w:hint="eastAsia" w:ascii="仿宋_GB2312" w:hAnsi="仿宋_GB2312" w:eastAsia="仿宋_GB2312" w:cs="仿宋_GB2312"/>
          <w:color w:val="auto"/>
          <w:spacing w:val="0"/>
          <w:sz w:val="32"/>
          <w:szCs w:val="32"/>
          <w:lang w:val="zh-CN"/>
        </w:rPr>
        <w:t>包括意愿素质(动机愿望、职业责任感、敬业精神、竞争意识、兴趣爱好等)、知识素质（综合知识、专业知识等）智能素质（应变能力、语言表达能力、综合分析能力、逻辑思维能力、业务能力、创新能力、组织管理能力、人际协调能力等）和人格素质（举止仪表、性格气质等）等方面。</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b/>
          <w:color w:val="auto"/>
          <w:spacing w:val="0"/>
          <w:sz w:val="32"/>
          <w:szCs w:val="32"/>
        </w:rPr>
        <w:t>6、面试成绩公布。</w:t>
      </w:r>
      <w:r>
        <w:rPr>
          <w:rFonts w:hint="eastAsia" w:ascii="仿宋_GB2312" w:hAnsi="仿宋_GB2312" w:eastAsia="仿宋_GB2312" w:cs="仿宋_GB2312"/>
          <w:color w:val="auto"/>
          <w:spacing w:val="0"/>
          <w:sz w:val="32"/>
          <w:szCs w:val="32"/>
          <w:lang w:val="zh-CN"/>
        </w:rPr>
        <w:t>报考者的面试成绩当场公布并由报考者本人签字确认。</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hint="eastAsia" w:ascii="楷体_GB2312" w:eastAsia="楷体_GB2312"/>
          <w:b/>
          <w:color w:val="auto"/>
          <w:spacing w:val="0"/>
          <w:sz w:val="32"/>
          <w:szCs w:val="32"/>
        </w:rPr>
      </w:pPr>
      <w:r>
        <w:rPr>
          <w:rFonts w:hint="eastAsia" w:ascii="楷体_GB2312" w:eastAsia="楷体_GB2312"/>
          <w:b/>
          <w:color w:val="auto"/>
          <w:spacing w:val="0"/>
          <w:sz w:val="32"/>
          <w:szCs w:val="32"/>
        </w:rPr>
        <w:t>（三）考试成绩公布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color w:val="auto"/>
          <w:spacing w:val="0"/>
          <w:sz w:val="32"/>
          <w:szCs w:val="32"/>
        </w:rPr>
      </w:pPr>
      <w:r>
        <w:rPr>
          <w:rFonts w:hint="eastAsia" w:ascii="仿宋_GB2312" w:hAnsi="仿宋_GB2312" w:eastAsia="仿宋_GB2312" w:cs="仿宋_GB2312"/>
          <w:color w:val="auto"/>
          <w:spacing w:val="0"/>
          <w:sz w:val="32"/>
          <w:szCs w:val="32"/>
          <w:lang w:val="zh-CN"/>
        </w:rPr>
        <w:t>面试工作结束后，由</w:t>
      </w:r>
      <w:r>
        <w:rPr>
          <w:rFonts w:hint="eastAsia" w:ascii="仿宋_GB2312" w:hAnsi="仿宋_GB2312" w:eastAsia="仿宋_GB2312" w:cs="仿宋_GB2312"/>
          <w:color w:val="auto"/>
          <w:spacing w:val="0"/>
          <w:sz w:val="32"/>
          <w:szCs w:val="32"/>
        </w:rPr>
        <w:t>四川省民族宗教事务委员会</w:t>
      </w:r>
      <w:r>
        <w:rPr>
          <w:rFonts w:hint="eastAsia" w:ascii="仿宋_GB2312" w:hAnsi="仿宋_GB2312" w:eastAsia="仿宋_GB2312" w:cs="仿宋_GB2312"/>
          <w:color w:val="auto"/>
          <w:spacing w:val="0"/>
          <w:sz w:val="32"/>
          <w:szCs w:val="32"/>
          <w:lang w:val="zh-CN"/>
        </w:rPr>
        <w:t>于面试后3个工作日内在四川省人力资源和社会保障厅官网“人事考试”专栏、四川省民族宗教事务委员会官网上公告面试人员的考试总成绩（含笔试成绩、加分、面试成绩、总成绩及排名）。</w:t>
      </w:r>
    </w:p>
    <w:p>
      <w:pPr>
        <w:keepNext w:val="0"/>
        <w:keepLines w:val="0"/>
        <w:pageBreakBefore w:val="0"/>
        <w:widowControl w:val="0"/>
        <w:tabs>
          <w:tab w:val="left" w:pos="960"/>
          <w:tab w:val="left" w:pos="1440"/>
        </w:tabs>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cs="宋体"/>
          <w:bCs/>
          <w:color w:val="auto"/>
          <w:spacing w:val="0"/>
          <w:sz w:val="32"/>
          <w:szCs w:val="32"/>
        </w:rPr>
      </w:pPr>
      <w:r>
        <w:rPr>
          <w:rFonts w:hint="eastAsia" w:ascii="黑体" w:eastAsia="黑体"/>
          <w:bCs/>
          <w:color w:val="auto"/>
          <w:spacing w:val="0"/>
          <w:sz w:val="32"/>
          <w:szCs w:val="32"/>
        </w:rPr>
        <w:t>六、体检</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hint="eastAsia" w:ascii="楷体_GB2312" w:eastAsia="楷体_GB2312"/>
          <w:b/>
          <w:color w:val="auto"/>
          <w:spacing w:val="0"/>
          <w:sz w:val="32"/>
          <w:szCs w:val="32"/>
        </w:rPr>
      </w:pPr>
      <w:r>
        <w:rPr>
          <w:rFonts w:hint="eastAsia" w:ascii="楷体_GB2312" w:eastAsia="楷体_GB2312"/>
          <w:b/>
          <w:color w:val="auto"/>
          <w:spacing w:val="0"/>
          <w:sz w:val="32"/>
          <w:szCs w:val="32"/>
        </w:rPr>
        <w:t>（一）体检人员确定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根据招聘名额，按照报考者考试总成绩，由四川省民族宗教事务委员会从高分到低分依次等额确定体检人员。如考试总成绩相同，按面试成绩从高到低确定体检人员,下同。</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hint="eastAsia" w:ascii="仿宋_GB2312" w:hAnsi="仿宋_GB2312"/>
          <w:b/>
          <w:color w:val="auto"/>
          <w:spacing w:val="0"/>
          <w:sz w:val="32"/>
          <w:szCs w:val="32"/>
        </w:rPr>
      </w:pPr>
      <w:r>
        <w:rPr>
          <w:rFonts w:hint="eastAsia" w:ascii="楷体_GB2312" w:eastAsia="楷体_GB2312"/>
          <w:b/>
          <w:color w:val="auto"/>
          <w:spacing w:val="0"/>
          <w:sz w:val="32"/>
          <w:szCs w:val="32"/>
        </w:rPr>
        <w:t>（二）体检标准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黑体" w:eastAsia="黑体" w:cs="宋体"/>
          <w:color w:val="auto"/>
          <w:spacing w:val="0"/>
          <w:sz w:val="32"/>
          <w:szCs w:val="32"/>
          <w:shd w:val="pct10" w:color="auto" w:fill="FFFFFF"/>
        </w:rPr>
      </w:pPr>
      <w:r>
        <w:rPr>
          <w:rFonts w:hint="eastAsia" w:ascii="仿宋_GB2312" w:hAnsi="仿宋_GB2312" w:eastAsia="仿宋_GB2312" w:cs="仿宋_GB2312"/>
          <w:color w:val="auto"/>
          <w:spacing w:val="0"/>
          <w:sz w:val="32"/>
          <w:szCs w:val="32"/>
          <w:lang w:val="zh-CN"/>
        </w:rPr>
        <w:t>体检的项目和标准参照修订后的</w:t>
      </w:r>
      <w:r>
        <w:rPr>
          <w:rFonts w:hint="eastAsia" w:ascii="仿宋_GB2312" w:hAnsi="仿宋_GB2312" w:eastAsia="仿宋_GB2312" w:cs="仿宋_GB2312"/>
          <w:color w:val="auto"/>
          <w:spacing w:val="0"/>
          <w:sz w:val="32"/>
          <w:szCs w:val="32"/>
          <w:lang w:val="zh-CN"/>
        </w:rPr>
        <w:fldChar w:fldCharType="begin"/>
      </w:r>
      <w:r>
        <w:rPr>
          <w:rFonts w:hint="eastAsia" w:ascii="仿宋_GB2312" w:hAnsi="仿宋_GB2312" w:eastAsia="仿宋_GB2312" w:cs="仿宋_GB2312"/>
          <w:color w:val="auto"/>
          <w:spacing w:val="0"/>
          <w:sz w:val="32"/>
          <w:szCs w:val="32"/>
          <w:lang w:val="zh-CN"/>
        </w:rPr>
        <w:instrText xml:space="preserve">HYPERLINK "http://www.scpta.gov.cn/ShowRule.asp?id=248"</w:instrText>
      </w:r>
      <w:r>
        <w:rPr>
          <w:rFonts w:hint="eastAsia" w:ascii="仿宋_GB2312" w:hAnsi="仿宋_GB2312" w:eastAsia="仿宋_GB2312" w:cs="仿宋_GB2312"/>
          <w:color w:val="auto"/>
          <w:spacing w:val="0"/>
          <w:sz w:val="32"/>
          <w:szCs w:val="32"/>
          <w:lang w:val="zh-CN"/>
        </w:rPr>
        <w:fldChar w:fldCharType="separate"/>
      </w:r>
      <w:r>
        <w:rPr>
          <w:rFonts w:hint="eastAsia" w:ascii="仿宋_GB2312" w:hAnsi="仿宋_GB2312" w:eastAsia="仿宋_GB2312" w:cs="仿宋_GB2312"/>
          <w:color w:val="auto"/>
          <w:spacing w:val="0"/>
          <w:sz w:val="32"/>
          <w:szCs w:val="32"/>
          <w:lang w:val="zh-CN"/>
        </w:rPr>
        <w:t>《公务员录用体检通用标准（试行）》</w:t>
      </w:r>
      <w:r>
        <w:rPr>
          <w:rFonts w:hint="eastAsia" w:ascii="仿宋_GB2312" w:hAnsi="仿宋_GB2312" w:eastAsia="仿宋_GB2312" w:cs="仿宋_GB2312"/>
          <w:color w:val="auto"/>
          <w:spacing w:val="0"/>
          <w:sz w:val="32"/>
          <w:szCs w:val="32"/>
          <w:lang w:val="zh-CN"/>
        </w:rPr>
        <w:fldChar w:fldCharType="end"/>
      </w:r>
      <w:r>
        <w:rPr>
          <w:rFonts w:hint="eastAsia" w:ascii="仿宋_GB2312" w:hAnsi="仿宋_GB2312" w:eastAsia="仿宋_GB2312" w:cs="仿宋_GB2312"/>
          <w:color w:val="auto"/>
          <w:spacing w:val="0"/>
          <w:sz w:val="32"/>
          <w:szCs w:val="32"/>
          <w:lang w:val="zh-CN"/>
        </w:rPr>
        <w:t>和</w:t>
      </w:r>
      <w:r>
        <w:rPr>
          <w:rFonts w:hint="eastAsia" w:ascii="仿宋_GB2312" w:hAnsi="仿宋_GB2312" w:eastAsia="仿宋_GB2312" w:cs="仿宋_GB2312"/>
          <w:color w:val="auto"/>
          <w:spacing w:val="0"/>
          <w:sz w:val="32"/>
          <w:szCs w:val="32"/>
          <w:lang w:val="zh-CN"/>
        </w:rPr>
        <w:fldChar w:fldCharType="begin"/>
      </w:r>
      <w:r>
        <w:rPr>
          <w:rFonts w:hint="eastAsia" w:ascii="仿宋_GB2312" w:hAnsi="仿宋_GB2312" w:eastAsia="仿宋_GB2312" w:cs="仿宋_GB2312"/>
          <w:color w:val="auto"/>
          <w:spacing w:val="0"/>
          <w:sz w:val="32"/>
          <w:szCs w:val="32"/>
          <w:lang w:val="zh-CN"/>
        </w:rPr>
        <w:instrText xml:space="preserve">HYPERLINK "http://www.scpta.gov.cn/zlxz/2007gwytjczsc.doc"</w:instrText>
      </w:r>
      <w:r>
        <w:rPr>
          <w:rFonts w:hint="eastAsia" w:ascii="仿宋_GB2312" w:hAnsi="仿宋_GB2312" w:eastAsia="仿宋_GB2312" w:cs="仿宋_GB2312"/>
          <w:color w:val="auto"/>
          <w:spacing w:val="0"/>
          <w:sz w:val="32"/>
          <w:szCs w:val="32"/>
          <w:lang w:val="zh-CN"/>
        </w:rPr>
        <w:fldChar w:fldCharType="separate"/>
      </w:r>
      <w:r>
        <w:rPr>
          <w:rFonts w:hint="eastAsia" w:ascii="仿宋_GB2312" w:hAnsi="仿宋_GB2312" w:eastAsia="仿宋_GB2312" w:cs="仿宋_GB2312"/>
          <w:color w:val="auto"/>
          <w:spacing w:val="0"/>
          <w:sz w:val="32"/>
          <w:szCs w:val="32"/>
          <w:lang w:val="zh-CN"/>
        </w:rPr>
        <w:t>《公务员录用体检操作手册（试行）》</w:t>
      </w:r>
      <w:r>
        <w:rPr>
          <w:rFonts w:hint="eastAsia" w:ascii="仿宋_GB2312" w:hAnsi="仿宋_GB2312" w:eastAsia="仿宋_GB2312" w:cs="仿宋_GB2312"/>
          <w:color w:val="auto"/>
          <w:spacing w:val="0"/>
          <w:sz w:val="32"/>
          <w:szCs w:val="32"/>
          <w:lang w:val="zh-CN"/>
        </w:rPr>
        <w:fldChar w:fldCharType="end"/>
      </w:r>
      <w:r>
        <w:rPr>
          <w:rFonts w:hint="eastAsia" w:ascii="仿宋_GB2312" w:hAnsi="仿宋_GB2312" w:eastAsia="仿宋_GB2312" w:cs="仿宋_GB2312"/>
          <w:color w:val="auto"/>
          <w:spacing w:val="0"/>
          <w:sz w:val="32"/>
          <w:szCs w:val="32"/>
          <w:lang w:val="zh-CN"/>
        </w:rPr>
        <w:t>执行。其中，乙肝检测项目按国家人社部、教育部和卫生部</w:t>
      </w:r>
      <w:r>
        <w:rPr>
          <w:rFonts w:hint="eastAsia" w:ascii="仿宋_GB2312" w:hAnsi="仿宋_GB2312" w:eastAsia="仿宋_GB2312" w:cs="仿宋_GB2312"/>
          <w:color w:val="auto"/>
          <w:spacing w:val="0"/>
          <w:sz w:val="32"/>
          <w:szCs w:val="32"/>
          <w:lang w:val="zh-CN"/>
        </w:rPr>
        <w:fldChar w:fldCharType="begin"/>
      </w:r>
      <w:r>
        <w:rPr>
          <w:rFonts w:hint="eastAsia" w:ascii="仿宋_GB2312" w:hAnsi="仿宋_GB2312" w:eastAsia="仿宋_GB2312" w:cs="仿宋_GB2312"/>
          <w:color w:val="auto"/>
          <w:spacing w:val="0"/>
          <w:sz w:val="32"/>
          <w:szCs w:val="32"/>
          <w:lang w:val="zh-CN"/>
        </w:rPr>
        <w:instrText xml:space="preserve">HYPERLINK "http://file.scpta.gov.cn/201049/201049113100_r_346.html"</w:instrText>
      </w:r>
      <w:r>
        <w:rPr>
          <w:rFonts w:hint="eastAsia" w:ascii="仿宋_GB2312" w:hAnsi="仿宋_GB2312" w:eastAsia="仿宋_GB2312" w:cs="仿宋_GB2312"/>
          <w:color w:val="auto"/>
          <w:spacing w:val="0"/>
          <w:sz w:val="32"/>
          <w:szCs w:val="32"/>
          <w:lang w:val="zh-CN"/>
        </w:rPr>
        <w:fldChar w:fldCharType="separate"/>
      </w:r>
      <w:r>
        <w:rPr>
          <w:rFonts w:hint="eastAsia" w:ascii="仿宋_GB2312" w:hAnsi="仿宋_GB2312" w:eastAsia="仿宋_GB2312" w:cs="仿宋_GB2312"/>
          <w:color w:val="auto"/>
          <w:spacing w:val="0"/>
          <w:sz w:val="32"/>
          <w:szCs w:val="32"/>
          <w:lang w:val="zh-CN"/>
        </w:rPr>
        <w:t>《关于进一步规范入学和就业体检项目维护乙肝表面抗原携带者入学和就业权利的通知》</w:t>
      </w:r>
      <w:r>
        <w:rPr>
          <w:rFonts w:hint="eastAsia" w:ascii="仿宋_GB2312" w:hAnsi="仿宋_GB2312" w:eastAsia="仿宋_GB2312" w:cs="仿宋_GB2312"/>
          <w:color w:val="auto"/>
          <w:spacing w:val="0"/>
          <w:sz w:val="32"/>
          <w:szCs w:val="32"/>
          <w:lang w:val="zh-CN"/>
        </w:rPr>
        <w:fldChar w:fldCharType="end"/>
      </w:r>
      <w:r>
        <w:rPr>
          <w:rFonts w:hint="eastAsia" w:ascii="仿宋_GB2312" w:hAnsi="仿宋_GB2312" w:eastAsia="仿宋_GB2312" w:cs="仿宋_GB2312"/>
          <w:color w:val="auto"/>
          <w:spacing w:val="0"/>
          <w:sz w:val="32"/>
          <w:szCs w:val="32"/>
          <w:lang w:val="zh-CN"/>
        </w:rPr>
        <w:t>的要求执行。</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hint="eastAsia" w:ascii="仿宋_GB2312" w:hAnsi="仿宋_GB2312"/>
          <w:b/>
          <w:color w:val="auto"/>
          <w:spacing w:val="0"/>
          <w:sz w:val="32"/>
          <w:szCs w:val="32"/>
        </w:rPr>
      </w:pPr>
      <w:r>
        <w:rPr>
          <w:rFonts w:hint="eastAsia" w:ascii="楷体_GB2312" w:eastAsia="楷体_GB2312"/>
          <w:b/>
          <w:color w:val="auto"/>
          <w:spacing w:val="0"/>
          <w:sz w:val="32"/>
          <w:szCs w:val="32"/>
        </w:rPr>
        <w:t>（三）体检时间和地点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体检由四川省民族宗教事务委员会组织在指定的二级甲等及以上综合性医院进行。体检时间、集合地点及人员名单随面试人员考试总成绩公布。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未按规定时间到指定地点以及未在单位规定的期限内完成规定项目体检的报考者，视为自动弃权。</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hint="eastAsia" w:ascii="仿宋_GB2312" w:hAnsi="仿宋_GB2312"/>
          <w:b/>
          <w:color w:val="auto"/>
          <w:spacing w:val="0"/>
          <w:sz w:val="32"/>
          <w:szCs w:val="32"/>
        </w:rPr>
      </w:pPr>
      <w:r>
        <w:rPr>
          <w:rFonts w:hint="eastAsia" w:ascii="楷体_GB2312" w:eastAsia="楷体_GB2312"/>
          <w:b/>
          <w:color w:val="auto"/>
          <w:spacing w:val="0"/>
          <w:sz w:val="32"/>
          <w:szCs w:val="32"/>
        </w:rPr>
        <w:t>（四）复检及递补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初次体检不合格的，本人可在接到体检结果通知后按规定申请复检一次。复检由四川省民族宗教事务委员会指定到除原体检医院以外的二级甲等及以上综合性医院进行。申请复检人员的体检结果以复检结果为准。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cs="宋体"/>
          <w:color w:val="auto"/>
          <w:spacing w:val="0"/>
          <w:sz w:val="32"/>
          <w:szCs w:val="32"/>
        </w:rPr>
      </w:pPr>
      <w:r>
        <w:rPr>
          <w:rFonts w:hint="eastAsia" w:ascii="仿宋_GB2312" w:hAnsi="仿宋_GB2312" w:eastAsia="仿宋_GB2312" w:cs="仿宋_GB2312"/>
          <w:color w:val="auto"/>
          <w:spacing w:val="0"/>
          <w:sz w:val="32"/>
          <w:szCs w:val="32"/>
          <w:lang w:val="zh-CN"/>
        </w:rPr>
        <w:t>某岗位因体检人员自动弃权或体检不合格而出现的空额，按照参加面试报考者的考试总成绩，从高分到低分依次等额递补体检人员。如该岗位所有参加面试的人员体检均不合格或无人可递补，不再递补。</w:t>
      </w:r>
    </w:p>
    <w:p>
      <w:pPr>
        <w:keepNext w:val="0"/>
        <w:keepLines w:val="0"/>
        <w:pageBreakBefore w:val="0"/>
        <w:widowControl w:val="0"/>
        <w:tabs>
          <w:tab w:val="left" w:pos="960"/>
          <w:tab w:val="left" w:pos="1440"/>
        </w:tabs>
        <w:kinsoku/>
        <w:wordWrap/>
        <w:overflowPunct/>
        <w:topLinePunct w:val="0"/>
        <w:autoSpaceDE/>
        <w:autoSpaceDN/>
        <w:bidi w:val="0"/>
        <w:adjustRightInd/>
        <w:spacing w:line="560" w:lineRule="exact"/>
        <w:ind w:firstLine="640" w:firstLineChars="200"/>
        <w:textAlignment w:val="auto"/>
        <w:outlineLvl w:val="9"/>
        <w:rPr>
          <w:rStyle w:val="7"/>
          <w:rFonts w:hint="eastAsia" w:ascii="黑体" w:eastAsia="黑体"/>
          <w:bCs/>
          <w:color w:val="auto"/>
          <w:spacing w:val="0"/>
          <w:sz w:val="32"/>
          <w:szCs w:val="32"/>
        </w:rPr>
      </w:pPr>
      <w:r>
        <w:rPr>
          <w:rFonts w:hint="eastAsia" w:ascii="黑体" w:eastAsia="黑体"/>
          <w:bCs/>
          <w:color w:val="auto"/>
          <w:spacing w:val="0"/>
          <w:sz w:val="32"/>
          <w:szCs w:val="32"/>
        </w:rPr>
        <w:t>七、考核</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cs="宋体"/>
          <w:color w:val="auto"/>
          <w:spacing w:val="0"/>
          <w:sz w:val="32"/>
          <w:szCs w:val="32"/>
        </w:rPr>
      </w:pPr>
      <w:r>
        <w:rPr>
          <w:rFonts w:hint="eastAsia" w:ascii="仿宋_GB2312" w:hAnsi="仿宋_GB2312" w:eastAsia="仿宋_GB2312" w:cs="仿宋_GB2312"/>
          <w:color w:val="auto"/>
          <w:spacing w:val="0"/>
          <w:sz w:val="32"/>
          <w:szCs w:val="32"/>
          <w:lang w:val="zh-CN"/>
        </w:rPr>
        <w:t>四川省民族宗教事务委员会对体检合格人员的思想政治素质、遵纪守法情况、道德品质修养、心理调适能力等方面进行综合考核，并对其与报考相关的人事档案等材料的真实有效性和报考资格进行核实。对考核中取消报考资格以及通过考核的报考者在公示前自动放弃出现的空额，按参加该岗位面试的报考者考试总成绩，从高分到低分依次等额递补人选进行体检和考核，如该岗位所有参加面试的人员综合考核均不合格或无人可递补，不再递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黑体" w:eastAsia="黑体" w:cs="宋体"/>
          <w:color w:val="auto"/>
          <w:spacing w:val="0"/>
          <w:sz w:val="32"/>
          <w:szCs w:val="32"/>
        </w:rPr>
      </w:pPr>
      <w:r>
        <w:rPr>
          <w:rFonts w:hint="eastAsia" w:ascii="黑体" w:eastAsia="黑体" w:cs="宋体"/>
          <w:color w:val="auto"/>
          <w:spacing w:val="0"/>
          <w:sz w:val="32"/>
          <w:szCs w:val="32"/>
        </w:rPr>
        <w:t>八、公示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考试、体检、考核合格者由四川省民族宗教事务委员会确定为拟聘用人员，并在四川省人力资源和社会保障厅官网“人事考试”专栏、四川省民族宗教事务委员会官网上公示7个工作日。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公示内容包括拟审核确认人员的姓名、性别、年龄、准考证号、招聘岗位要求的本人其他有关基本情况、考试总成绩、排名以及该岗位招聘条件等，并公布监督举报电话接受社会监督和举报。举报者应以真实姓名实事求是地反映问题，并提供必要的调查线索。凡以匿名或其他方式反映的问题不予受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对公示期间反映有严重问题并查有实据、不符合报考条件的，取消被公示人拟聘用人员资格，不再予以审核确认；对反映有严重问题，但一时难以查实或难以否定的，可先进行审核确认，但一经核实不符合报考条件的，取消其拟聘用或聘用人员资格。公示期间因被公示人弃权或因其被举报查实取消资格后出现的空额不再递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黑体" w:eastAsia="黑体" w:cs="宋体"/>
          <w:color w:val="auto"/>
          <w:spacing w:val="0"/>
          <w:sz w:val="32"/>
          <w:szCs w:val="32"/>
          <w:shd w:val="pct10" w:color="auto" w:fill="FFFFFF"/>
        </w:rPr>
      </w:pPr>
      <w:r>
        <w:rPr>
          <w:rFonts w:hint="eastAsia" w:ascii="仿宋_GB2312" w:hAnsi="仿宋_GB2312" w:eastAsia="仿宋_GB2312" w:cs="仿宋_GB2312"/>
          <w:color w:val="auto"/>
          <w:spacing w:val="0"/>
          <w:sz w:val="32"/>
          <w:szCs w:val="32"/>
          <w:lang w:val="zh-CN"/>
        </w:rPr>
        <w:t>公示后因拟确认人员弃权等原因出现的招聘名额空额，不再递补。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黑体" w:eastAsia="黑体" w:cs="宋体"/>
          <w:b/>
          <w:bCs/>
          <w:color w:val="auto"/>
          <w:spacing w:val="0"/>
          <w:sz w:val="32"/>
          <w:szCs w:val="32"/>
        </w:rPr>
      </w:pPr>
      <w:r>
        <w:rPr>
          <w:rFonts w:hint="eastAsia" w:ascii="黑体" w:eastAsia="黑体" w:cs="宋体"/>
          <w:color w:val="auto"/>
          <w:spacing w:val="0"/>
          <w:sz w:val="32"/>
          <w:szCs w:val="32"/>
        </w:rPr>
        <w:t>九、审核确认和办理聘用手续</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公告公示无异议人员应按通知的时间和地点将以下材料提交四川省民族宗教事务委员会干部人事处六楼</w:t>
      </w:r>
      <w:r>
        <w:rPr>
          <w:rFonts w:hint="eastAsia" w:ascii="仿宋_GB2312" w:hAnsi="仿宋_GB2312" w:eastAsia="仿宋_GB2312" w:cs="仿宋_GB2312"/>
          <w:color w:val="auto"/>
          <w:spacing w:val="0"/>
          <w:sz w:val="32"/>
          <w:szCs w:val="32"/>
          <w:lang w:val="en-US" w:eastAsia="zh-CN"/>
        </w:rPr>
        <w:t>606办公室：</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olor w:val="auto"/>
          <w:spacing w:val="0"/>
          <w:sz w:val="32"/>
          <w:szCs w:val="32"/>
          <w:lang w:val="zh-CN"/>
        </w:rPr>
      </w:pPr>
      <w:r>
        <w:rPr>
          <w:rFonts w:ascii="仿宋_GB2312" w:hAnsi="仿宋_GB2312" w:eastAsia="仿宋_GB2312" w:cs="仿宋_GB2312"/>
          <w:color w:val="auto"/>
          <w:spacing w:val="0"/>
          <w:sz w:val="32"/>
          <w:szCs w:val="32"/>
          <w:lang w:val="zh-CN"/>
        </w:rPr>
        <w:t>1</w:t>
      </w:r>
      <w:r>
        <w:rPr>
          <w:rFonts w:hint="eastAsia" w:ascii="仿宋_GB2312" w:hAnsi="仿宋_GB2312" w:eastAsia="仿宋_GB2312" w:cs="仿宋_GB2312"/>
          <w:color w:val="auto"/>
          <w:spacing w:val="0"/>
          <w:sz w:val="32"/>
          <w:szCs w:val="32"/>
          <w:lang w:val="zh-CN"/>
        </w:rPr>
        <w:t>、在职人员应提供原单位出具的同意其到新单位应聘的书面材料</w:t>
      </w:r>
      <w:r>
        <w:rPr>
          <w:rFonts w:ascii="仿宋_GB2312" w:hAnsi="仿宋_GB2312" w:eastAsia="仿宋_GB2312" w:cs="仿宋_GB2312"/>
          <w:color w:val="auto"/>
          <w:spacing w:val="0"/>
          <w:sz w:val="32"/>
          <w:szCs w:val="32"/>
          <w:lang w:val="zh-CN"/>
        </w:rPr>
        <w:t>(</w:t>
      </w:r>
      <w:r>
        <w:rPr>
          <w:rFonts w:hint="eastAsia" w:ascii="仿宋_GB2312" w:hAnsi="仿宋_GB2312" w:eastAsia="仿宋_GB2312" w:cs="仿宋_GB2312"/>
          <w:color w:val="auto"/>
          <w:spacing w:val="0"/>
          <w:sz w:val="32"/>
          <w:szCs w:val="32"/>
          <w:lang w:val="zh-CN"/>
        </w:rPr>
        <w:t>通过审核确认后，在职人员再按招聘单位要求提供正式同意解除聘用</w:t>
      </w:r>
      <w:r>
        <w:rPr>
          <w:rFonts w:hint="eastAsia" w:ascii="仿宋" w:hAnsi="仿宋" w:eastAsia="仿宋" w:cs="仿宋"/>
          <w:color w:val="auto"/>
          <w:spacing w:val="0"/>
          <w:sz w:val="32"/>
          <w:szCs w:val="32"/>
        </w:rPr>
        <w:t>[</w:t>
      </w:r>
      <w:r>
        <w:rPr>
          <w:rFonts w:hint="eastAsia" w:ascii="仿宋_GB2312" w:hAnsi="仿宋_GB2312" w:eastAsia="仿宋_GB2312" w:cs="仿宋_GB2312"/>
          <w:color w:val="auto"/>
          <w:spacing w:val="0"/>
          <w:sz w:val="32"/>
          <w:szCs w:val="32"/>
          <w:lang w:val="zh-CN"/>
        </w:rPr>
        <w:t>劳动</w:t>
      </w:r>
      <w:r>
        <w:rPr>
          <w:rFonts w:hint="eastAsia" w:ascii="仿宋" w:hAnsi="仿宋" w:eastAsia="仿宋" w:cs="仿宋"/>
          <w:color w:val="auto"/>
          <w:spacing w:val="0"/>
          <w:sz w:val="32"/>
          <w:szCs w:val="32"/>
          <w:lang w:val="zh-CN"/>
        </w:rPr>
        <w:t>]</w:t>
      </w:r>
      <w:r>
        <w:rPr>
          <w:rFonts w:hint="eastAsia" w:ascii="仿宋_GB2312" w:hAnsi="仿宋_GB2312" w:eastAsia="仿宋_GB2312" w:cs="仿宋_GB2312"/>
          <w:color w:val="auto"/>
          <w:spacing w:val="0"/>
          <w:sz w:val="32"/>
          <w:szCs w:val="32"/>
          <w:lang w:val="zh-CN"/>
        </w:rPr>
        <w:t>合同或者同意流</w:t>
      </w:r>
      <w:r>
        <w:rPr>
          <w:rFonts w:hint="eastAsia" w:ascii="仿宋" w:hAnsi="仿宋" w:eastAsia="仿宋" w:cs="仿宋"/>
          <w:color w:val="auto"/>
          <w:spacing w:val="0"/>
          <w:sz w:val="32"/>
          <w:szCs w:val="32"/>
        </w:rPr>
        <w:t>[</w:t>
      </w:r>
      <w:r>
        <w:rPr>
          <w:rFonts w:hint="eastAsia" w:ascii="仿宋_GB2312" w:hAnsi="仿宋_GB2312" w:eastAsia="仿宋_GB2312" w:cs="仿宋_GB2312"/>
          <w:color w:val="auto"/>
          <w:spacing w:val="0"/>
          <w:sz w:val="32"/>
          <w:szCs w:val="32"/>
          <w:lang w:val="zh-CN"/>
        </w:rPr>
        <w:t>调</w:t>
      </w:r>
      <w:r>
        <w:rPr>
          <w:rFonts w:hint="eastAsia" w:ascii="仿宋" w:hAnsi="仿宋" w:eastAsia="仿宋" w:cs="仿宋"/>
          <w:color w:val="auto"/>
          <w:spacing w:val="0"/>
          <w:sz w:val="32"/>
          <w:szCs w:val="32"/>
          <w:lang w:val="zh-CN"/>
        </w:rPr>
        <w:t>]</w:t>
      </w:r>
      <w:r>
        <w:rPr>
          <w:rFonts w:hint="eastAsia" w:ascii="仿宋_GB2312" w:hAnsi="仿宋_GB2312" w:eastAsia="仿宋_GB2312" w:cs="仿宋_GB2312"/>
          <w:color w:val="auto"/>
          <w:spacing w:val="0"/>
          <w:sz w:val="32"/>
          <w:szCs w:val="32"/>
          <w:lang w:val="zh-CN"/>
        </w:rPr>
        <w:t>动的书面材料</w:t>
      </w:r>
      <w:r>
        <w:rPr>
          <w:rFonts w:ascii="仿宋_GB2312" w:hAnsi="仿宋_GB2312" w:eastAsia="仿宋_GB2312" w:cs="仿宋_GB2312"/>
          <w:color w:val="auto"/>
          <w:spacing w:val="0"/>
          <w:sz w:val="32"/>
          <w:szCs w:val="32"/>
          <w:lang w:val="zh-CN"/>
        </w:rPr>
        <w:t>)</w:t>
      </w:r>
      <w:r>
        <w:rPr>
          <w:rFonts w:hint="eastAsia" w:ascii="仿宋_GB2312" w:hAnsi="仿宋_GB2312" w:eastAsia="仿宋_GB2312" w:cs="仿宋_GB2312"/>
          <w:color w:val="auto"/>
          <w:spacing w:val="0"/>
          <w:sz w:val="32"/>
          <w:szCs w:val="32"/>
          <w:lang w:val="zh-CN"/>
        </w:rPr>
        <w:t>或者生效的劳动（人事）争议仲裁裁决书等有效书面证明材料以及有效的毕业证书、学位证书。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olor w:val="auto"/>
          <w:spacing w:val="0"/>
          <w:sz w:val="32"/>
          <w:szCs w:val="32"/>
          <w:lang w:val="zh-CN"/>
        </w:rPr>
      </w:pPr>
      <w:r>
        <w:rPr>
          <w:rFonts w:ascii="仿宋_GB2312" w:hAnsi="仿宋_GB2312" w:eastAsia="仿宋_GB2312" w:cs="仿宋_GB2312"/>
          <w:color w:val="auto"/>
          <w:spacing w:val="0"/>
          <w:sz w:val="32"/>
          <w:szCs w:val="32"/>
          <w:lang w:val="zh-CN"/>
        </w:rPr>
        <w:t>2</w:t>
      </w:r>
      <w:r>
        <w:rPr>
          <w:rFonts w:hint="eastAsia" w:ascii="仿宋_GB2312" w:hAnsi="仿宋_GB2312" w:eastAsia="仿宋_GB2312" w:cs="仿宋_GB2312"/>
          <w:color w:val="auto"/>
          <w:spacing w:val="0"/>
          <w:sz w:val="32"/>
          <w:szCs w:val="32"/>
          <w:lang w:val="zh-CN"/>
        </w:rPr>
        <w:t>、尚未就业的毕业生应提供教育行政部门出具的有效的毕业证书、学位证书、未就业证明。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olor w:val="auto"/>
          <w:spacing w:val="0"/>
          <w:sz w:val="32"/>
          <w:szCs w:val="32"/>
          <w:lang w:val="zh-CN"/>
        </w:rPr>
      </w:pPr>
      <w:r>
        <w:rPr>
          <w:rFonts w:ascii="仿宋_GB2312" w:hAnsi="仿宋_GB2312" w:eastAsia="仿宋_GB2312" w:cs="仿宋_GB2312"/>
          <w:color w:val="auto"/>
          <w:spacing w:val="0"/>
          <w:sz w:val="32"/>
          <w:szCs w:val="32"/>
          <w:lang w:val="zh-CN"/>
        </w:rPr>
        <w:t>3</w:t>
      </w:r>
      <w:r>
        <w:rPr>
          <w:rFonts w:hint="eastAsia" w:ascii="仿宋_GB2312" w:hAnsi="仿宋_GB2312" w:eastAsia="仿宋_GB2312" w:cs="仿宋_GB2312"/>
          <w:color w:val="auto"/>
          <w:spacing w:val="0"/>
          <w:sz w:val="32"/>
          <w:szCs w:val="32"/>
          <w:lang w:val="zh-CN"/>
        </w:rPr>
        <w:t>、</w:t>
      </w:r>
      <w:r>
        <w:rPr>
          <w:rFonts w:ascii="仿宋_GB2312" w:hAnsi="仿宋_GB2312" w:eastAsia="仿宋_GB2312" w:cs="仿宋_GB2312"/>
          <w:color w:val="auto"/>
          <w:spacing w:val="0"/>
          <w:sz w:val="32"/>
          <w:szCs w:val="32"/>
          <w:lang w:val="zh-CN"/>
        </w:rPr>
        <w:t>202</w:t>
      </w:r>
      <w:r>
        <w:rPr>
          <w:rFonts w:hint="eastAsia" w:ascii="仿宋_GB2312" w:hAnsi="仿宋_GB2312" w:eastAsia="仿宋_GB2312" w:cs="仿宋_GB2312"/>
          <w:color w:val="auto"/>
          <w:spacing w:val="0"/>
          <w:sz w:val="32"/>
          <w:szCs w:val="32"/>
          <w:lang w:val="en-US" w:eastAsia="zh-CN"/>
        </w:rPr>
        <w:t>1</w:t>
      </w:r>
      <w:r>
        <w:rPr>
          <w:rFonts w:hint="eastAsia" w:ascii="仿宋_GB2312" w:hAnsi="仿宋_GB2312" w:eastAsia="仿宋_GB2312" w:cs="仿宋_GB2312"/>
          <w:color w:val="auto"/>
          <w:spacing w:val="0"/>
          <w:sz w:val="32"/>
          <w:szCs w:val="32"/>
          <w:lang w:val="zh-CN"/>
        </w:rPr>
        <w:t>年应届毕业生应在</w:t>
      </w:r>
      <w:r>
        <w:rPr>
          <w:rFonts w:ascii="仿宋_GB2312" w:hAnsi="仿宋_GB2312" w:eastAsia="仿宋_GB2312" w:cs="仿宋_GB2312"/>
          <w:color w:val="auto"/>
          <w:spacing w:val="0"/>
          <w:sz w:val="32"/>
          <w:szCs w:val="32"/>
          <w:lang w:val="zh-CN"/>
        </w:rPr>
        <w:t>202</w:t>
      </w:r>
      <w:r>
        <w:rPr>
          <w:rFonts w:hint="eastAsia" w:ascii="仿宋_GB2312" w:hAnsi="仿宋_GB2312" w:eastAsia="仿宋_GB2312" w:cs="仿宋_GB2312"/>
          <w:color w:val="auto"/>
          <w:spacing w:val="0"/>
          <w:sz w:val="32"/>
          <w:szCs w:val="32"/>
          <w:lang w:val="en-US" w:eastAsia="zh-CN"/>
        </w:rPr>
        <w:t>1</w:t>
      </w:r>
      <w:r>
        <w:rPr>
          <w:rFonts w:hint="eastAsia" w:ascii="仿宋_GB2312" w:hAnsi="仿宋_GB2312" w:eastAsia="仿宋_GB2312" w:cs="仿宋_GB2312"/>
          <w:color w:val="auto"/>
          <w:spacing w:val="0"/>
          <w:sz w:val="32"/>
          <w:szCs w:val="32"/>
          <w:lang w:val="zh-CN"/>
        </w:rPr>
        <w:t>年</w:t>
      </w:r>
      <w:r>
        <w:rPr>
          <w:rFonts w:hint="eastAsia" w:ascii="仿宋_GB2312" w:hAnsi="仿宋_GB2312" w:eastAsia="仿宋_GB2312" w:cs="仿宋_GB2312"/>
          <w:color w:val="auto"/>
          <w:spacing w:val="0"/>
          <w:sz w:val="32"/>
          <w:szCs w:val="32"/>
          <w:lang w:val="en-US" w:eastAsia="zh-CN"/>
        </w:rPr>
        <w:t>7</w:t>
      </w:r>
      <w:r>
        <w:rPr>
          <w:rFonts w:hint="eastAsia" w:ascii="仿宋_GB2312" w:hAnsi="仿宋_GB2312" w:eastAsia="仿宋_GB2312" w:cs="仿宋_GB2312"/>
          <w:color w:val="auto"/>
          <w:spacing w:val="0"/>
          <w:sz w:val="32"/>
          <w:szCs w:val="32"/>
          <w:lang w:val="zh-CN"/>
        </w:rPr>
        <w:t>月</w:t>
      </w:r>
      <w:r>
        <w:rPr>
          <w:rFonts w:ascii="仿宋_GB2312" w:hAnsi="仿宋_GB2312" w:eastAsia="仿宋_GB2312" w:cs="仿宋_GB2312"/>
          <w:color w:val="auto"/>
          <w:spacing w:val="0"/>
          <w:sz w:val="32"/>
          <w:szCs w:val="32"/>
          <w:lang w:val="zh-CN"/>
        </w:rPr>
        <w:t>31</w:t>
      </w:r>
      <w:r>
        <w:rPr>
          <w:rFonts w:hint="eastAsia" w:ascii="仿宋_GB2312" w:hAnsi="仿宋_GB2312" w:eastAsia="仿宋_GB2312" w:cs="仿宋_GB2312"/>
          <w:color w:val="auto"/>
          <w:spacing w:val="0"/>
          <w:sz w:val="32"/>
          <w:szCs w:val="32"/>
          <w:lang w:val="zh-CN"/>
        </w:rPr>
        <w:t>日前提供毕业证书、学位证书、《就业报到证》。</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olor w:val="auto"/>
          <w:spacing w:val="0"/>
          <w:sz w:val="32"/>
          <w:szCs w:val="32"/>
          <w:lang w:val="zh-CN"/>
        </w:rPr>
      </w:pPr>
      <w:r>
        <w:rPr>
          <w:rFonts w:ascii="仿宋_GB2312" w:hAnsi="仿宋_GB2312" w:eastAsia="仿宋_GB2312" w:cs="仿宋_GB2312"/>
          <w:color w:val="auto"/>
          <w:spacing w:val="0"/>
          <w:sz w:val="32"/>
          <w:szCs w:val="32"/>
          <w:lang w:val="zh-CN"/>
        </w:rPr>
        <w:t>4</w:t>
      </w:r>
      <w:r>
        <w:rPr>
          <w:rFonts w:hint="eastAsia" w:ascii="仿宋_GB2312" w:hAnsi="仿宋_GB2312" w:eastAsia="仿宋_GB2312" w:cs="仿宋_GB2312"/>
          <w:color w:val="auto"/>
          <w:spacing w:val="0"/>
          <w:sz w:val="32"/>
          <w:szCs w:val="32"/>
          <w:lang w:val="zh-CN"/>
        </w:rPr>
        <w:t>、下岗、失业人员应提供户口所在地县级劳动保障部门发放的《再就业优惠证》或失业证明、有效的毕业证书和学位证书以及有效的人事档案管理机构出具的档案管理证明。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四川省民族宗教事务委员会负责对报考者所提供材料的真实性进行审查，并对符合公告要求的拟聘人员进行审核确认。</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审核确认的人员，取得聘用人员资格。</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olor w:val="auto"/>
          <w:spacing w:val="0"/>
          <w:sz w:val="32"/>
          <w:szCs w:val="32"/>
          <w:lang w:val="zh-CN"/>
        </w:rPr>
      </w:pPr>
      <w:r>
        <w:rPr>
          <w:rFonts w:hint="eastAsia" w:ascii="仿宋_GB2312" w:hAnsi="仿宋_GB2312" w:eastAsia="仿宋_GB2312" w:cs="仿宋_GB2312"/>
          <w:color w:val="auto"/>
          <w:spacing w:val="0"/>
          <w:sz w:val="32"/>
          <w:szCs w:val="32"/>
          <w:lang w:val="en-US" w:eastAsia="zh-CN"/>
        </w:rPr>
        <w:t>用人单位凭</w:t>
      </w:r>
      <w:r>
        <w:rPr>
          <w:rFonts w:hint="eastAsia" w:ascii="仿宋_GB2312" w:hAnsi="仿宋_GB2312" w:eastAsia="仿宋_GB2312" w:cs="仿宋_GB2312"/>
          <w:color w:val="auto"/>
          <w:spacing w:val="0"/>
          <w:sz w:val="32"/>
          <w:szCs w:val="32"/>
          <w:lang w:val="zh-CN"/>
        </w:rPr>
        <w:t>四川省民族宗教事务委员会出具确认文件，</w:t>
      </w:r>
      <w:r>
        <w:rPr>
          <w:rFonts w:hint="eastAsia" w:ascii="仿宋_GB2312" w:hAnsi="仿宋_GB2312" w:eastAsia="仿宋_GB2312" w:cs="仿宋_GB2312"/>
          <w:color w:val="auto"/>
          <w:spacing w:val="0"/>
          <w:sz w:val="32"/>
          <w:szCs w:val="32"/>
          <w:lang w:val="en-US" w:eastAsia="zh-CN"/>
        </w:rPr>
        <w:t>书面</w:t>
      </w:r>
      <w:r>
        <w:rPr>
          <w:rFonts w:hint="eastAsia" w:ascii="仿宋_GB2312" w:hAnsi="仿宋_GB2312" w:eastAsia="仿宋_GB2312" w:cs="仿宋_GB2312"/>
          <w:color w:val="auto"/>
          <w:spacing w:val="0"/>
          <w:sz w:val="32"/>
          <w:szCs w:val="32"/>
          <w:lang w:val="zh-CN"/>
        </w:rPr>
        <w:t>通知取得聘用资格的人员在规定的时间内到单位报到，并按照</w:t>
      </w:r>
      <w:r>
        <w:rPr>
          <w:rFonts w:hint="eastAsia" w:ascii="仿宋_GB2312" w:hAnsi="仿宋_GB2312" w:eastAsia="仿宋_GB2312" w:cs="仿宋_GB2312"/>
          <w:color w:val="auto"/>
          <w:spacing w:val="0"/>
          <w:sz w:val="32"/>
          <w:szCs w:val="32"/>
          <w:lang w:val="en-US" w:eastAsia="zh-CN"/>
        </w:rPr>
        <w:t>有关规定</w:t>
      </w:r>
      <w:r>
        <w:rPr>
          <w:rFonts w:hint="eastAsia" w:ascii="仿宋_GB2312" w:hAnsi="仿宋_GB2312" w:eastAsia="仿宋_GB2312" w:cs="仿宋_GB2312"/>
          <w:color w:val="auto"/>
          <w:spacing w:val="0"/>
          <w:sz w:val="32"/>
          <w:szCs w:val="32"/>
          <w:lang w:val="zh-CN"/>
        </w:rPr>
        <w:t>签订事业单位人事聘用合同，</w:t>
      </w:r>
      <w:r>
        <w:rPr>
          <w:rFonts w:hint="eastAsia" w:ascii="仿宋_GB2312" w:hAnsi="仿宋_GB2312" w:eastAsia="仿宋_GB2312" w:cs="仿宋_GB2312"/>
          <w:color w:val="auto"/>
          <w:spacing w:val="0"/>
          <w:sz w:val="32"/>
          <w:szCs w:val="32"/>
          <w:lang w:val="en-US" w:eastAsia="zh-CN"/>
        </w:rPr>
        <w:t>实行</w:t>
      </w:r>
      <w:r>
        <w:rPr>
          <w:rFonts w:hint="eastAsia" w:ascii="仿宋_GB2312" w:hAnsi="仿宋_GB2312" w:eastAsia="仿宋_GB2312" w:cs="仿宋_GB2312"/>
          <w:color w:val="auto"/>
          <w:spacing w:val="0"/>
          <w:sz w:val="32"/>
          <w:szCs w:val="32"/>
          <w:lang w:val="zh-CN"/>
        </w:rPr>
        <w:t>事业单位聘用制管理。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逾期或不能按要求提供上述材料的以及通过审核确认后，未按规定时间报到的，视为自动放弃，取消其拟聘（聘用）人员资格。</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黑体" w:eastAsia="黑体" w:cs="宋体"/>
          <w:color w:val="auto"/>
          <w:spacing w:val="0"/>
          <w:sz w:val="32"/>
          <w:szCs w:val="32"/>
        </w:rPr>
      </w:pPr>
      <w:r>
        <w:rPr>
          <w:rFonts w:hint="eastAsia" w:ascii="黑体" w:eastAsia="黑体" w:cs="宋体"/>
          <w:color w:val="auto"/>
          <w:spacing w:val="0"/>
          <w:sz w:val="32"/>
          <w:szCs w:val="32"/>
        </w:rPr>
        <w:t>十、纪律与监督</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color w:val="auto"/>
          <w:spacing w:val="0"/>
          <w:sz w:val="32"/>
          <w:szCs w:val="32"/>
        </w:rPr>
      </w:pPr>
      <w:r>
        <w:rPr>
          <w:rFonts w:hint="eastAsia" w:ascii="仿宋_GB2312" w:hAnsi="仿宋_GB2312" w:eastAsia="仿宋_GB2312" w:cs="仿宋_GB2312"/>
          <w:color w:val="auto"/>
          <w:spacing w:val="0"/>
          <w:sz w:val="32"/>
          <w:szCs w:val="32"/>
          <w:lang w:val="zh-CN"/>
        </w:rPr>
        <w:t>四川省民族宗教事务委员会在公开招聘中，将确保信息、过程、结果公开，接受社会及有关</w:t>
      </w:r>
      <w:r>
        <w:rPr>
          <w:rFonts w:hint="eastAsia" w:ascii="仿宋_GB2312" w:hAnsi="仿宋_GB2312" w:eastAsia="仿宋_GB2312" w:cs="仿宋_GB2312"/>
          <w:color w:val="auto"/>
          <w:spacing w:val="0"/>
          <w:sz w:val="32"/>
          <w:szCs w:val="32"/>
          <w:lang w:val="en-US" w:eastAsia="zh-CN"/>
        </w:rPr>
        <w:t>部门</w:t>
      </w:r>
      <w:r>
        <w:rPr>
          <w:rFonts w:hint="eastAsia" w:ascii="仿宋_GB2312" w:hAnsi="仿宋_GB2312" w:eastAsia="仿宋_GB2312" w:cs="仿宋_GB2312"/>
          <w:color w:val="auto"/>
          <w:spacing w:val="0"/>
          <w:sz w:val="32"/>
          <w:szCs w:val="32"/>
          <w:lang w:val="zh-CN"/>
        </w:rPr>
        <w:t>的监督。对违反规定、弄虚作假聘用的人员一经查实，取消其聘用资格，并对相关人员按照有关规定进行严肃处理。凡违反人事部令第６号第三十条和考风考纪规定，特别是不按公告进行资格审查的，按《事业单位公开招聘违纪违规行为处理规定》等规定严肃处理，构成犯罪的，依法追究刑事责任。</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Style w:val="7"/>
          <w:rFonts w:hint="eastAsia" w:ascii="黑体" w:eastAsia="黑体"/>
          <w:color w:val="auto"/>
          <w:spacing w:val="0"/>
          <w:sz w:val="32"/>
          <w:szCs w:val="32"/>
        </w:rPr>
      </w:pPr>
      <w:r>
        <w:rPr>
          <w:rFonts w:hint="eastAsia" w:ascii="黑体" w:eastAsia="黑体" w:cs="宋体"/>
          <w:color w:val="auto"/>
          <w:spacing w:val="0"/>
          <w:sz w:val="32"/>
          <w:szCs w:val="32"/>
        </w:rPr>
        <w:t>十一、特别提示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1、公招过程中如有其他调整、补充等事项，由四川省民族宗教事务委员会在四川省人力资源和社会保障厅官网“人事考试”专栏上公告。因报考者不主动、不按要求登录相关网站查阅相关信息，导致本人未能按要求参加笔试、面试、体检、考察、递补、聘用的，责任自负。</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en-US" w:eastAsia="zh-CN"/>
        </w:rPr>
        <w:t>2</w:t>
      </w:r>
      <w:r>
        <w:rPr>
          <w:rFonts w:hint="eastAsia" w:ascii="仿宋_GB2312" w:hAnsi="仿宋_GB2312" w:eastAsia="仿宋_GB2312" w:cs="仿宋_GB2312"/>
          <w:color w:val="auto"/>
          <w:spacing w:val="0"/>
          <w:sz w:val="32"/>
          <w:szCs w:val="32"/>
          <w:lang w:val="zh-CN"/>
        </w:rPr>
        <w:t>、请报考者确保联系方式正确、畅通。否则因无法与报考者取得联系所造成的后果，由报考者自行负责。</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en-US" w:eastAsia="zh-CN"/>
        </w:rPr>
        <w:t>3</w:t>
      </w:r>
      <w:r>
        <w:rPr>
          <w:rFonts w:hint="eastAsia" w:ascii="仿宋_GB2312" w:hAnsi="仿宋_GB2312" w:eastAsia="仿宋_GB2312" w:cs="仿宋_GB2312"/>
          <w:color w:val="auto"/>
          <w:spacing w:val="0"/>
          <w:sz w:val="32"/>
          <w:szCs w:val="32"/>
          <w:lang w:val="zh-CN"/>
        </w:rPr>
        <w:t>、四川省民族宗教事务委员会、四川省人力资源和社会保障厅不举办也不委托任何机构举办考试辅导培训班。</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黑体" w:eastAsia="黑体" w:cs="宋体"/>
          <w:color w:val="auto"/>
          <w:spacing w:val="0"/>
          <w:sz w:val="32"/>
          <w:szCs w:val="32"/>
        </w:rPr>
      </w:pPr>
      <w:r>
        <w:rPr>
          <w:rFonts w:hint="eastAsia" w:ascii="黑体" w:eastAsia="黑体" w:cs="宋体"/>
          <w:color w:val="auto"/>
          <w:spacing w:val="0"/>
          <w:sz w:val="32"/>
          <w:szCs w:val="32"/>
        </w:rPr>
        <w:t>十二、有关咨询、监督电话</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网上报名咨询电话：</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028-62012041（四川省民族宗教委干部人事处）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028-62012087（</w:t>
      </w:r>
      <w:r>
        <w:rPr>
          <w:rFonts w:hint="eastAsia" w:ascii="仿宋_GB2312" w:hAnsi="仿宋_GB2312" w:eastAsia="仿宋_GB2312" w:cs="仿宋_GB2312"/>
          <w:color w:val="auto"/>
          <w:spacing w:val="0"/>
          <w:sz w:val="32"/>
          <w:szCs w:val="32"/>
          <w:lang w:val="zh-CN"/>
        </w:rPr>
        <w:t>四川省民族研究所</w:t>
      </w:r>
      <w:r>
        <w:rPr>
          <w:rFonts w:hint="eastAsia" w:ascii="仿宋_GB2312" w:hAnsi="仿宋_GB2312" w:eastAsia="仿宋_GB2312" w:cs="仿宋_GB2312"/>
          <w:color w:val="auto"/>
          <w:spacing w:val="0"/>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0836</w:t>
      </w:r>
      <w:r>
        <w:rPr>
          <w:rFonts w:hint="eastAsia" w:ascii="仿宋_GB2312" w:hAnsi="仿宋_GB2312" w:eastAsia="仿宋_GB2312" w:cs="仿宋_GB2312"/>
          <w:color w:val="auto"/>
          <w:spacing w:val="0"/>
          <w:sz w:val="32"/>
          <w:szCs w:val="32"/>
          <w:lang w:val="zh-CN"/>
        </w:rPr>
        <w:t>-</w:t>
      </w:r>
      <w:r>
        <w:rPr>
          <w:rFonts w:hint="eastAsia" w:ascii="仿宋_GB2312" w:hAnsi="仿宋_GB2312" w:eastAsia="仿宋_GB2312" w:cs="仿宋_GB2312"/>
          <w:color w:val="auto"/>
          <w:spacing w:val="0"/>
          <w:sz w:val="32"/>
          <w:szCs w:val="32"/>
          <w:lang w:val="en-US" w:eastAsia="zh-CN"/>
        </w:rPr>
        <w:t>2822532(四川省藏文学校</w:t>
      </w:r>
      <w:r>
        <w:rPr>
          <w:rFonts w:hint="eastAsia" w:ascii="仿宋_GB2312" w:hAnsi="仿宋_GB2312" w:eastAsia="仿宋_GB2312" w:cs="仿宋_GB2312"/>
          <w:color w:val="auto"/>
          <w:spacing w:val="0"/>
          <w:sz w:val="32"/>
          <w:szCs w:val="32"/>
          <w:lang w:val="zh-CN"/>
        </w:rPr>
        <w:t>办公室</w:t>
      </w:r>
      <w:r>
        <w:rPr>
          <w:rFonts w:hint="eastAsia" w:ascii="仿宋_GB2312" w:hAnsi="仿宋_GB2312" w:eastAsia="仿宋_GB2312" w:cs="仿宋_GB2312"/>
          <w:color w:val="auto"/>
          <w:spacing w:val="0"/>
          <w:sz w:val="32"/>
          <w:szCs w:val="32"/>
          <w:lang w:val="en-US"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0834-3283591（四川省彝文学校办公室）</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028</w:t>
      </w:r>
      <w:r>
        <w:rPr>
          <w:rFonts w:hint="eastAsia" w:ascii="仿宋_GB2312" w:hAnsi="仿宋_GB2312" w:eastAsia="仿宋_GB2312" w:cs="仿宋_GB2312"/>
          <w:color w:val="auto"/>
          <w:spacing w:val="0"/>
          <w:sz w:val="32"/>
          <w:szCs w:val="32"/>
          <w:lang w:val="zh-CN"/>
        </w:rPr>
        <w:t>-</w:t>
      </w:r>
      <w:r>
        <w:rPr>
          <w:rFonts w:hint="eastAsia" w:ascii="仿宋_GB2312" w:hAnsi="仿宋_GB2312" w:eastAsia="仿宋_GB2312" w:cs="仿宋_GB2312"/>
          <w:color w:val="auto"/>
          <w:spacing w:val="0"/>
          <w:sz w:val="32"/>
          <w:szCs w:val="32"/>
          <w:lang w:val="en-US" w:eastAsia="zh-CN"/>
        </w:rPr>
        <w:t>87986576（四川神哲学院）</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028</w:t>
      </w:r>
      <w:r>
        <w:rPr>
          <w:rFonts w:hint="eastAsia" w:ascii="仿宋_GB2312" w:hAnsi="仿宋_GB2312" w:eastAsia="仿宋_GB2312" w:cs="仿宋_GB2312"/>
          <w:color w:val="auto"/>
          <w:spacing w:val="0"/>
          <w:sz w:val="32"/>
          <w:szCs w:val="32"/>
          <w:lang w:val="zh-CN"/>
        </w:rPr>
        <w:t>-</w:t>
      </w:r>
      <w:r>
        <w:rPr>
          <w:rFonts w:hint="eastAsia" w:ascii="仿宋_GB2312" w:hAnsi="仿宋_GB2312" w:eastAsia="仿宋_GB2312" w:cs="仿宋_GB2312"/>
          <w:color w:val="auto"/>
          <w:spacing w:val="0"/>
          <w:sz w:val="32"/>
          <w:szCs w:val="32"/>
          <w:lang w:val="en-US" w:eastAsia="zh-CN"/>
        </w:rPr>
        <w:t>83707711（四川尼众佛学院）</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综合政策咨询电话：</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028-86761165（省人社厅事业单位人事管理处）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网站技术咨询电话（主要解决报名网站技术问题）：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028-86740101（省人事人才考试测评基地）</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公共科目笔试考务咨询电话：</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rPr>
        <w:t>028-86759175（省人事人才考试测评基地）</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监督电话：</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028-6201203</w:t>
      </w:r>
      <w:r>
        <w:rPr>
          <w:rFonts w:hint="eastAsia" w:ascii="仿宋_GB2312" w:hAnsi="仿宋_GB2312" w:eastAsia="仿宋_GB2312" w:cs="仿宋_GB2312"/>
          <w:color w:val="auto"/>
          <w:spacing w:val="0"/>
          <w:sz w:val="32"/>
          <w:szCs w:val="32"/>
          <w:lang w:val="en-US" w:eastAsia="zh-CN"/>
        </w:rPr>
        <w:t>1</w:t>
      </w:r>
      <w:r>
        <w:rPr>
          <w:rFonts w:hint="eastAsia" w:ascii="仿宋_GB2312" w:hAnsi="仿宋_GB2312" w:eastAsia="仿宋_GB2312" w:cs="仿宋_GB2312"/>
          <w:color w:val="auto"/>
          <w:spacing w:val="0"/>
          <w:sz w:val="32"/>
          <w:szCs w:val="32"/>
        </w:rPr>
        <w:t xml:space="preserve"> (省民族宗教委机关纪委)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cs="宋体"/>
          <w:dstrike/>
          <w:color w:val="auto"/>
          <w:spacing w:val="0"/>
          <w:sz w:val="32"/>
          <w:szCs w:val="32"/>
        </w:rPr>
      </w:pPr>
    </w:p>
    <w:p>
      <w:pPr>
        <w:keepNext w:val="0"/>
        <w:keepLines w:val="0"/>
        <w:pageBreakBefore w:val="0"/>
        <w:widowControl w:val="0"/>
        <w:kinsoku/>
        <w:wordWrap/>
        <w:overflowPunct/>
        <w:topLinePunct w:val="0"/>
        <w:autoSpaceDE/>
        <w:autoSpaceDN/>
        <w:bidi w:val="0"/>
        <w:adjustRightInd/>
        <w:spacing w:line="560" w:lineRule="exact"/>
        <w:ind w:left="638" w:leftChars="304" w:firstLine="640" w:firstLineChars="200"/>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附件：《四川省民族宗教委直属事业单位2020年</w:t>
      </w:r>
      <w:r>
        <w:rPr>
          <w:rFonts w:hint="eastAsia" w:ascii="仿宋_GB2312" w:hAnsi="仿宋_GB2312" w:eastAsia="仿宋_GB2312" w:cs="仿宋_GB2312"/>
          <w:color w:val="auto"/>
          <w:spacing w:val="0"/>
          <w:sz w:val="32"/>
          <w:szCs w:val="32"/>
          <w:lang w:val="en-US" w:eastAsia="zh-CN"/>
        </w:rPr>
        <w:t>12</w:t>
      </w:r>
      <w:r>
        <w:rPr>
          <w:rFonts w:hint="eastAsia" w:ascii="仿宋_GB2312" w:hAnsi="仿宋_GB2312" w:eastAsia="仿宋_GB2312" w:cs="仿宋_GB2312"/>
          <w:color w:val="auto"/>
          <w:spacing w:val="0"/>
          <w:sz w:val="32"/>
          <w:szCs w:val="32"/>
        </w:rPr>
        <w:t>月公开招聘工作人员岗位和条件要求一览表》</w:t>
      </w:r>
    </w:p>
    <w:p>
      <w:pPr>
        <w:keepNext w:val="0"/>
        <w:keepLines w:val="0"/>
        <w:pageBreakBefore w:val="0"/>
        <w:widowControl w:val="0"/>
        <w:tabs>
          <w:tab w:val="left" w:pos="8820"/>
        </w:tabs>
        <w:kinsoku/>
        <w:wordWrap/>
        <w:overflowPunct/>
        <w:topLinePunct w:val="0"/>
        <w:autoSpaceDE/>
        <w:autoSpaceDN/>
        <w:bidi w:val="0"/>
        <w:adjustRightInd/>
        <w:spacing w:line="560" w:lineRule="exact"/>
        <w:ind w:firstLine="640" w:firstLineChars="200"/>
        <w:jc w:val="both"/>
        <w:textAlignment w:val="auto"/>
        <w:outlineLvl w:val="9"/>
        <w:rPr>
          <w:rFonts w:hint="eastAsia"/>
          <w:color w:val="auto"/>
          <w:spacing w:val="0"/>
          <w:sz w:val="32"/>
          <w:szCs w:val="32"/>
        </w:rPr>
      </w:pPr>
    </w:p>
    <w:p>
      <w:pPr>
        <w:keepNext w:val="0"/>
        <w:keepLines w:val="0"/>
        <w:pageBreakBefore w:val="0"/>
        <w:widowControl w:val="0"/>
        <w:tabs>
          <w:tab w:val="left" w:pos="8820"/>
        </w:tabs>
        <w:kinsoku/>
        <w:wordWrap/>
        <w:overflowPunct/>
        <w:topLinePunct w:val="0"/>
        <w:autoSpaceDE/>
        <w:autoSpaceDN/>
        <w:bidi w:val="0"/>
        <w:adjustRightInd/>
        <w:spacing w:line="560" w:lineRule="exact"/>
        <w:ind w:firstLine="640" w:firstLineChars="200"/>
        <w:jc w:val="center"/>
        <w:textAlignment w:val="auto"/>
        <w:outlineLvl w:val="9"/>
        <w:rPr>
          <w:rFonts w:hint="eastAsia" w:ascii="仿宋_GB2312" w:hAnsi="仿宋_GB2312" w:eastAsia="仿宋_GB2312" w:cs="仿宋_GB2312"/>
          <w:color w:val="auto"/>
          <w:spacing w:val="0"/>
          <w:sz w:val="32"/>
          <w:szCs w:val="32"/>
          <w:bdr w:val="single" w:color="000000" w:sz="4" w:space="0"/>
          <w:shd w:val="pct10" w:color="auto" w:fill="FFFFFF"/>
        </w:rPr>
      </w:pPr>
      <w:r>
        <w:rPr>
          <w:rFonts w:hint="eastAsia"/>
          <w:color w:val="auto"/>
          <w:spacing w:val="0"/>
          <w:sz w:val="32"/>
          <w:szCs w:val="32"/>
        </w:rPr>
        <w:t xml:space="preserve">                   </w:t>
      </w:r>
      <w:r>
        <w:rPr>
          <w:rFonts w:hint="eastAsia" w:ascii="仿宋_GB2312" w:hAnsi="仿宋_GB2312" w:eastAsia="仿宋_GB2312" w:cs="仿宋_GB2312"/>
          <w:color w:val="auto"/>
          <w:spacing w:val="0"/>
          <w:sz w:val="32"/>
          <w:szCs w:val="32"/>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 xml:space="preserve"> 四川省民族宗教事务委员会</w:t>
      </w:r>
    </w:p>
    <w:p>
      <w:pPr>
        <w:keepNext w:val="0"/>
        <w:keepLines w:val="0"/>
        <w:pageBreakBefore w:val="0"/>
        <w:widowControl w:val="0"/>
        <w:tabs>
          <w:tab w:val="left" w:pos="8820"/>
        </w:tabs>
        <w:kinsoku/>
        <w:wordWrap/>
        <w:overflowPunct/>
        <w:topLinePunct w:val="0"/>
        <w:autoSpaceDE/>
        <w:autoSpaceDN/>
        <w:bidi w:val="0"/>
        <w:adjustRightInd/>
        <w:spacing w:line="560" w:lineRule="exact"/>
        <w:ind w:firstLine="640" w:firstLineChars="200"/>
        <w:jc w:val="center"/>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xml:space="preserve">                            2020年</w:t>
      </w:r>
      <w:r>
        <w:rPr>
          <w:rFonts w:hint="eastAsia" w:ascii="仿宋_GB2312" w:hAnsi="仿宋_GB2312" w:eastAsia="仿宋_GB2312" w:cs="仿宋_GB2312"/>
          <w:color w:val="auto"/>
          <w:spacing w:val="0"/>
          <w:sz w:val="32"/>
          <w:szCs w:val="32"/>
          <w:lang w:val="en-US" w:eastAsia="zh-CN"/>
        </w:rPr>
        <w:t>10</w:t>
      </w:r>
      <w:r>
        <w:rPr>
          <w:rFonts w:hint="eastAsia" w:ascii="仿宋_GB2312" w:hAnsi="仿宋_GB2312" w:eastAsia="仿宋_GB2312" w:cs="仿宋_GB2312"/>
          <w:color w:val="auto"/>
          <w:spacing w:val="0"/>
          <w:sz w:val="32"/>
          <w:szCs w:val="32"/>
        </w:rPr>
        <w:t>月</w:t>
      </w:r>
      <w:r>
        <w:rPr>
          <w:rFonts w:hint="eastAsia" w:ascii="仿宋_GB2312" w:hAnsi="仿宋_GB2312" w:eastAsia="仿宋_GB2312" w:cs="仿宋_GB2312"/>
          <w:color w:val="auto"/>
          <w:spacing w:val="0"/>
          <w:sz w:val="32"/>
          <w:szCs w:val="32"/>
          <w:lang w:val="en-US" w:eastAsia="zh-CN"/>
        </w:rPr>
        <w:t>27</w:t>
      </w:r>
      <w:r>
        <w:rPr>
          <w:rFonts w:hint="eastAsia" w:ascii="仿宋_GB2312" w:hAnsi="仿宋_GB2312" w:eastAsia="仿宋_GB2312" w:cs="仿宋_GB2312"/>
          <w:color w:val="auto"/>
          <w:spacing w:val="0"/>
          <w:sz w:val="32"/>
          <w:szCs w:val="32"/>
        </w:rPr>
        <w:t>日</w:t>
      </w:r>
    </w:p>
    <w:p>
      <w:pPr>
        <w:keepNext w:val="0"/>
        <w:keepLines w:val="0"/>
        <w:pageBreakBefore w:val="0"/>
        <w:widowControl w:val="0"/>
        <w:tabs>
          <w:tab w:val="left" w:pos="8820"/>
        </w:tabs>
        <w:kinsoku/>
        <w:wordWrap/>
        <w:overflowPunct/>
        <w:topLinePunct w:val="0"/>
        <w:autoSpaceDE/>
        <w:autoSpaceDN/>
        <w:bidi w:val="0"/>
        <w:adjustRightInd/>
        <w:spacing w:line="600" w:lineRule="exact"/>
        <w:jc w:val="both"/>
        <w:textAlignment w:val="auto"/>
        <w:outlineLvl w:val="9"/>
        <w:rPr>
          <w:rFonts w:hint="eastAsia" w:ascii="仿宋_GB2312" w:hAnsi="仿宋_GB2312" w:eastAsia="仿宋_GB2312" w:cs="仿宋_GB2312"/>
          <w:color w:val="auto"/>
          <w:spacing w:val="-17"/>
          <w:sz w:val="32"/>
          <w:szCs w:val="32"/>
          <w:lang w:val="en-US" w:eastAsia="zh-CN"/>
        </w:rPr>
        <w:sectPr>
          <w:headerReference r:id="rId3" w:type="default"/>
          <w:footerReference r:id="rId5" w:type="default"/>
          <w:headerReference r:id="rId4" w:type="even"/>
          <w:footerReference r:id="rId6" w:type="even"/>
          <w:pgSz w:w="11907" w:h="16840"/>
          <w:pgMar w:top="1871" w:right="1474" w:bottom="1701" w:left="1587" w:header="851" w:footer="1134" w:gutter="0"/>
          <w:cols w:space="720" w:num="1"/>
          <w:docGrid w:linePitch="312" w:charSpace="0"/>
        </w:sectPr>
      </w:pPr>
    </w:p>
    <w:tbl>
      <w:tblPr>
        <w:tblStyle w:val="5"/>
        <w:tblpPr w:leftFromText="180" w:rightFromText="180" w:vertAnchor="text" w:horzAnchor="page" w:tblpX="1271" w:tblpY="698"/>
        <w:tblOverlap w:val="never"/>
        <w:tblW w:w="14383" w:type="dxa"/>
        <w:jc w:val="center"/>
        <w:tblInd w:w="0" w:type="dxa"/>
        <w:tblLayout w:type="fixed"/>
        <w:tblCellMar>
          <w:top w:w="0" w:type="dxa"/>
          <w:left w:w="108" w:type="dxa"/>
          <w:bottom w:w="0" w:type="dxa"/>
          <w:right w:w="108" w:type="dxa"/>
        </w:tblCellMar>
      </w:tblPr>
      <w:tblGrid>
        <w:gridCol w:w="989"/>
        <w:gridCol w:w="530"/>
        <w:gridCol w:w="964"/>
        <w:gridCol w:w="862"/>
        <w:gridCol w:w="525"/>
        <w:gridCol w:w="700"/>
        <w:gridCol w:w="730"/>
        <w:gridCol w:w="2215"/>
        <w:gridCol w:w="1871"/>
        <w:gridCol w:w="1284"/>
        <w:gridCol w:w="738"/>
        <w:gridCol w:w="590"/>
        <w:gridCol w:w="710"/>
        <w:gridCol w:w="909"/>
        <w:gridCol w:w="766"/>
      </w:tblGrid>
      <w:tr>
        <w:tblPrEx>
          <w:tblLayout w:type="fixed"/>
          <w:tblCellMar>
            <w:top w:w="0" w:type="dxa"/>
            <w:left w:w="108" w:type="dxa"/>
            <w:bottom w:w="0" w:type="dxa"/>
            <w:right w:w="108" w:type="dxa"/>
          </w:tblCellMar>
        </w:tblPrEx>
        <w:trPr>
          <w:cantSplit/>
          <w:trHeight w:val="347" w:hRule="atLeast"/>
          <w:jc w:val="center"/>
        </w:trPr>
        <w:tc>
          <w:tcPr>
            <w:tcW w:w="989" w:type="dxa"/>
            <w:vMerge w:val="restart"/>
            <w:tcBorders>
              <w:top w:val="single" w:color="auto" w:sz="4" w:space="0"/>
              <w:left w:val="single" w:color="auto" w:sz="4" w:space="0"/>
              <w:bottom w:val="single" w:color="000000" w:sz="4" w:space="0"/>
              <w:right w:val="single" w:color="auto" w:sz="4" w:space="0"/>
            </w:tcBorders>
            <w:vAlign w:val="center"/>
          </w:tcPr>
          <w:p>
            <w:pPr>
              <w:spacing w:line="200" w:lineRule="exact"/>
              <w:jc w:val="center"/>
              <w:rPr>
                <w:rFonts w:ascii="黑体" w:hAnsi="黑体" w:eastAsia="黑体"/>
                <w:color w:val="auto"/>
                <w:sz w:val="18"/>
                <w:szCs w:val="18"/>
              </w:rPr>
            </w:pPr>
            <w:r>
              <w:rPr>
                <w:rFonts w:hint="eastAsia" w:ascii="黑体" w:hAnsi="黑体" w:eastAsia="黑体" w:cs="黑体"/>
                <w:color w:val="auto"/>
                <w:sz w:val="18"/>
                <w:szCs w:val="18"/>
              </w:rPr>
              <w:t>招聘</w:t>
            </w:r>
          </w:p>
          <w:p>
            <w:pPr>
              <w:spacing w:line="200" w:lineRule="exact"/>
              <w:jc w:val="center"/>
              <w:rPr>
                <w:rFonts w:ascii="黑体" w:hAnsi="黑体" w:eastAsia="黑体"/>
                <w:color w:val="auto"/>
                <w:sz w:val="18"/>
                <w:szCs w:val="18"/>
              </w:rPr>
            </w:pPr>
            <w:r>
              <w:rPr>
                <w:rFonts w:hint="eastAsia" w:ascii="黑体" w:hAnsi="黑体" w:eastAsia="黑体" w:cs="黑体"/>
                <w:color w:val="auto"/>
                <w:sz w:val="18"/>
                <w:szCs w:val="18"/>
              </w:rPr>
              <w:t>单位</w:t>
            </w:r>
          </w:p>
        </w:tc>
        <w:tc>
          <w:tcPr>
            <w:tcW w:w="1494" w:type="dxa"/>
            <w:gridSpan w:val="2"/>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黑体" w:hAnsi="黑体" w:eastAsia="黑体"/>
                <w:color w:val="auto"/>
                <w:sz w:val="18"/>
                <w:szCs w:val="18"/>
              </w:rPr>
            </w:pPr>
            <w:r>
              <w:rPr>
                <w:rFonts w:hint="eastAsia" w:ascii="黑体" w:hAnsi="黑体" w:eastAsia="黑体" w:cs="黑体"/>
                <w:color w:val="auto"/>
                <w:sz w:val="18"/>
                <w:szCs w:val="18"/>
              </w:rPr>
              <w:t>招聘岗位</w:t>
            </w:r>
          </w:p>
        </w:tc>
        <w:tc>
          <w:tcPr>
            <w:tcW w:w="862" w:type="dxa"/>
            <w:vMerge w:val="restart"/>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黑体" w:hAnsi="黑体" w:eastAsia="黑体"/>
                <w:color w:val="auto"/>
                <w:spacing w:val="-17"/>
                <w:sz w:val="18"/>
                <w:szCs w:val="18"/>
              </w:rPr>
            </w:pPr>
            <w:r>
              <w:rPr>
                <w:rFonts w:hint="eastAsia" w:ascii="黑体" w:hAnsi="黑体" w:eastAsia="黑体" w:cs="黑体"/>
                <w:color w:val="auto"/>
                <w:spacing w:val="-17"/>
                <w:sz w:val="18"/>
                <w:szCs w:val="18"/>
              </w:rPr>
              <w:t>岗位</w:t>
            </w:r>
          </w:p>
          <w:p>
            <w:pPr>
              <w:spacing w:line="200" w:lineRule="exact"/>
              <w:jc w:val="center"/>
              <w:rPr>
                <w:rFonts w:ascii="黑体" w:hAnsi="黑体" w:eastAsia="黑体"/>
                <w:color w:val="auto"/>
                <w:sz w:val="18"/>
                <w:szCs w:val="18"/>
              </w:rPr>
            </w:pPr>
            <w:r>
              <w:rPr>
                <w:rFonts w:hint="eastAsia" w:ascii="黑体" w:hAnsi="黑体" w:eastAsia="黑体" w:cs="黑体"/>
                <w:color w:val="auto"/>
                <w:spacing w:val="-17"/>
                <w:sz w:val="18"/>
                <w:szCs w:val="18"/>
              </w:rPr>
              <w:t>编码</w:t>
            </w:r>
          </w:p>
        </w:tc>
        <w:tc>
          <w:tcPr>
            <w:tcW w:w="525" w:type="dxa"/>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00" w:lineRule="exact"/>
              <w:jc w:val="center"/>
              <w:rPr>
                <w:rFonts w:ascii="黑体" w:hAnsi="黑体" w:eastAsia="黑体"/>
                <w:color w:val="auto"/>
                <w:sz w:val="18"/>
                <w:szCs w:val="18"/>
              </w:rPr>
            </w:pPr>
            <w:r>
              <w:rPr>
                <w:rFonts w:hint="eastAsia" w:ascii="黑体" w:hAnsi="黑体" w:eastAsia="黑体" w:cs="黑体"/>
                <w:color w:val="auto"/>
                <w:sz w:val="18"/>
                <w:szCs w:val="18"/>
              </w:rPr>
              <w:t>招聘</w:t>
            </w:r>
          </w:p>
          <w:p>
            <w:pPr>
              <w:spacing w:line="200" w:lineRule="exact"/>
              <w:jc w:val="center"/>
              <w:rPr>
                <w:rFonts w:ascii="黑体" w:hAnsi="黑体" w:eastAsia="黑体"/>
                <w:color w:val="auto"/>
                <w:sz w:val="18"/>
                <w:szCs w:val="18"/>
              </w:rPr>
            </w:pPr>
            <w:r>
              <w:rPr>
                <w:rFonts w:hint="eastAsia" w:ascii="黑体" w:hAnsi="黑体" w:eastAsia="黑体" w:cs="黑体"/>
                <w:color w:val="auto"/>
                <w:sz w:val="18"/>
                <w:szCs w:val="18"/>
              </w:rPr>
              <w:t>人数</w:t>
            </w:r>
          </w:p>
        </w:tc>
        <w:tc>
          <w:tcPr>
            <w:tcW w:w="700" w:type="dxa"/>
            <w:vMerge w:val="restart"/>
            <w:tcBorders>
              <w:top w:val="single" w:color="auto" w:sz="4" w:space="0"/>
              <w:left w:val="nil"/>
              <w:bottom w:val="nil"/>
              <w:right w:val="single" w:color="auto" w:sz="4" w:space="0"/>
            </w:tcBorders>
            <w:vAlign w:val="center"/>
          </w:tcPr>
          <w:p>
            <w:pPr>
              <w:spacing w:line="200" w:lineRule="exact"/>
              <w:jc w:val="center"/>
              <w:rPr>
                <w:rFonts w:ascii="黑体" w:hAnsi="黑体" w:eastAsia="黑体"/>
                <w:color w:val="auto"/>
                <w:sz w:val="18"/>
                <w:szCs w:val="18"/>
              </w:rPr>
            </w:pPr>
            <w:r>
              <w:rPr>
                <w:rFonts w:hint="eastAsia" w:ascii="黑体" w:hAnsi="黑体" w:eastAsia="黑体" w:cs="黑体"/>
                <w:color w:val="auto"/>
                <w:sz w:val="18"/>
                <w:szCs w:val="18"/>
              </w:rPr>
              <w:t>招聘</w:t>
            </w:r>
          </w:p>
          <w:p>
            <w:pPr>
              <w:spacing w:line="200" w:lineRule="exact"/>
              <w:jc w:val="center"/>
              <w:rPr>
                <w:rFonts w:ascii="黑体" w:hAnsi="黑体" w:eastAsia="黑体"/>
                <w:color w:val="auto"/>
                <w:sz w:val="18"/>
                <w:szCs w:val="18"/>
              </w:rPr>
            </w:pPr>
            <w:r>
              <w:rPr>
                <w:rFonts w:hint="eastAsia" w:ascii="黑体" w:hAnsi="黑体" w:eastAsia="黑体" w:cs="黑体"/>
                <w:color w:val="auto"/>
                <w:sz w:val="18"/>
                <w:szCs w:val="18"/>
              </w:rPr>
              <w:t>对象</w:t>
            </w:r>
          </w:p>
          <w:p>
            <w:pPr>
              <w:spacing w:line="200" w:lineRule="exact"/>
              <w:jc w:val="center"/>
              <w:rPr>
                <w:rFonts w:ascii="黑体" w:hAnsi="黑体" w:eastAsia="黑体"/>
                <w:color w:val="auto"/>
                <w:sz w:val="18"/>
                <w:szCs w:val="18"/>
              </w:rPr>
            </w:pPr>
            <w:r>
              <w:rPr>
                <w:rFonts w:hint="eastAsia" w:ascii="黑体" w:hAnsi="黑体" w:eastAsia="黑体" w:cs="黑体"/>
                <w:color w:val="auto"/>
                <w:sz w:val="18"/>
                <w:szCs w:val="18"/>
              </w:rPr>
              <w:t>范围</w:t>
            </w:r>
          </w:p>
        </w:tc>
        <w:tc>
          <w:tcPr>
            <w:tcW w:w="6100" w:type="dxa"/>
            <w:gridSpan w:val="4"/>
            <w:tcBorders>
              <w:top w:val="single" w:color="auto" w:sz="4" w:space="0"/>
              <w:left w:val="single" w:color="auto" w:sz="4" w:space="0"/>
              <w:bottom w:val="single" w:color="auto" w:sz="4" w:space="0"/>
              <w:right w:val="single" w:color="000000" w:sz="4" w:space="0"/>
            </w:tcBorders>
            <w:vAlign w:val="center"/>
          </w:tcPr>
          <w:p>
            <w:pPr>
              <w:spacing w:line="200" w:lineRule="exact"/>
              <w:ind w:left="289"/>
              <w:jc w:val="center"/>
              <w:rPr>
                <w:rFonts w:ascii="黑体" w:hAnsi="黑体" w:eastAsia="黑体"/>
                <w:color w:val="auto"/>
                <w:sz w:val="18"/>
                <w:szCs w:val="18"/>
              </w:rPr>
            </w:pPr>
            <w:r>
              <w:rPr>
                <w:rFonts w:hint="eastAsia" w:ascii="黑体" w:hAnsi="黑体" w:eastAsia="黑体" w:cs="黑体"/>
                <w:color w:val="auto"/>
                <w:sz w:val="18"/>
                <w:szCs w:val="18"/>
              </w:rPr>
              <w:t>其他条件要求</w:t>
            </w:r>
          </w:p>
        </w:tc>
        <w:tc>
          <w:tcPr>
            <w:tcW w:w="738" w:type="dxa"/>
            <w:vMerge w:val="restart"/>
            <w:tcBorders>
              <w:top w:val="single" w:color="auto" w:sz="4" w:space="0"/>
              <w:left w:val="single" w:color="auto" w:sz="4" w:space="0"/>
              <w:bottom w:val="single" w:color="auto" w:sz="4" w:space="0"/>
              <w:right w:val="single" w:color="auto" w:sz="4" w:space="0"/>
            </w:tcBorders>
            <w:vAlign w:val="center"/>
          </w:tcPr>
          <w:p>
            <w:pPr>
              <w:spacing w:line="180" w:lineRule="exact"/>
              <w:rPr>
                <w:rFonts w:ascii="黑体" w:hAnsi="黑体" w:eastAsia="黑体"/>
                <w:color w:val="auto"/>
                <w:sz w:val="18"/>
                <w:szCs w:val="18"/>
              </w:rPr>
            </w:pPr>
            <w:r>
              <w:rPr>
                <w:rFonts w:hint="eastAsia" w:ascii="黑体" w:hAnsi="黑体" w:eastAsia="黑体" w:cs="黑体"/>
                <w:color w:val="auto"/>
                <w:sz w:val="18"/>
                <w:szCs w:val="18"/>
              </w:rPr>
              <w:t>笔试开考比例</w:t>
            </w:r>
          </w:p>
        </w:tc>
        <w:tc>
          <w:tcPr>
            <w:tcW w:w="590" w:type="dxa"/>
            <w:vMerge w:val="restart"/>
            <w:tcBorders>
              <w:top w:val="single" w:color="auto" w:sz="4" w:space="0"/>
              <w:left w:val="single" w:color="auto" w:sz="4" w:space="0"/>
              <w:bottom w:val="single" w:color="auto" w:sz="4" w:space="0"/>
              <w:right w:val="single" w:color="auto" w:sz="4" w:space="0"/>
            </w:tcBorders>
            <w:vAlign w:val="center"/>
          </w:tcPr>
          <w:p>
            <w:pPr>
              <w:spacing w:line="180" w:lineRule="exact"/>
              <w:jc w:val="center"/>
              <w:rPr>
                <w:rFonts w:ascii="黑体" w:hAnsi="黑体" w:eastAsia="黑体"/>
                <w:color w:val="auto"/>
                <w:sz w:val="18"/>
                <w:szCs w:val="18"/>
              </w:rPr>
            </w:pPr>
            <w:r>
              <w:rPr>
                <w:rFonts w:hint="eastAsia" w:ascii="黑体" w:hAnsi="黑体" w:eastAsia="黑体" w:cs="黑体"/>
                <w:color w:val="auto"/>
                <w:spacing w:val="-17"/>
                <w:sz w:val="18"/>
                <w:szCs w:val="18"/>
              </w:rPr>
              <w:t>公共科目笔试名称</w:t>
            </w:r>
          </w:p>
        </w:tc>
        <w:tc>
          <w:tcPr>
            <w:tcW w:w="710" w:type="dxa"/>
            <w:vMerge w:val="restart"/>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黑体" w:hAnsi="黑体" w:eastAsia="黑体"/>
                <w:color w:val="auto"/>
                <w:sz w:val="18"/>
                <w:szCs w:val="18"/>
              </w:rPr>
            </w:pPr>
            <w:r>
              <w:rPr>
                <w:rFonts w:hint="eastAsia" w:ascii="黑体" w:hAnsi="黑体" w:eastAsia="黑体" w:cs="黑体"/>
                <w:color w:val="auto"/>
                <w:sz w:val="18"/>
                <w:szCs w:val="18"/>
              </w:rPr>
              <w:t>专业笔试名称</w:t>
            </w:r>
          </w:p>
        </w:tc>
        <w:tc>
          <w:tcPr>
            <w:tcW w:w="1675" w:type="dxa"/>
            <w:gridSpan w:val="2"/>
            <w:vMerge w:val="restart"/>
            <w:tcBorders>
              <w:top w:val="single" w:color="auto" w:sz="4" w:space="0"/>
              <w:left w:val="single" w:color="auto" w:sz="4" w:space="0"/>
              <w:right w:val="single" w:color="auto" w:sz="4" w:space="0"/>
            </w:tcBorders>
            <w:vAlign w:val="center"/>
          </w:tcPr>
          <w:p>
            <w:pPr>
              <w:spacing w:line="200" w:lineRule="exact"/>
              <w:jc w:val="center"/>
              <w:rPr>
                <w:rFonts w:hint="eastAsia" w:ascii="黑体" w:hAnsi="黑体" w:eastAsia="黑体" w:cs="黑体"/>
                <w:color w:val="auto"/>
                <w:sz w:val="18"/>
                <w:szCs w:val="18"/>
              </w:rPr>
            </w:pPr>
            <w:r>
              <w:rPr>
                <w:rFonts w:hint="eastAsia" w:ascii="黑体" w:hAnsi="黑体" w:eastAsia="黑体" w:cs="黑体"/>
                <w:color w:val="auto"/>
                <w:sz w:val="18"/>
                <w:szCs w:val="18"/>
              </w:rPr>
              <w:t>备注</w:t>
            </w:r>
          </w:p>
        </w:tc>
      </w:tr>
      <w:tr>
        <w:tblPrEx>
          <w:tblLayout w:type="fixed"/>
          <w:tblCellMar>
            <w:top w:w="0" w:type="dxa"/>
            <w:left w:w="108" w:type="dxa"/>
            <w:bottom w:w="0" w:type="dxa"/>
            <w:right w:w="108" w:type="dxa"/>
          </w:tblCellMar>
        </w:tblPrEx>
        <w:trPr>
          <w:cantSplit/>
          <w:trHeight w:val="373" w:hRule="atLeast"/>
          <w:jc w:val="center"/>
        </w:trPr>
        <w:tc>
          <w:tcPr>
            <w:tcW w:w="989"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18"/>
                <w:szCs w:val="18"/>
              </w:rPr>
            </w:pPr>
          </w:p>
        </w:tc>
        <w:tc>
          <w:tcPr>
            <w:tcW w:w="53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00" w:lineRule="exact"/>
              <w:jc w:val="center"/>
              <w:rPr>
                <w:rFonts w:ascii="黑体" w:hAnsi="黑体" w:eastAsia="黑体"/>
                <w:color w:val="auto"/>
                <w:sz w:val="18"/>
                <w:szCs w:val="18"/>
              </w:rPr>
            </w:pPr>
            <w:r>
              <w:rPr>
                <w:rFonts w:hint="eastAsia" w:ascii="黑体" w:hAnsi="黑体" w:eastAsia="黑体" w:cs="黑体"/>
                <w:color w:val="auto"/>
                <w:sz w:val="18"/>
                <w:szCs w:val="18"/>
              </w:rPr>
              <w:t>岗位</w:t>
            </w:r>
          </w:p>
          <w:p>
            <w:pPr>
              <w:spacing w:line="200" w:lineRule="exact"/>
              <w:jc w:val="center"/>
              <w:rPr>
                <w:rFonts w:ascii="黑体" w:hAnsi="黑体" w:eastAsia="黑体"/>
                <w:color w:val="auto"/>
                <w:sz w:val="18"/>
                <w:szCs w:val="18"/>
              </w:rPr>
            </w:pPr>
            <w:r>
              <w:rPr>
                <w:rFonts w:hint="eastAsia" w:ascii="黑体" w:hAnsi="黑体" w:eastAsia="黑体" w:cs="黑体"/>
                <w:color w:val="auto"/>
                <w:sz w:val="18"/>
                <w:szCs w:val="18"/>
              </w:rPr>
              <w:t>类别</w:t>
            </w:r>
          </w:p>
        </w:tc>
        <w:tc>
          <w:tcPr>
            <w:tcW w:w="964"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黑体" w:hAnsi="黑体" w:eastAsia="黑体"/>
                <w:color w:val="auto"/>
                <w:sz w:val="18"/>
                <w:szCs w:val="18"/>
              </w:rPr>
            </w:pPr>
            <w:r>
              <w:rPr>
                <w:rFonts w:hint="eastAsia" w:ascii="黑体" w:hAnsi="黑体" w:eastAsia="黑体" w:cs="黑体"/>
                <w:color w:val="auto"/>
                <w:sz w:val="18"/>
                <w:szCs w:val="18"/>
              </w:rPr>
              <w:t>岗位</w:t>
            </w:r>
          </w:p>
          <w:p>
            <w:pPr>
              <w:spacing w:line="200" w:lineRule="exact"/>
              <w:jc w:val="center"/>
              <w:rPr>
                <w:rFonts w:ascii="黑体" w:hAnsi="黑体" w:eastAsia="黑体"/>
                <w:color w:val="auto"/>
                <w:sz w:val="18"/>
                <w:szCs w:val="18"/>
              </w:rPr>
            </w:pPr>
            <w:r>
              <w:rPr>
                <w:rFonts w:hint="eastAsia" w:ascii="黑体" w:hAnsi="黑体" w:eastAsia="黑体" w:cs="黑体"/>
                <w:color w:val="auto"/>
                <w:sz w:val="18"/>
                <w:szCs w:val="18"/>
              </w:rPr>
              <w:t>名称</w:t>
            </w:r>
          </w:p>
        </w:tc>
        <w:tc>
          <w:tcPr>
            <w:tcW w:w="86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18"/>
                <w:szCs w:val="18"/>
              </w:rPr>
            </w:pPr>
          </w:p>
        </w:tc>
        <w:tc>
          <w:tcPr>
            <w:tcW w:w="525"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18"/>
                <w:szCs w:val="18"/>
              </w:rPr>
            </w:pPr>
          </w:p>
        </w:tc>
        <w:tc>
          <w:tcPr>
            <w:tcW w:w="700" w:type="dxa"/>
            <w:vMerge w:val="continue"/>
            <w:tcBorders>
              <w:top w:val="nil"/>
              <w:left w:val="nil"/>
              <w:bottom w:val="single" w:color="auto" w:sz="4" w:space="0"/>
              <w:right w:val="single" w:color="auto" w:sz="4" w:space="0"/>
            </w:tcBorders>
            <w:vAlign w:val="center"/>
          </w:tcPr>
          <w:p>
            <w:pPr>
              <w:rPr>
                <w:rFonts w:ascii="仿宋_GB2312" w:eastAsia="仿宋_GB2312"/>
                <w:color w:val="auto"/>
                <w:sz w:val="18"/>
                <w:szCs w:val="18"/>
              </w:rPr>
            </w:pPr>
          </w:p>
        </w:tc>
        <w:tc>
          <w:tcPr>
            <w:tcW w:w="730" w:type="dxa"/>
            <w:tcBorders>
              <w:top w:val="nil"/>
              <w:left w:val="nil"/>
              <w:bottom w:val="single" w:color="auto" w:sz="4" w:space="0"/>
              <w:right w:val="single" w:color="auto" w:sz="4" w:space="0"/>
            </w:tcBorders>
            <w:vAlign w:val="center"/>
          </w:tcPr>
          <w:p>
            <w:pPr>
              <w:spacing w:line="260" w:lineRule="exact"/>
              <w:jc w:val="center"/>
              <w:rPr>
                <w:rFonts w:ascii="黑体" w:hAnsi="黑体" w:eastAsia="黑体"/>
                <w:color w:val="auto"/>
                <w:sz w:val="18"/>
                <w:szCs w:val="18"/>
              </w:rPr>
            </w:pPr>
            <w:r>
              <w:rPr>
                <w:rFonts w:hint="eastAsia" w:ascii="黑体" w:hAnsi="黑体" w:eastAsia="黑体" w:cs="黑体"/>
                <w:color w:val="auto"/>
                <w:sz w:val="18"/>
                <w:szCs w:val="18"/>
              </w:rPr>
              <w:t>年龄</w:t>
            </w:r>
          </w:p>
        </w:tc>
        <w:tc>
          <w:tcPr>
            <w:tcW w:w="2215" w:type="dxa"/>
            <w:tcBorders>
              <w:top w:val="nil"/>
              <w:left w:val="nil"/>
              <w:bottom w:val="single" w:color="auto" w:sz="4" w:space="0"/>
              <w:right w:val="single" w:color="auto" w:sz="4" w:space="0"/>
            </w:tcBorders>
            <w:vAlign w:val="center"/>
          </w:tcPr>
          <w:p>
            <w:pPr>
              <w:spacing w:line="260" w:lineRule="exact"/>
              <w:jc w:val="center"/>
              <w:rPr>
                <w:rFonts w:ascii="黑体" w:hAnsi="黑体" w:eastAsia="黑体"/>
                <w:color w:val="auto"/>
                <w:sz w:val="18"/>
                <w:szCs w:val="18"/>
              </w:rPr>
            </w:pPr>
            <w:r>
              <w:rPr>
                <w:rFonts w:hint="eastAsia" w:ascii="黑体" w:hAnsi="黑体" w:eastAsia="黑体" w:cs="黑体"/>
                <w:color w:val="auto"/>
                <w:sz w:val="18"/>
                <w:szCs w:val="18"/>
              </w:rPr>
              <w:t>学历或学位</w:t>
            </w:r>
          </w:p>
        </w:tc>
        <w:tc>
          <w:tcPr>
            <w:tcW w:w="1871" w:type="dxa"/>
            <w:tcBorders>
              <w:top w:val="single" w:color="auto" w:sz="4" w:space="0"/>
              <w:left w:val="nil"/>
              <w:bottom w:val="single" w:color="auto" w:sz="4" w:space="0"/>
              <w:right w:val="single" w:color="000000" w:sz="4" w:space="0"/>
            </w:tcBorders>
            <w:vAlign w:val="center"/>
          </w:tcPr>
          <w:p>
            <w:pPr>
              <w:spacing w:line="260" w:lineRule="exact"/>
              <w:jc w:val="center"/>
              <w:rPr>
                <w:rFonts w:ascii="黑体" w:hAnsi="黑体" w:eastAsia="黑体"/>
                <w:color w:val="auto"/>
                <w:sz w:val="18"/>
                <w:szCs w:val="18"/>
              </w:rPr>
            </w:pPr>
            <w:r>
              <w:rPr>
                <w:rFonts w:hint="eastAsia" w:ascii="黑体" w:hAnsi="黑体" w:eastAsia="黑体" w:cs="黑体"/>
                <w:color w:val="auto"/>
                <w:sz w:val="18"/>
                <w:szCs w:val="18"/>
              </w:rPr>
              <w:t>专业条件要求</w:t>
            </w:r>
          </w:p>
        </w:tc>
        <w:tc>
          <w:tcPr>
            <w:tcW w:w="1284" w:type="dxa"/>
            <w:tcBorders>
              <w:top w:val="nil"/>
              <w:left w:val="nil"/>
              <w:bottom w:val="single" w:color="auto" w:sz="4" w:space="0"/>
              <w:right w:val="single" w:color="auto" w:sz="4" w:space="0"/>
            </w:tcBorders>
            <w:vAlign w:val="center"/>
          </w:tcPr>
          <w:p>
            <w:pPr>
              <w:spacing w:line="260" w:lineRule="exact"/>
              <w:jc w:val="center"/>
              <w:rPr>
                <w:rFonts w:ascii="黑体" w:hAnsi="黑体" w:eastAsia="黑体"/>
                <w:color w:val="auto"/>
                <w:sz w:val="18"/>
                <w:szCs w:val="18"/>
              </w:rPr>
            </w:pPr>
            <w:r>
              <w:rPr>
                <w:rFonts w:hint="eastAsia" w:ascii="黑体" w:hAnsi="黑体" w:eastAsia="黑体" w:cs="黑体"/>
                <w:color w:val="auto"/>
                <w:sz w:val="18"/>
                <w:szCs w:val="18"/>
              </w:rPr>
              <w:t>其他</w:t>
            </w:r>
          </w:p>
        </w:tc>
        <w:tc>
          <w:tcPr>
            <w:tcW w:w="738"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18"/>
                <w:szCs w:val="18"/>
              </w:rPr>
            </w:pPr>
          </w:p>
        </w:tc>
        <w:tc>
          <w:tcPr>
            <w:tcW w:w="59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18"/>
                <w:szCs w:val="18"/>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18"/>
                <w:szCs w:val="18"/>
              </w:rPr>
            </w:pPr>
          </w:p>
        </w:tc>
        <w:tc>
          <w:tcPr>
            <w:tcW w:w="1675" w:type="dxa"/>
            <w:gridSpan w:val="2"/>
            <w:vMerge w:val="continue"/>
            <w:tcBorders>
              <w:left w:val="single" w:color="auto" w:sz="4" w:space="0"/>
              <w:bottom w:val="single" w:color="auto" w:sz="4" w:space="0"/>
              <w:right w:val="single" w:color="auto" w:sz="4" w:space="0"/>
            </w:tcBorders>
            <w:vAlign w:val="center"/>
          </w:tcPr>
          <w:p>
            <w:pPr>
              <w:rPr>
                <w:rFonts w:ascii="仿宋_GB2312" w:eastAsia="仿宋_GB2312"/>
                <w:color w:val="auto"/>
                <w:sz w:val="18"/>
                <w:szCs w:val="18"/>
              </w:rPr>
            </w:pPr>
          </w:p>
        </w:tc>
      </w:tr>
      <w:tr>
        <w:tblPrEx>
          <w:tblLayout w:type="fixed"/>
          <w:tblCellMar>
            <w:top w:w="0" w:type="dxa"/>
            <w:left w:w="108" w:type="dxa"/>
            <w:bottom w:w="0" w:type="dxa"/>
            <w:right w:w="108" w:type="dxa"/>
          </w:tblCellMar>
        </w:tblPrEx>
        <w:trPr>
          <w:cantSplit/>
          <w:trHeight w:val="405" w:hRule="atLeast"/>
          <w:jc w:val="center"/>
        </w:trPr>
        <w:tc>
          <w:tcPr>
            <w:tcW w:w="989" w:type="dxa"/>
            <w:vMerge w:val="restart"/>
            <w:tcBorders>
              <w:top w:val="single" w:color="auto" w:sz="4" w:space="0"/>
              <w:left w:val="single" w:color="auto" w:sz="4" w:space="0"/>
              <w:right w:val="single" w:color="auto" w:sz="4" w:space="0"/>
            </w:tcBorders>
          </w:tcPr>
          <w:p>
            <w:pPr>
              <w:spacing w:line="200" w:lineRule="exact"/>
              <w:rPr>
                <w:rFonts w:ascii="楷体_GB2312" w:hAnsi="楷体_GB2312" w:eastAsia="楷体_GB2312" w:cs="楷体_GB2312"/>
                <w:b/>
                <w:bCs/>
                <w:color w:val="auto"/>
                <w:spacing w:val="-20"/>
                <w:kern w:val="0"/>
                <w:sz w:val="18"/>
                <w:szCs w:val="18"/>
              </w:rPr>
            </w:pPr>
          </w:p>
          <w:p>
            <w:pPr>
              <w:spacing w:line="200" w:lineRule="exact"/>
              <w:rPr>
                <w:rFonts w:ascii="楷体_GB2312" w:hAnsi="楷体_GB2312" w:eastAsia="楷体_GB2312" w:cs="楷体_GB2312"/>
                <w:b/>
                <w:bCs/>
                <w:color w:val="auto"/>
                <w:spacing w:val="-20"/>
                <w:kern w:val="0"/>
                <w:sz w:val="18"/>
                <w:szCs w:val="18"/>
              </w:rPr>
            </w:pPr>
          </w:p>
          <w:p>
            <w:pPr>
              <w:spacing w:line="200" w:lineRule="exact"/>
              <w:rPr>
                <w:rFonts w:ascii="楷体_GB2312" w:hAnsi="楷体_GB2312" w:eastAsia="楷体_GB2312"/>
                <w:b/>
                <w:bCs/>
                <w:color w:val="auto"/>
                <w:spacing w:val="-20"/>
                <w:kern w:val="0"/>
                <w:sz w:val="18"/>
                <w:szCs w:val="18"/>
              </w:rPr>
            </w:pPr>
            <w:r>
              <w:rPr>
                <w:rFonts w:hint="eastAsia" w:ascii="楷体_GB2312" w:hAnsi="楷体_GB2312" w:eastAsia="楷体_GB2312" w:cs="楷体_GB2312"/>
                <w:b/>
                <w:bCs/>
                <w:color w:val="auto"/>
                <w:spacing w:val="-20"/>
                <w:kern w:val="0"/>
                <w:sz w:val="18"/>
                <w:szCs w:val="18"/>
              </w:rPr>
              <w:t>四川省民族研究所</w:t>
            </w:r>
          </w:p>
          <w:p>
            <w:pPr>
              <w:spacing w:line="200" w:lineRule="exact"/>
              <w:jc w:val="center"/>
              <w:rPr>
                <w:rFonts w:ascii="楷体_GB2312" w:hAnsi="楷体_GB2312" w:eastAsia="楷体_GB2312"/>
                <w:b/>
                <w:bCs/>
                <w:color w:val="auto"/>
                <w:spacing w:val="-20"/>
                <w:kern w:val="0"/>
                <w:sz w:val="18"/>
                <w:szCs w:val="18"/>
              </w:rPr>
            </w:pPr>
            <w:r>
              <w:rPr>
                <w:rFonts w:hint="eastAsia" w:ascii="楷体_GB2312" w:hAnsi="楷体_GB2312" w:eastAsia="楷体_GB2312" w:cs="楷体_GB2312"/>
                <w:b/>
                <w:bCs/>
                <w:color w:val="auto"/>
                <w:spacing w:val="-20"/>
                <w:kern w:val="0"/>
                <w:sz w:val="18"/>
                <w:szCs w:val="18"/>
              </w:rPr>
              <w:t>（5名）</w:t>
            </w:r>
          </w:p>
        </w:tc>
        <w:tc>
          <w:tcPr>
            <w:tcW w:w="530" w:type="dxa"/>
            <w:vMerge w:val="restart"/>
            <w:tcBorders>
              <w:top w:val="single" w:color="auto" w:sz="4" w:space="0"/>
              <w:left w:val="single" w:color="auto" w:sz="4" w:space="0"/>
              <w:right w:val="single" w:color="auto" w:sz="4" w:space="0"/>
            </w:tcBorders>
            <w:tcMar>
              <w:left w:w="28" w:type="dxa"/>
              <w:right w:w="28" w:type="dxa"/>
            </w:tcMar>
            <w:vAlign w:val="center"/>
          </w:tcPr>
          <w:p>
            <w:pPr>
              <w:spacing w:line="240" w:lineRule="exact"/>
              <w:rPr>
                <w:rFonts w:ascii="仿宋_GB2312" w:hAnsi="仿宋_GB2312" w:eastAsia="仿宋_GB2312" w:cs="仿宋_GB2312"/>
                <w:color w:val="auto"/>
                <w:spacing w:val="-23"/>
                <w:sz w:val="18"/>
                <w:szCs w:val="18"/>
              </w:rPr>
            </w:pPr>
          </w:p>
          <w:p>
            <w:pPr>
              <w:spacing w:line="240" w:lineRule="exact"/>
              <w:rPr>
                <w:rFonts w:ascii="仿宋_GB2312" w:hAnsi="仿宋_GB2312" w:eastAsia="仿宋_GB2312" w:cs="仿宋_GB2312"/>
                <w:color w:val="auto"/>
                <w:spacing w:val="-23"/>
                <w:sz w:val="18"/>
                <w:szCs w:val="18"/>
              </w:rPr>
            </w:pPr>
          </w:p>
          <w:p>
            <w:pPr>
              <w:spacing w:line="240" w:lineRule="exact"/>
              <w:rPr>
                <w:rFonts w:ascii="仿宋_GB2312" w:hAnsi="仿宋_GB2312" w:eastAsia="仿宋_GB2312" w:cs="仿宋_GB2312"/>
                <w:color w:val="auto"/>
                <w:spacing w:val="-23"/>
                <w:sz w:val="18"/>
                <w:szCs w:val="18"/>
              </w:rPr>
            </w:pPr>
          </w:p>
          <w:p>
            <w:pPr>
              <w:spacing w:line="240" w:lineRule="exact"/>
              <w:rPr>
                <w:rFonts w:ascii="黑体" w:hAnsi="黑体" w:eastAsia="黑体"/>
                <w:color w:val="auto"/>
                <w:spacing w:val="-23"/>
                <w:sz w:val="18"/>
                <w:szCs w:val="18"/>
              </w:rPr>
            </w:pPr>
            <w:r>
              <w:rPr>
                <w:rFonts w:hint="eastAsia" w:ascii="仿宋_GB2312" w:hAnsi="仿宋_GB2312" w:eastAsia="仿宋_GB2312" w:cs="仿宋_GB2312"/>
                <w:color w:val="auto"/>
                <w:spacing w:val="-23"/>
                <w:sz w:val="18"/>
                <w:szCs w:val="18"/>
              </w:rPr>
              <w:t>专技岗</w:t>
            </w:r>
          </w:p>
        </w:tc>
        <w:tc>
          <w:tcPr>
            <w:tcW w:w="964" w:type="dxa"/>
            <w:vMerge w:val="restart"/>
            <w:tcBorders>
              <w:top w:val="single" w:color="auto" w:sz="4" w:space="0"/>
              <w:left w:val="single" w:color="auto" w:sz="4" w:space="0"/>
              <w:right w:val="single" w:color="auto" w:sz="4" w:space="0"/>
            </w:tcBorders>
            <w:vAlign w:val="center"/>
          </w:tcPr>
          <w:p>
            <w:pPr>
              <w:spacing w:line="240" w:lineRule="exact"/>
              <w:ind w:firstLine="140" w:firstLineChars="100"/>
              <w:jc w:val="both"/>
              <w:rPr>
                <w:rFonts w:ascii="仿宋_GB2312" w:hAnsi="仿宋_GB2312" w:eastAsia="仿宋_GB2312" w:cs="仿宋_GB2312"/>
                <w:color w:val="auto"/>
                <w:spacing w:val="-20"/>
                <w:sz w:val="18"/>
                <w:szCs w:val="18"/>
              </w:rPr>
            </w:pPr>
            <w:r>
              <w:rPr>
                <w:rFonts w:hint="eastAsia" w:ascii="仿宋_GB2312" w:hAnsi="仿宋_GB2312" w:eastAsia="仿宋_GB2312" w:cs="仿宋_GB2312"/>
                <w:color w:val="auto"/>
                <w:spacing w:val="-20"/>
                <w:sz w:val="18"/>
                <w:szCs w:val="18"/>
              </w:rPr>
              <w:t>民族地区</w:t>
            </w:r>
          </w:p>
          <w:p>
            <w:pPr>
              <w:spacing w:line="240" w:lineRule="exact"/>
              <w:jc w:val="center"/>
              <w:rPr>
                <w:rFonts w:ascii="黑体" w:hAnsi="黑体" w:eastAsia="黑体"/>
                <w:color w:val="auto"/>
                <w:spacing w:val="-20"/>
                <w:sz w:val="18"/>
                <w:szCs w:val="18"/>
              </w:rPr>
            </w:pPr>
            <w:r>
              <w:rPr>
                <w:rFonts w:hint="eastAsia" w:ascii="仿宋_GB2312" w:hAnsi="仿宋_GB2312" w:eastAsia="仿宋_GB2312" w:cs="仿宋_GB2312"/>
                <w:color w:val="auto"/>
                <w:spacing w:val="-20"/>
                <w:sz w:val="18"/>
                <w:szCs w:val="18"/>
              </w:rPr>
              <w:t>发展研究</w:t>
            </w:r>
          </w:p>
        </w:tc>
        <w:tc>
          <w:tcPr>
            <w:tcW w:w="862"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eastAsia="仿宋_GB2312"/>
                <w:color w:val="auto"/>
                <w:spacing w:val="-20"/>
                <w:sz w:val="18"/>
                <w:szCs w:val="18"/>
                <w:lang w:eastAsia="zh-CN"/>
              </w:rPr>
            </w:pPr>
            <w:r>
              <w:rPr>
                <w:rFonts w:hint="eastAsia" w:ascii="仿宋_GB2312" w:eastAsia="仿宋_GB2312"/>
                <w:color w:val="auto"/>
                <w:spacing w:val="-20"/>
                <w:sz w:val="18"/>
                <w:szCs w:val="18"/>
                <w:lang w:eastAsia="zh-CN"/>
              </w:rPr>
              <w:t>19010001</w:t>
            </w:r>
          </w:p>
        </w:tc>
        <w:tc>
          <w:tcPr>
            <w:tcW w:w="5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s="仿宋_GB2312"/>
                <w:color w:val="auto"/>
                <w:spacing w:val="-20"/>
                <w:sz w:val="18"/>
                <w:szCs w:val="18"/>
                <w:lang w:val="en-US" w:eastAsia="zh-CN"/>
              </w:rPr>
            </w:pPr>
            <w:r>
              <w:rPr>
                <w:rFonts w:hint="eastAsia" w:ascii="仿宋_GB2312" w:eastAsia="仿宋_GB2312" w:cs="仿宋_GB2312"/>
                <w:color w:val="auto"/>
                <w:spacing w:val="-20"/>
                <w:sz w:val="18"/>
                <w:szCs w:val="18"/>
                <w:lang w:val="en-US" w:eastAsia="zh-CN"/>
              </w:rPr>
              <w:t>3</w:t>
            </w:r>
          </w:p>
        </w:tc>
        <w:tc>
          <w:tcPr>
            <w:tcW w:w="700" w:type="dxa"/>
            <w:vMerge w:val="restart"/>
            <w:tcBorders>
              <w:top w:val="nil"/>
              <w:left w:val="nil"/>
              <w:right w:val="single" w:color="auto" w:sz="4" w:space="0"/>
            </w:tcBorders>
            <w:vAlign w:val="center"/>
          </w:tcPr>
          <w:p>
            <w:pPr>
              <w:spacing w:line="260" w:lineRule="exact"/>
              <w:jc w:val="center"/>
              <w:rPr>
                <w:rFonts w:ascii="仿宋" w:hAnsi="仿宋" w:eastAsia="仿宋"/>
                <w:color w:val="auto"/>
                <w:spacing w:val="-20"/>
                <w:sz w:val="18"/>
                <w:szCs w:val="18"/>
              </w:rPr>
            </w:pPr>
            <w:r>
              <w:rPr>
                <w:rFonts w:hint="eastAsia" w:ascii="仿宋" w:hAnsi="仿宋" w:eastAsia="仿宋"/>
                <w:color w:val="auto"/>
                <w:spacing w:val="-20"/>
                <w:sz w:val="18"/>
                <w:szCs w:val="18"/>
              </w:rPr>
              <w:t>详见</w:t>
            </w:r>
          </w:p>
          <w:p>
            <w:pPr>
              <w:spacing w:line="260" w:lineRule="exact"/>
              <w:jc w:val="center"/>
              <w:rPr>
                <w:rFonts w:ascii="仿宋" w:hAnsi="仿宋" w:eastAsia="仿宋"/>
                <w:color w:val="auto"/>
                <w:spacing w:val="-20"/>
                <w:sz w:val="18"/>
                <w:szCs w:val="18"/>
              </w:rPr>
            </w:pPr>
            <w:r>
              <w:rPr>
                <w:rFonts w:hint="eastAsia" w:ascii="仿宋" w:hAnsi="仿宋" w:eastAsia="仿宋"/>
                <w:color w:val="auto"/>
                <w:spacing w:val="-20"/>
                <w:sz w:val="18"/>
                <w:szCs w:val="18"/>
              </w:rPr>
              <w:t>公告</w:t>
            </w:r>
          </w:p>
        </w:tc>
        <w:tc>
          <w:tcPr>
            <w:tcW w:w="730" w:type="dxa"/>
            <w:vMerge w:val="restart"/>
            <w:tcBorders>
              <w:top w:val="nil"/>
              <w:left w:val="nil"/>
              <w:right w:val="single" w:color="auto" w:sz="4" w:space="0"/>
            </w:tcBorders>
            <w:vAlign w:val="center"/>
          </w:tcPr>
          <w:p>
            <w:pPr>
              <w:spacing w:line="260" w:lineRule="exact"/>
              <w:rPr>
                <w:rFonts w:ascii="华文仿宋" w:hAnsi="华文仿宋" w:eastAsia="华文仿宋" w:cs="华文仿宋"/>
                <w:color w:val="auto"/>
                <w:spacing w:val="-11"/>
                <w:sz w:val="18"/>
                <w:szCs w:val="18"/>
              </w:rPr>
            </w:pPr>
          </w:p>
          <w:p>
            <w:pPr>
              <w:spacing w:line="260" w:lineRule="exact"/>
              <w:jc w:val="center"/>
              <w:rPr>
                <w:rFonts w:ascii="华文仿宋" w:hAnsi="华文仿宋" w:eastAsia="华文仿宋" w:cs="华文仿宋"/>
                <w:color w:val="auto"/>
                <w:spacing w:val="-11"/>
                <w:sz w:val="18"/>
                <w:szCs w:val="18"/>
              </w:rPr>
            </w:pPr>
          </w:p>
          <w:p>
            <w:pPr>
              <w:spacing w:line="260" w:lineRule="exact"/>
              <w:jc w:val="center"/>
              <w:rPr>
                <w:rFonts w:ascii="黑体" w:hAnsi="黑体" w:eastAsia="黑体"/>
                <w:color w:val="auto"/>
                <w:spacing w:val="-20"/>
                <w:sz w:val="18"/>
                <w:szCs w:val="18"/>
              </w:rPr>
            </w:pPr>
            <w:r>
              <w:rPr>
                <w:rFonts w:ascii="华文仿宋" w:hAnsi="华文仿宋" w:eastAsia="华文仿宋" w:cs="华文仿宋"/>
                <w:color w:val="auto"/>
                <w:spacing w:val="-11"/>
                <w:sz w:val="18"/>
                <w:szCs w:val="18"/>
              </w:rPr>
              <w:t>199</w:t>
            </w:r>
            <w:r>
              <w:rPr>
                <w:rFonts w:hint="eastAsia" w:ascii="华文仿宋" w:hAnsi="华文仿宋" w:eastAsia="华文仿宋" w:cs="华文仿宋"/>
                <w:color w:val="auto"/>
                <w:spacing w:val="-11"/>
                <w:sz w:val="18"/>
                <w:szCs w:val="18"/>
                <w:lang w:val="en-US" w:eastAsia="zh-CN"/>
              </w:rPr>
              <w:t>5</w:t>
            </w:r>
            <w:r>
              <w:rPr>
                <w:rFonts w:hint="eastAsia" w:ascii="华文仿宋" w:hAnsi="华文仿宋" w:eastAsia="华文仿宋" w:cs="华文仿宋"/>
                <w:color w:val="auto"/>
                <w:spacing w:val="-11"/>
                <w:sz w:val="18"/>
                <w:szCs w:val="18"/>
              </w:rPr>
              <w:t>年</w:t>
            </w:r>
            <w:r>
              <w:rPr>
                <w:rFonts w:ascii="华文仿宋" w:hAnsi="华文仿宋" w:eastAsia="华文仿宋" w:cs="华文仿宋"/>
                <w:color w:val="auto"/>
                <w:spacing w:val="-11"/>
                <w:sz w:val="18"/>
                <w:szCs w:val="18"/>
              </w:rPr>
              <w:t>1</w:t>
            </w:r>
            <w:r>
              <w:rPr>
                <w:rFonts w:hint="eastAsia" w:ascii="华文仿宋" w:hAnsi="华文仿宋" w:eastAsia="华文仿宋" w:cs="华文仿宋"/>
                <w:color w:val="auto"/>
                <w:spacing w:val="-11"/>
                <w:sz w:val="18"/>
                <w:szCs w:val="18"/>
              </w:rPr>
              <w:t>月</w:t>
            </w:r>
            <w:r>
              <w:rPr>
                <w:rFonts w:ascii="华文仿宋" w:hAnsi="华文仿宋" w:eastAsia="华文仿宋" w:cs="华文仿宋"/>
                <w:color w:val="auto"/>
                <w:spacing w:val="-11"/>
                <w:sz w:val="18"/>
                <w:szCs w:val="18"/>
              </w:rPr>
              <w:t>1</w:t>
            </w:r>
            <w:r>
              <w:rPr>
                <w:rFonts w:hint="eastAsia" w:ascii="华文仿宋" w:hAnsi="华文仿宋" w:eastAsia="华文仿宋" w:cs="华文仿宋"/>
                <w:color w:val="auto"/>
                <w:spacing w:val="-11"/>
                <w:sz w:val="18"/>
                <w:szCs w:val="18"/>
              </w:rPr>
              <w:t>日及以后出生</w:t>
            </w:r>
            <w:r>
              <w:rPr>
                <w:rFonts w:hint="eastAsia" w:ascii="华文仿宋" w:hAnsi="华文仿宋" w:eastAsia="华文仿宋" w:cs="华文仿宋"/>
                <w:color w:val="auto"/>
                <w:spacing w:val="-11"/>
                <w:sz w:val="21"/>
                <w:szCs w:val="21"/>
              </w:rPr>
              <w:t>（研究生学历放宽到1990年1月1日</w:t>
            </w:r>
            <w:r>
              <w:rPr>
                <w:rFonts w:hint="eastAsia" w:ascii="华文仿宋" w:hAnsi="华文仿宋" w:eastAsia="华文仿宋" w:cs="华文仿宋"/>
                <w:color w:val="auto"/>
                <w:spacing w:val="-11"/>
                <w:sz w:val="21"/>
                <w:szCs w:val="21"/>
                <w:lang w:val="en-US" w:eastAsia="zh-CN"/>
              </w:rPr>
              <w:t>及以后出生</w:t>
            </w:r>
            <w:r>
              <w:rPr>
                <w:rFonts w:hint="eastAsia" w:ascii="华文仿宋" w:hAnsi="华文仿宋" w:eastAsia="华文仿宋" w:cs="华文仿宋"/>
                <w:color w:val="auto"/>
                <w:spacing w:val="-11"/>
                <w:sz w:val="21"/>
                <w:szCs w:val="21"/>
              </w:rPr>
              <w:t>）</w:t>
            </w:r>
          </w:p>
        </w:tc>
        <w:tc>
          <w:tcPr>
            <w:tcW w:w="2215" w:type="dxa"/>
            <w:tcBorders>
              <w:top w:val="single" w:color="auto" w:sz="4" w:space="0"/>
              <w:left w:val="nil"/>
              <w:bottom w:val="single" w:color="auto" w:sz="4" w:space="0"/>
              <w:right w:val="single" w:color="auto" w:sz="4" w:space="0"/>
            </w:tcBorders>
            <w:vAlign w:val="center"/>
          </w:tcPr>
          <w:p>
            <w:pPr>
              <w:spacing w:line="200" w:lineRule="exact"/>
              <w:rPr>
                <w:rFonts w:ascii="华文仿宋" w:hAnsi="华文仿宋" w:eastAsia="华文仿宋"/>
                <w:color w:val="auto"/>
                <w:spacing w:val="-17"/>
                <w:sz w:val="18"/>
                <w:szCs w:val="18"/>
              </w:rPr>
            </w:pPr>
            <w:r>
              <w:rPr>
                <w:rFonts w:ascii="华文仿宋" w:hAnsi="华文仿宋" w:eastAsia="华文仿宋" w:cs="华文仿宋"/>
                <w:color w:val="auto"/>
                <w:spacing w:val="-17"/>
                <w:sz w:val="18"/>
                <w:szCs w:val="18"/>
              </w:rPr>
              <w:t>202</w:t>
            </w:r>
            <w:r>
              <w:rPr>
                <w:rFonts w:hint="eastAsia" w:ascii="华文仿宋" w:hAnsi="华文仿宋" w:eastAsia="华文仿宋" w:cs="华文仿宋"/>
                <w:color w:val="auto"/>
                <w:spacing w:val="-17"/>
                <w:sz w:val="18"/>
                <w:szCs w:val="18"/>
              </w:rPr>
              <w:t>1年</w:t>
            </w:r>
            <w:r>
              <w:rPr>
                <w:rFonts w:hint="eastAsia" w:ascii="华文仿宋" w:hAnsi="华文仿宋" w:eastAsia="华文仿宋" w:cs="华文仿宋"/>
                <w:color w:val="auto"/>
                <w:spacing w:val="-17"/>
                <w:sz w:val="18"/>
                <w:szCs w:val="18"/>
                <w:lang w:val="en-US" w:eastAsia="zh-CN"/>
              </w:rPr>
              <w:t>7</w:t>
            </w:r>
            <w:r>
              <w:rPr>
                <w:rFonts w:hint="eastAsia" w:ascii="华文仿宋" w:hAnsi="华文仿宋" w:eastAsia="华文仿宋" w:cs="华文仿宋"/>
                <w:color w:val="auto"/>
                <w:spacing w:val="-17"/>
                <w:sz w:val="18"/>
                <w:szCs w:val="18"/>
              </w:rPr>
              <w:t>月</w:t>
            </w:r>
            <w:r>
              <w:rPr>
                <w:rFonts w:hint="eastAsia" w:ascii="华文仿宋" w:hAnsi="华文仿宋" w:eastAsia="华文仿宋" w:cs="华文仿宋"/>
                <w:color w:val="auto"/>
                <w:spacing w:val="-17"/>
                <w:sz w:val="18"/>
                <w:szCs w:val="18"/>
                <w:lang w:val="en-US" w:eastAsia="zh-CN"/>
              </w:rPr>
              <w:t>31</w:t>
            </w:r>
            <w:r>
              <w:rPr>
                <w:rFonts w:hint="eastAsia" w:ascii="华文仿宋" w:hAnsi="华文仿宋" w:eastAsia="华文仿宋" w:cs="华文仿宋"/>
                <w:color w:val="auto"/>
                <w:spacing w:val="-17"/>
                <w:sz w:val="18"/>
                <w:szCs w:val="18"/>
              </w:rPr>
              <w:t>日前取得国民教育本科及以上学历和学士及以上学位的应、往届毕业生</w:t>
            </w:r>
          </w:p>
        </w:tc>
        <w:tc>
          <w:tcPr>
            <w:tcW w:w="1871"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华文仿宋"/>
                <w:color w:val="auto"/>
                <w:spacing w:val="-17"/>
                <w:sz w:val="18"/>
                <w:szCs w:val="18"/>
              </w:rPr>
            </w:pPr>
            <w:r>
              <w:rPr>
                <w:rFonts w:hint="eastAsia" w:ascii="华文仿宋" w:hAnsi="华文仿宋" w:eastAsia="华文仿宋"/>
                <w:color w:val="auto"/>
                <w:spacing w:val="-17"/>
                <w:sz w:val="18"/>
                <w:szCs w:val="18"/>
              </w:rPr>
              <w:t>建筑学</w:t>
            </w:r>
          </w:p>
        </w:tc>
        <w:tc>
          <w:tcPr>
            <w:tcW w:w="1284" w:type="dxa"/>
            <w:vMerge w:val="restart"/>
            <w:tcBorders>
              <w:top w:val="nil"/>
              <w:left w:val="single" w:color="auto" w:sz="4" w:space="0"/>
              <w:right w:val="single" w:color="auto" w:sz="4" w:space="0"/>
            </w:tcBorders>
            <w:vAlign w:val="center"/>
          </w:tcPr>
          <w:p>
            <w:pPr>
              <w:spacing w:line="260" w:lineRule="exact"/>
              <w:rPr>
                <w:rFonts w:ascii="黑体" w:hAnsi="黑体" w:eastAsia="黑体"/>
                <w:color w:val="auto"/>
                <w:spacing w:val="-17"/>
                <w:sz w:val="18"/>
                <w:szCs w:val="18"/>
              </w:rPr>
            </w:pPr>
          </w:p>
        </w:tc>
        <w:tc>
          <w:tcPr>
            <w:tcW w:w="738" w:type="dxa"/>
            <w:vMerge w:val="restart"/>
            <w:tcBorders>
              <w:top w:val="single" w:color="auto" w:sz="4" w:space="0"/>
              <w:left w:val="single" w:color="auto" w:sz="4" w:space="0"/>
              <w:right w:val="single" w:color="auto" w:sz="4" w:space="0"/>
            </w:tcBorders>
            <w:vAlign w:val="center"/>
          </w:tcPr>
          <w:p>
            <w:pPr>
              <w:spacing w:line="240" w:lineRule="exact"/>
              <w:jc w:val="center"/>
              <w:rPr>
                <w:rFonts w:ascii="华文仿宋" w:hAnsi="华文仿宋" w:eastAsia="华文仿宋" w:cs="华文仿宋"/>
                <w:color w:val="auto"/>
                <w:spacing w:val="-20"/>
                <w:sz w:val="18"/>
                <w:szCs w:val="18"/>
              </w:rPr>
            </w:pPr>
          </w:p>
          <w:p>
            <w:pPr>
              <w:spacing w:line="240" w:lineRule="exact"/>
              <w:jc w:val="center"/>
              <w:rPr>
                <w:rFonts w:ascii="华文仿宋" w:hAnsi="华文仿宋" w:eastAsia="华文仿宋" w:cs="华文仿宋"/>
                <w:color w:val="auto"/>
                <w:spacing w:val="-20"/>
                <w:sz w:val="18"/>
                <w:szCs w:val="18"/>
              </w:rPr>
            </w:pPr>
          </w:p>
          <w:p>
            <w:pPr>
              <w:spacing w:line="240" w:lineRule="exact"/>
              <w:jc w:val="center"/>
              <w:rPr>
                <w:rFonts w:ascii="仿宋_GB2312" w:eastAsia="仿宋_GB2312"/>
                <w:color w:val="auto"/>
                <w:spacing w:val="-20"/>
                <w:sz w:val="18"/>
                <w:szCs w:val="18"/>
              </w:rPr>
            </w:pPr>
            <w:r>
              <w:rPr>
                <w:rFonts w:ascii="华文仿宋" w:hAnsi="华文仿宋" w:eastAsia="华文仿宋" w:cs="华文仿宋"/>
                <w:color w:val="auto"/>
                <w:spacing w:val="-20"/>
                <w:sz w:val="18"/>
                <w:szCs w:val="18"/>
              </w:rPr>
              <w:t>3</w:t>
            </w:r>
            <w:r>
              <w:rPr>
                <w:rFonts w:hint="eastAsia" w:ascii="华文仿宋" w:hAnsi="华文仿宋" w:eastAsia="华文仿宋" w:cs="华文仿宋"/>
                <w:color w:val="auto"/>
                <w:spacing w:val="-20"/>
                <w:sz w:val="18"/>
                <w:szCs w:val="18"/>
              </w:rPr>
              <w:t>：</w:t>
            </w:r>
            <w:r>
              <w:rPr>
                <w:rFonts w:ascii="华文仿宋" w:hAnsi="华文仿宋" w:eastAsia="华文仿宋" w:cs="华文仿宋"/>
                <w:color w:val="auto"/>
                <w:spacing w:val="-20"/>
                <w:sz w:val="18"/>
                <w:szCs w:val="18"/>
              </w:rPr>
              <w:t>1</w:t>
            </w:r>
          </w:p>
        </w:tc>
        <w:tc>
          <w:tcPr>
            <w:tcW w:w="590" w:type="dxa"/>
            <w:vMerge w:val="restart"/>
            <w:tcBorders>
              <w:top w:val="single" w:color="auto" w:sz="4" w:space="0"/>
              <w:left w:val="single" w:color="auto" w:sz="4" w:space="0"/>
              <w:right w:val="single" w:color="auto" w:sz="4" w:space="0"/>
            </w:tcBorders>
            <w:vAlign w:val="center"/>
          </w:tcPr>
          <w:p>
            <w:pPr>
              <w:spacing w:line="240" w:lineRule="exact"/>
              <w:rPr>
                <w:rFonts w:ascii="华文仿宋" w:hAnsi="华文仿宋" w:eastAsia="华文仿宋" w:cs="华文仿宋"/>
                <w:color w:val="auto"/>
                <w:spacing w:val="-20"/>
                <w:sz w:val="18"/>
                <w:szCs w:val="18"/>
              </w:rPr>
            </w:pPr>
          </w:p>
          <w:p>
            <w:pPr>
              <w:spacing w:line="240" w:lineRule="exact"/>
              <w:rPr>
                <w:rFonts w:ascii="华文仿宋" w:hAnsi="华文仿宋" w:eastAsia="华文仿宋" w:cs="华文仿宋"/>
                <w:color w:val="auto"/>
                <w:spacing w:val="-20"/>
                <w:sz w:val="18"/>
                <w:szCs w:val="18"/>
              </w:rPr>
            </w:pPr>
          </w:p>
          <w:p>
            <w:pPr>
              <w:spacing w:line="240" w:lineRule="exact"/>
              <w:rPr>
                <w:rFonts w:ascii="华文仿宋" w:hAnsi="华文仿宋" w:eastAsia="华文仿宋"/>
                <w:color w:val="auto"/>
                <w:spacing w:val="-20"/>
                <w:sz w:val="18"/>
                <w:szCs w:val="18"/>
              </w:rPr>
            </w:pPr>
            <w:r>
              <w:rPr>
                <w:rFonts w:hint="eastAsia" w:ascii="华文仿宋" w:hAnsi="华文仿宋" w:eastAsia="华文仿宋" w:cs="华文仿宋"/>
                <w:color w:val="auto"/>
                <w:spacing w:val="-20"/>
                <w:sz w:val="18"/>
                <w:szCs w:val="18"/>
              </w:rPr>
              <w:t>《综合知识》</w:t>
            </w:r>
          </w:p>
        </w:tc>
        <w:tc>
          <w:tcPr>
            <w:tcW w:w="710" w:type="dxa"/>
            <w:vMerge w:val="restart"/>
            <w:tcBorders>
              <w:top w:val="single" w:color="auto" w:sz="4" w:space="0"/>
              <w:left w:val="single" w:color="auto" w:sz="4" w:space="0"/>
              <w:right w:val="single" w:color="auto" w:sz="4" w:space="0"/>
            </w:tcBorders>
            <w:vAlign w:val="center"/>
          </w:tcPr>
          <w:p>
            <w:pPr>
              <w:spacing w:line="240" w:lineRule="exact"/>
              <w:jc w:val="center"/>
              <w:rPr>
                <w:rFonts w:hint="eastAsia" w:ascii="仿宋_GB2312" w:eastAsia="仿宋_GB2312"/>
                <w:color w:val="auto"/>
                <w:spacing w:val="-20"/>
                <w:sz w:val="18"/>
                <w:szCs w:val="18"/>
                <w:lang w:eastAsia="zh-CN"/>
              </w:rPr>
            </w:pPr>
            <w:r>
              <w:rPr>
                <w:rFonts w:hint="eastAsia" w:ascii="仿宋_GB2312" w:eastAsia="仿宋_GB2312"/>
                <w:color w:val="auto"/>
                <w:spacing w:val="-20"/>
                <w:sz w:val="18"/>
                <w:szCs w:val="18"/>
                <w:lang w:eastAsia="zh-CN"/>
              </w:rPr>
              <w:t>无</w:t>
            </w:r>
          </w:p>
        </w:tc>
        <w:tc>
          <w:tcPr>
            <w:tcW w:w="909" w:type="dxa"/>
            <w:vMerge w:val="restart"/>
            <w:tcBorders>
              <w:top w:val="single" w:color="auto" w:sz="4" w:space="0"/>
              <w:left w:val="single" w:color="auto" w:sz="4" w:space="0"/>
              <w:right w:val="single" w:color="auto" w:sz="4" w:space="0"/>
            </w:tcBorders>
            <w:vAlign w:val="center"/>
          </w:tcPr>
          <w:p>
            <w:pPr>
              <w:spacing w:line="240" w:lineRule="exact"/>
              <w:rPr>
                <w:rFonts w:ascii="仿宋_GB2312" w:eastAsia="华文仿宋"/>
                <w:color w:val="auto"/>
                <w:spacing w:val="-20"/>
                <w:sz w:val="18"/>
                <w:szCs w:val="18"/>
              </w:rPr>
            </w:pPr>
          </w:p>
        </w:tc>
        <w:tc>
          <w:tcPr>
            <w:tcW w:w="766" w:type="dxa"/>
            <w:vMerge w:val="restart"/>
            <w:tcBorders>
              <w:top w:val="single" w:color="auto" w:sz="4" w:space="0"/>
              <w:left w:val="single" w:color="auto" w:sz="4" w:space="0"/>
              <w:right w:val="single" w:color="auto" w:sz="4" w:space="0"/>
            </w:tcBorders>
            <w:vAlign w:val="center"/>
          </w:tcPr>
          <w:p>
            <w:pPr>
              <w:spacing w:line="260" w:lineRule="exact"/>
              <w:rPr>
                <w:rFonts w:hint="eastAsia" w:ascii="仿宋_GB2312" w:eastAsia="华文仿宋" w:cs="华文仿宋"/>
                <w:color w:val="auto"/>
                <w:spacing w:val="-20"/>
                <w:sz w:val="18"/>
                <w:szCs w:val="18"/>
              </w:rPr>
            </w:pPr>
            <w:r>
              <w:rPr>
                <w:rFonts w:hint="eastAsia" w:ascii="仿宋_GB2312" w:eastAsia="华文仿宋" w:cs="华文仿宋"/>
                <w:color w:val="auto"/>
                <w:spacing w:val="-20"/>
                <w:sz w:val="18"/>
                <w:szCs w:val="18"/>
                <w:lang w:val="en-US" w:eastAsia="zh-CN"/>
              </w:rPr>
              <w:t>1.</w:t>
            </w:r>
            <w:r>
              <w:rPr>
                <w:rFonts w:hint="eastAsia" w:ascii="仿宋_GB2312" w:eastAsia="华文仿宋" w:cs="华文仿宋"/>
                <w:color w:val="auto"/>
                <w:spacing w:val="-20"/>
                <w:sz w:val="18"/>
                <w:szCs w:val="18"/>
              </w:rPr>
              <w:t>具有能经常到民族地区和高原正常履行岗位职责的身体条件。</w:t>
            </w:r>
          </w:p>
          <w:p>
            <w:pPr>
              <w:spacing w:line="240" w:lineRule="exact"/>
              <w:rPr>
                <w:rFonts w:hint="eastAsia" w:ascii="仿宋_GB2312" w:hAnsi="宋体" w:eastAsia="仿宋_GB2312"/>
                <w:color w:val="auto"/>
                <w:spacing w:val="-17"/>
                <w:sz w:val="18"/>
                <w:szCs w:val="18"/>
                <w:lang w:val="en-US" w:eastAsia="zh-CN"/>
              </w:rPr>
            </w:pPr>
          </w:p>
          <w:p>
            <w:pPr>
              <w:spacing w:line="240" w:lineRule="exact"/>
              <w:rPr>
                <w:rFonts w:hint="eastAsia" w:ascii="仿宋_GB2312" w:hAnsi="宋体" w:eastAsia="仿宋_GB2312"/>
                <w:color w:val="auto"/>
                <w:spacing w:val="-17"/>
                <w:sz w:val="18"/>
                <w:szCs w:val="18"/>
                <w:lang w:eastAsia="zh-CN"/>
              </w:rPr>
            </w:pPr>
            <w:r>
              <w:rPr>
                <w:rFonts w:hint="eastAsia" w:ascii="仿宋_GB2312" w:hAnsi="宋体" w:eastAsia="仿宋_GB2312"/>
                <w:color w:val="auto"/>
                <w:spacing w:val="-17"/>
                <w:sz w:val="18"/>
                <w:szCs w:val="18"/>
                <w:lang w:val="en-US" w:eastAsia="zh-CN"/>
              </w:rPr>
              <w:t>2.</w:t>
            </w:r>
            <w:r>
              <w:rPr>
                <w:rFonts w:hint="eastAsia" w:ascii="仿宋_GB2312" w:hAnsi="宋体" w:eastAsia="仿宋_GB2312"/>
                <w:color w:val="auto"/>
                <w:spacing w:val="-17"/>
                <w:sz w:val="18"/>
                <w:szCs w:val="18"/>
              </w:rPr>
              <w:t>本次考核招聘聘用人员一经录用，最低服务年限为5年</w:t>
            </w:r>
            <w:r>
              <w:rPr>
                <w:rFonts w:hint="eastAsia" w:ascii="仿宋_GB2312" w:hAnsi="宋体" w:eastAsia="仿宋_GB2312"/>
                <w:color w:val="auto"/>
                <w:spacing w:val="-17"/>
                <w:sz w:val="18"/>
                <w:szCs w:val="18"/>
                <w:lang w:eastAsia="zh-CN"/>
              </w:rPr>
              <w:t>。</w:t>
            </w:r>
          </w:p>
        </w:tc>
      </w:tr>
      <w:tr>
        <w:tblPrEx>
          <w:tblLayout w:type="fixed"/>
          <w:tblCellMar>
            <w:top w:w="0" w:type="dxa"/>
            <w:left w:w="108" w:type="dxa"/>
            <w:bottom w:w="0" w:type="dxa"/>
            <w:right w:w="108" w:type="dxa"/>
          </w:tblCellMar>
        </w:tblPrEx>
        <w:trPr>
          <w:cantSplit/>
          <w:trHeight w:val="326" w:hRule="atLeast"/>
          <w:jc w:val="center"/>
        </w:trPr>
        <w:tc>
          <w:tcPr>
            <w:tcW w:w="989" w:type="dxa"/>
            <w:vMerge w:val="continue"/>
            <w:tcBorders>
              <w:left w:val="single" w:color="auto" w:sz="4" w:space="0"/>
              <w:right w:val="single" w:color="auto" w:sz="4" w:space="0"/>
            </w:tcBorders>
          </w:tcPr>
          <w:p>
            <w:pPr>
              <w:spacing w:line="200" w:lineRule="exact"/>
              <w:jc w:val="center"/>
              <w:rPr>
                <w:rFonts w:ascii="楷体_GB2312" w:hAnsi="楷体_GB2312" w:eastAsia="楷体_GB2312" w:cs="楷体_GB2312"/>
                <w:b/>
                <w:bCs/>
                <w:color w:val="auto"/>
                <w:spacing w:val="-20"/>
                <w:kern w:val="0"/>
                <w:sz w:val="18"/>
                <w:szCs w:val="18"/>
              </w:rPr>
            </w:pPr>
          </w:p>
        </w:tc>
        <w:tc>
          <w:tcPr>
            <w:tcW w:w="530" w:type="dxa"/>
            <w:vMerge w:val="continue"/>
            <w:tcBorders>
              <w:left w:val="single" w:color="auto" w:sz="4" w:space="0"/>
              <w:right w:val="single" w:color="auto" w:sz="4" w:space="0"/>
            </w:tcBorders>
            <w:tcMar>
              <w:left w:w="28" w:type="dxa"/>
              <w:right w:w="28" w:type="dxa"/>
            </w:tcMar>
            <w:vAlign w:val="center"/>
          </w:tcPr>
          <w:p>
            <w:pPr>
              <w:spacing w:line="240" w:lineRule="exact"/>
              <w:rPr>
                <w:rFonts w:ascii="仿宋_GB2312" w:hAnsi="仿宋_GB2312" w:eastAsia="仿宋_GB2312" w:cs="仿宋_GB2312"/>
                <w:color w:val="auto"/>
                <w:spacing w:val="-23"/>
                <w:sz w:val="18"/>
                <w:szCs w:val="18"/>
              </w:rPr>
            </w:pPr>
          </w:p>
        </w:tc>
        <w:tc>
          <w:tcPr>
            <w:tcW w:w="964" w:type="dxa"/>
            <w:vMerge w:val="continue"/>
            <w:tcBorders>
              <w:left w:val="single" w:color="auto" w:sz="4" w:space="0"/>
              <w:right w:val="single" w:color="auto" w:sz="4" w:space="0"/>
            </w:tcBorders>
            <w:vAlign w:val="center"/>
          </w:tcPr>
          <w:p>
            <w:pPr>
              <w:spacing w:line="240" w:lineRule="exact"/>
              <w:jc w:val="center"/>
              <w:rPr>
                <w:rFonts w:ascii="仿宋_GB2312" w:hAnsi="仿宋_GB2312" w:eastAsia="仿宋_GB2312" w:cs="仿宋_GB2312"/>
                <w:color w:val="auto"/>
                <w:spacing w:val="-20"/>
                <w:sz w:val="18"/>
                <w:szCs w:val="18"/>
              </w:rPr>
            </w:pPr>
          </w:p>
        </w:tc>
        <w:tc>
          <w:tcPr>
            <w:tcW w:w="862"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eastAsia="仿宋_GB2312"/>
                <w:color w:val="auto"/>
                <w:spacing w:val="-20"/>
                <w:sz w:val="18"/>
                <w:szCs w:val="18"/>
                <w:lang w:eastAsia="zh-CN"/>
              </w:rPr>
            </w:pPr>
            <w:r>
              <w:rPr>
                <w:rFonts w:hint="eastAsia" w:ascii="仿宋_GB2312" w:eastAsia="仿宋_GB2312"/>
                <w:color w:val="auto"/>
                <w:spacing w:val="-20"/>
                <w:sz w:val="18"/>
                <w:szCs w:val="18"/>
              </w:rPr>
              <w:t>1901000</w:t>
            </w:r>
            <w:r>
              <w:rPr>
                <w:rFonts w:hint="eastAsia" w:ascii="仿宋_GB2312" w:eastAsia="仿宋_GB2312"/>
                <w:color w:val="auto"/>
                <w:spacing w:val="-20"/>
                <w:sz w:val="18"/>
                <w:szCs w:val="18"/>
                <w:lang w:val="en-US" w:eastAsia="zh-CN"/>
              </w:rPr>
              <w:t>2</w:t>
            </w:r>
          </w:p>
        </w:tc>
        <w:tc>
          <w:tcPr>
            <w:tcW w:w="525" w:type="dxa"/>
            <w:tcBorders>
              <w:top w:val="single" w:color="auto" w:sz="4" w:space="0"/>
              <w:left w:val="single" w:color="auto" w:sz="4" w:space="0"/>
              <w:right w:val="single" w:color="auto" w:sz="4" w:space="0"/>
            </w:tcBorders>
            <w:vAlign w:val="center"/>
          </w:tcPr>
          <w:p>
            <w:pPr>
              <w:spacing w:line="240" w:lineRule="exact"/>
              <w:jc w:val="center"/>
              <w:rPr>
                <w:rFonts w:hint="eastAsia" w:ascii="仿宋_GB2312" w:eastAsia="仿宋_GB2312" w:cs="仿宋_GB2312"/>
                <w:color w:val="auto"/>
                <w:spacing w:val="-20"/>
                <w:sz w:val="18"/>
                <w:szCs w:val="18"/>
                <w:lang w:val="en-US" w:eastAsia="zh-CN"/>
              </w:rPr>
            </w:pPr>
            <w:r>
              <w:rPr>
                <w:rFonts w:hint="eastAsia" w:ascii="仿宋_GB2312" w:eastAsia="仿宋_GB2312" w:cs="仿宋_GB2312"/>
                <w:color w:val="auto"/>
                <w:spacing w:val="-20"/>
                <w:sz w:val="18"/>
                <w:szCs w:val="18"/>
                <w:lang w:val="en-US" w:eastAsia="zh-CN"/>
              </w:rPr>
              <w:t>1</w:t>
            </w:r>
          </w:p>
        </w:tc>
        <w:tc>
          <w:tcPr>
            <w:tcW w:w="700" w:type="dxa"/>
            <w:vMerge w:val="continue"/>
            <w:tcBorders>
              <w:left w:val="nil"/>
              <w:right w:val="single" w:color="auto" w:sz="4" w:space="0"/>
            </w:tcBorders>
            <w:vAlign w:val="center"/>
          </w:tcPr>
          <w:p>
            <w:pPr>
              <w:spacing w:line="260" w:lineRule="exact"/>
              <w:rPr>
                <w:rFonts w:ascii="仿宋" w:hAnsi="仿宋" w:eastAsia="仿宋"/>
                <w:color w:val="auto"/>
                <w:spacing w:val="-20"/>
                <w:sz w:val="18"/>
                <w:szCs w:val="18"/>
              </w:rPr>
            </w:pPr>
          </w:p>
        </w:tc>
        <w:tc>
          <w:tcPr>
            <w:tcW w:w="730" w:type="dxa"/>
            <w:vMerge w:val="continue"/>
            <w:tcBorders>
              <w:left w:val="nil"/>
              <w:right w:val="single" w:color="auto" w:sz="4" w:space="0"/>
            </w:tcBorders>
            <w:vAlign w:val="center"/>
          </w:tcPr>
          <w:p>
            <w:pPr>
              <w:spacing w:line="260" w:lineRule="exact"/>
              <w:jc w:val="center"/>
              <w:rPr>
                <w:rFonts w:ascii="华文仿宋" w:hAnsi="华文仿宋" w:eastAsia="华文仿宋" w:cs="华文仿宋"/>
                <w:color w:val="auto"/>
                <w:spacing w:val="-11"/>
                <w:sz w:val="18"/>
                <w:szCs w:val="18"/>
              </w:rPr>
            </w:pPr>
          </w:p>
        </w:tc>
        <w:tc>
          <w:tcPr>
            <w:tcW w:w="2215" w:type="dxa"/>
            <w:tcBorders>
              <w:top w:val="single" w:color="auto" w:sz="4" w:space="0"/>
              <w:left w:val="nil"/>
              <w:bottom w:val="single" w:color="auto" w:sz="4" w:space="0"/>
              <w:right w:val="single" w:color="auto" w:sz="4" w:space="0"/>
            </w:tcBorders>
            <w:vAlign w:val="center"/>
          </w:tcPr>
          <w:p>
            <w:pPr>
              <w:spacing w:line="200" w:lineRule="exact"/>
              <w:rPr>
                <w:rFonts w:ascii="华文仿宋" w:hAnsi="华文仿宋" w:eastAsia="华文仿宋" w:cs="华文仿宋"/>
                <w:color w:val="auto"/>
                <w:spacing w:val="-17"/>
                <w:sz w:val="18"/>
                <w:szCs w:val="18"/>
              </w:rPr>
            </w:pPr>
            <w:r>
              <w:rPr>
                <w:rFonts w:ascii="华文仿宋" w:hAnsi="华文仿宋" w:eastAsia="华文仿宋" w:cs="华文仿宋"/>
                <w:color w:val="auto"/>
                <w:spacing w:val="-17"/>
                <w:sz w:val="18"/>
                <w:szCs w:val="18"/>
              </w:rPr>
              <w:t>202</w:t>
            </w:r>
            <w:r>
              <w:rPr>
                <w:rFonts w:hint="eastAsia" w:ascii="华文仿宋" w:hAnsi="华文仿宋" w:eastAsia="华文仿宋" w:cs="华文仿宋"/>
                <w:color w:val="auto"/>
                <w:spacing w:val="-17"/>
                <w:sz w:val="18"/>
                <w:szCs w:val="18"/>
              </w:rPr>
              <w:t>1年</w:t>
            </w:r>
            <w:r>
              <w:rPr>
                <w:rFonts w:hint="eastAsia" w:ascii="华文仿宋" w:hAnsi="华文仿宋" w:eastAsia="华文仿宋" w:cs="华文仿宋"/>
                <w:color w:val="auto"/>
                <w:spacing w:val="-17"/>
                <w:sz w:val="18"/>
                <w:szCs w:val="18"/>
                <w:lang w:val="en-US" w:eastAsia="zh-CN"/>
              </w:rPr>
              <w:t>7</w:t>
            </w:r>
            <w:r>
              <w:rPr>
                <w:rFonts w:hint="eastAsia" w:ascii="华文仿宋" w:hAnsi="华文仿宋" w:eastAsia="华文仿宋" w:cs="华文仿宋"/>
                <w:color w:val="auto"/>
                <w:spacing w:val="-17"/>
                <w:sz w:val="18"/>
                <w:szCs w:val="18"/>
              </w:rPr>
              <w:t>月</w:t>
            </w:r>
            <w:r>
              <w:rPr>
                <w:rFonts w:hint="eastAsia" w:ascii="华文仿宋" w:hAnsi="华文仿宋" w:eastAsia="华文仿宋" w:cs="华文仿宋"/>
                <w:color w:val="auto"/>
                <w:spacing w:val="-17"/>
                <w:sz w:val="18"/>
                <w:szCs w:val="18"/>
                <w:lang w:val="en-US" w:eastAsia="zh-CN"/>
              </w:rPr>
              <w:t>31</w:t>
            </w:r>
            <w:r>
              <w:rPr>
                <w:rFonts w:hint="eastAsia" w:ascii="华文仿宋" w:hAnsi="华文仿宋" w:eastAsia="华文仿宋" w:cs="华文仿宋"/>
                <w:color w:val="auto"/>
                <w:spacing w:val="-17"/>
                <w:sz w:val="18"/>
                <w:szCs w:val="18"/>
              </w:rPr>
              <w:t>日前取得国民教育研究生及以上学历和硕士及以上学位的应、往届毕业生</w:t>
            </w:r>
          </w:p>
        </w:tc>
        <w:tc>
          <w:tcPr>
            <w:tcW w:w="1871" w:type="dxa"/>
            <w:tcBorders>
              <w:top w:val="single" w:color="auto" w:sz="4" w:space="0"/>
              <w:left w:val="nil"/>
              <w:right w:val="single" w:color="auto" w:sz="4" w:space="0"/>
            </w:tcBorders>
            <w:vAlign w:val="center"/>
          </w:tcPr>
          <w:p>
            <w:pPr>
              <w:spacing w:line="240" w:lineRule="exact"/>
              <w:jc w:val="center"/>
              <w:rPr>
                <w:rFonts w:ascii="楷体_GB2312" w:hAnsi="楷体_GB2312" w:eastAsia="楷体_GB2312" w:cs="楷体_GB2312"/>
                <w:b/>
                <w:bCs/>
                <w:color w:val="auto"/>
                <w:spacing w:val="-17"/>
                <w:sz w:val="18"/>
                <w:szCs w:val="18"/>
              </w:rPr>
            </w:pPr>
            <w:r>
              <w:rPr>
                <w:rFonts w:hint="eastAsia" w:ascii="华文仿宋" w:hAnsi="华文仿宋" w:eastAsia="华文仿宋"/>
                <w:color w:val="auto"/>
                <w:spacing w:val="-17"/>
                <w:sz w:val="18"/>
                <w:szCs w:val="18"/>
              </w:rPr>
              <w:t>城乡规划学</w:t>
            </w:r>
          </w:p>
        </w:tc>
        <w:tc>
          <w:tcPr>
            <w:tcW w:w="1284" w:type="dxa"/>
            <w:vMerge w:val="continue"/>
            <w:tcBorders>
              <w:left w:val="single" w:color="auto" w:sz="4" w:space="0"/>
              <w:right w:val="single" w:color="auto" w:sz="4" w:space="0"/>
            </w:tcBorders>
            <w:vAlign w:val="center"/>
          </w:tcPr>
          <w:p>
            <w:pPr>
              <w:spacing w:line="260" w:lineRule="exact"/>
              <w:rPr>
                <w:rFonts w:ascii="仿宋_GB2312" w:eastAsia="华文仿宋" w:cs="华文仿宋"/>
                <w:color w:val="auto"/>
                <w:spacing w:val="-20"/>
                <w:sz w:val="18"/>
                <w:szCs w:val="18"/>
              </w:rPr>
            </w:pPr>
          </w:p>
        </w:tc>
        <w:tc>
          <w:tcPr>
            <w:tcW w:w="738" w:type="dxa"/>
            <w:vMerge w:val="continue"/>
            <w:tcBorders>
              <w:left w:val="single" w:color="auto" w:sz="4" w:space="0"/>
              <w:right w:val="single" w:color="auto" w:sz="4" w:space="0"/>
            </w:tcBorders>
            <w:vAlign w:val="center"/>
          </w:tcPr>
          <w:p>
            <w:pPr>
              <w:spacing w:line="240" w:lineRule="exact"/>
              <w:jc w:val="center"/>
              <w:rPr>
                <w:rFonts w:ascii="华文仿宋" w:hAnsi="华文仿宋" w:eastAsia="华文仿宋" w:cs="华文仿宋"/>
                <w:color w:val="auto"/>
                <w:spacing w:val="-20"/>
                <w:sz w:val="18"/>
                <w:szCs w:val="18"/>
              </w:rPr>
            </w:pPr>
          </w:p>
        </w:tc>
        <w:tc>
          <w:tcPr>
            <w:tcW w:w="590" w:type="dxa"/>
            <w:vMerge w:val="continue"/>
            <w:tcBorders>
              <w:left w:val="single" w:color="auto" w:sz="4" w:space="0"/>
              <w:right w:val="single" w:color="auto" w:sz="4" w:space="0"/>
            </w:tcBorders>
            <w:vAlign w:val="center"/>
          </w:tcPr>
          <w:p>
            <w:pPr>
              <w:spacing w:line="240" w:lineRule="exact"/>
              <w:rPr>
                <w:rFonts w:ascii="华文仿宋" w:hAnsi="华文仿宋" w:eastAsia="华文仿宋" w:cs="华文仿宋"/>
                <w:color w:val="auto"/>
                <w:spacing w:val="-20"/>
                <w:sz w:val="18"/>
                <w:szCs w:val="18"/>
              </w:rPr>
            </w:pPr>
          </w:p>
        </w:tc>
        <w:tc>
          <w:tcPr>
            <w:tcW w:w="710" w:type="dxa"/>
            <w:vMerge w:val="continue"/>
            <w:tcBorders>
              <w:left w:val="single" w:color="auto" w:sz="4" w:space="0"/>
              <w:right w:val="single" w:color="auto" w:sz="4" w:space="0"/>
            </w:tcBorders>
            <w:vAlign w:val="center"/>
          </w:tcPr>
          <w:p>
            <w:pPr>
              <w:spacing w:line="240" w:lineRule="exact"/>
              <w:jc w:val="center"/>
              <w:rPr>
                <w:rFonts w:ascii="仿宋_GB2312" w:eastAsia="仿宋_GB2312"/>
                <w:color w:val="auto"/>
                <w:spacing w:val="-20"/>
                <w:sz w:val="18"/>
                <w:szCs w:val="18"/>
              </w:rPr>
            </w:pPr>
          </w:p>
        </w:tc>
        <w:tc>
          <w:tcPr>
            <w:tcW w:w="909" w:type="dxa"/>
            <w:vMerge w:val="continue"/>
            <w:tcBorders>
              <w:left w:val="single" w:color="auto" w:sz="4" w:space="0"/>
              <w:right w:val="single" w:color="auto" w:sz="4" w:space="0"/>
            </w:tcBorders>
            <w:vAlign w:val="center"/>
          </w:tcPr>
          <w:p>
            <w:pPr>
              <w:spacing w:line="240" w:lineRule="exact"/>
              <w:rPr>
                <w:rFonts w:ascii="仿宋_GB2312" w:hAnsi="宋体" w:eastAsia="仿宋_GB2312"/>
                <w:color w:val="auto"/>
                <w:spacing w:val="-17"/>
                <w:sz w:val="18"/>
                <w:szCs w:val="18"/>
              </w:rPr>
            </w:pPr>
          </w:p>
        </w:tc>
        <w:tc>
          <w:tcPr>
            <w:tcW w:w="766" w:type="dxa"/>
            <w:vMerge w:val="continue"/>
            <w:tcBorders>
              <w:left w:val="single" w:color="auto" w:sz="4" w:space="0"/>
              <w:right w:val="single" w:color="auto" w:sz="4" w:space="0"/>
            </w:tcBorders>
            <w:vAlign w:val="center"/>
          </w:tcPr>
          <w:p>
            <w:pPr>
              <w:spacing w:line="240" w:lineRule="exact"/>
              <w:rPr>
                <w:rFonts w:ascii="仿宋_GB2312" w:hAnsi="宋体" w:eastAsia="仿宋_GB2312"/>
                <w:color w:val="auto"/>
                <w:spacing w:val="-17"/>
                <w:sz w:val="18"/>
                <w:szCs w:val="18"/>
              </w:rPr>
            </w:pPr>
          </w:p>
        </w:tc>
      </w:tr>
      <w:tr>
        <w:tblPrEx>
          <w:tblLayout w:type="fixed"/>
          <w:tblCellMar>
            <w:top w:w="0" w:type="dxa"/>
            <w:left w:w="108" w:type="dxa"/>
            <w:bottom w:w="0" w:type="dxa"/>
            <w:right w:w="108" w:type="dxa"/>
          </w:tblCellMar>
        </w:tblPrEx>
        <w:trPr>
          <w:cantSplit/>
          <w:trHeight w:val="700" w:hRule="atLeast"/>
          <w:jc w:val="center"/>
        </w:trPr>
        <w:tc>
          <w:tcPr>
            <w:tcW w:w="989" w:type="dxa"/>
            <w:vMerge w:val="continue"/>
            <w:tcBorders>
              <w:left w:val="single" w:color="auto" w:sz="4" w:space="0"/>
              <w:bottom w:val="single" w:color="auto" w:sz="4" w:space="0"/>
              <w:right w:val="single" w:color="auto" w:sz="4" w:space="0"/>
            </w:tcBorders>
            <w:vAlign w:val="center"/>
          </w:tcPr>
          <w:p>
            <w:pPr>
              <w:spacing w:line="240" w:lineRule="exact"/>
              <w:jc w:val="center"/>
              <w:rPr>
                <w:rFonts w:ascii="楷体_GB2312" w:hAnsi="楷体_GB2312" w:eastAsia="楷体_GB2312"/>
                <w:b/>
                <w:bCs/>
                <w:color w:val="auto"/>
                <w:spacing w:val="-20"/>
                <w:sz w:val="18"/>
                <w:szCs w:val="18"/>
              </w:rPr>
            </w:pPr>
          </w:p>
        </w:tc>
        <w:tc>
          <w:tcPr>
            <w:tcW w:w="530" w:type="dxa"/>
            <w:vMerge w:val="continue"/>
            <w:tcBorders>
              <w:left w:val="single" w:color="auto" w:sz="4" w:space="0"/>
              <w:bottom w:val="single" w:color="auto" w:sz="4" w:space="0"/>
              <w:right w:val="single" w:color="auto" w:sz="4" w:space="0"/>
            </w:tcBorders>
            <w:tcMar>
              <w:left w:w="28" w:type="dxa"/>
              <w:right w:w="28" w:type="dxa"/>
            </w:tcMar>
            <w:vAlign w:val="center"/>
          </w:tcPr>
          <w:p>
            <w:pPr>
              <w:spacing w:line="240" w:lineRule="exact"/>
              <w:rPr>
                <w:rFonts w:ascii="黑体" w:hAnsi="黑体" w:eastAsia="黑体"/>
                <w:color w:val="auto"/>
                <w:spacing w:val="-23"/>
                <w:sz w:val="18"/>
                <w:szCs w:val="18"/>
              </w:rPr>
            </w:pPr>
          </w:p>
        </w:tc>
        <w:tc>
          <w:tcPr>
            <w:tcW w:w="9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_GB2312" w:eastAsia="仿宋_GB2312" w:cs="仿宋_GB2312"/>
                <w:color w:val="auto"/>
                <w:spacing w:val="-20"/>
                <w:sz w:val="18"/>
                <w:szCs w:val="18"/>
              </w:rPr>
            </w:pPr>
            <w:r>
              <w:rPr>
                <w:rFonts w:hint="eastAsia" w:ascii="仿宋_GB2312" w:hAnsi="仿宋_GB2312" w:eastAsia="仿宋_GB2312" w:cs="仿宋_GB2312"/>
                <w:color w:val="auto"/>
                <w:spacing w:val="-20"/>
                <w:sz w:val="18"/>
                <w:szCs w:val="18"/>
              </w:rPr>
              <w:t>宗教理论与</w:t>
            </w:r>
          </w:p>
          <w:p>
            <w:pPr>
              <w:spacing w:line="240" w:lineRule="exact"/>
              <w:jc w:val="center"/>
              <w:rPr>
                <w:rFonts w:ascii="黑体" w:hAnsi="黑体" w:eastAsia="黑体"/>
                <w:color w:val="auto"/>
                <w:spacing w:val="-20"/>
                <w:sz w:val="18"/>
                <w:szCs w:val="18"/>
              </w:rPr>
            </w:pPr>
            <w:r>
              <w:rPr>
                <w:rFonts w:hint="eastAsia" w:ascii="仿宋_GB2312" w:hAnsi="仿宋_GB2312" w:eastAsia="仿宋_GB2312" w:cs="仿宋_GB2312"/>
                <w:color w:val="auto"/>
                <w:spacing w:val="-20"/>
                <w:sz w:val="18"/>
                <w:szCs w:val="18"/>
              </w:rPr>
              <w:t>政策研究</w:t>
            </w:r>
          </w:p>
        </w:tc>
        <w:tc>
          <w:tcPr>
            <w:tcW w:w="862"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eastAsia="仿宋_GB2312"/>
                <w:color w:val="auto"/>
                <w:spacing w:val="-20"/>
                <w:sz w:val="18"/>
                <w:szCs w:val="18"/>
                <w:lang w:eastAsia="zh-CN"/>
              </w:rPr>
            </w:pPr>
            <w:r>
              <w:rPr>
                <w:rFonts w:hint="eastAsia" w:ascii="仿宋_GB2312" w:eastAsia="仿宋_GB2312"/>
                <w:color w:val="auto"/>
                <w:spacing w:val="-20"/>
                <w:sz w:val="18"/>
                <w:szCs w:val="18"/>
              </w:rPr>
              <w:t>1901000</w:t>
            </w:r>
            <w:r>
              <w:rPr>
                <w:rFonts w:hint="eastAsia" w:ascii="仿宋_GB2312" w:eastAsia="仿宋_GB2312"/>
                <w:color w:val="auto"/>
                <w:spacing w:val="-20"/>
                <w:sz w:val="18"/>
                <w:szCs w:val="18"/>
                <w:lang w:val="en-US" w:eastAsia="zh-CN"/>
              </w:rPr>
              <w:t>3</w:t>
            </w:r>
          </w:p>
        </w:tc>
        <w:tc>
          <w:tcPr>
            <w:tcW w:w="5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s="仿宋_GB2312"/>
                <w:color w:val="auto"/>
                <w:spacing w:val="-20"/>
                <w:sz w:val="18"/>
                <w:szCs w:val="18"/>
              </w:rPr>
            </w:pPr>
            <w:r>
              <w:rPr>
                <w:rFonts w:hint="eastAsia" w:ascii="仿宋_GB2312" w:eastAsia="仿宋_GB2312" w:cs="仿宋_GB2312"/>
                <w:color w:val="auto"/>
                <w:spacing w:val="-20"/>
                <w:sz w:val="18"/>
                <w:szCs w:val="18"/>
              </w:rPr>
              <w:t>1</w:t>
            </w:r>
          </w:p>
        </w:tc>
        <w:tc>
          <w:tcPr>
            <w:tcW w:w="700" w:type="dxa"/>
            <w:vMerge w:val="continue"/>
            <w:tcBorders>
              <w:left w:val="nil"/>
              <w:right w:val="single" w:color="auto" w:sz="4" w:space="0"/>
            </w:tcBorders>
            <w:vAlign w:val="center"/>
          </w:tcPr>
          <w:p>
            <w:pPr>
              <w:spacing w:line="220" w:lineRule="exact"/>
              <w:rPr>
                <w:rFonts w:ascii="仿宋_GB2312" w:eastAsia="仿宋_GB2312"/>
                <w:color w:val="auto"/>
                <w:spacing w:val="-20"/>
                <w:sz w:val="18"/>
                <w:szCs w:val="18"/>
              </w:rPr>
            </w:pPr>
          </w:p>
        </w:tc>
        <w:tc>
          <w:tcPr>
            <w:tcW w:w="730" w:type="dxa"/>
            <w:vMerge w:val="continue"/>
            <w:tcBorders>
              <w:left w:val="nil"/>
              <w:right w:val="single" w:color="auto" w:sz="4" w:space="0"/>
            </w:tcBorders>
            <w:vAlign w:val="center"/>
          </w:tcPr>
          <w:p>
            <w:pPr>
              <w:spacing w:line="240" w:lineRule="exact"/>
              <w:jc w:val="center"/>
              <w:rPr>
                <w:rFonts w:ascii="黑体" w:hAnsi="黑体" w:eastAsia="黑体"/>
                <w:color w:val="auto"/>
                <w:spacing w:val="-20"/>
                <w:sz w:val="18"/>
                <w:szCs w:val="18"/>
              </w:rPr>
            </w:pPr>
          </w:p>
        </w:tc>
        <w:tc>
          <w:tcPr>
            <w:tcW w:w="2215" w:type="dxa"/>
            <w:tcBorders>
              <w:top w:val="single" w:color="auto" w:sz="4" w:space="0"/>
              <w:left w:val="nil"/>
              <w:bottom w:val="single" w:color="auto" w:sz="4" w:space="0"/>
              <w:right w:val="single" w:color="auto" w:sz="4" w:space="0"/>
            </w:tcBorders>
            <w:vAlign w:val="center"/>
          </w:tcPr>
          <w:p>
            <w:pPr>
              <w:spacing w:line="200" w:lineRule="exact"/>
              <w:rPr>
                <w:rFonts w:ascii="黑体" w:hAnsi="黑体" w:eastAsia="黑体"/>
                <w:color w:val="auto"/>
                <w:spacing w:val="-17"/>
                <w:sz w:val="18"/>
                <w:szCs w:val="18"/>
              </w:rPr>
            </w:pPr>
            <w:r>
              <w:rPr>
                <w:rFonts w:ascii="华文仿宋" w:hAnsi="华文仿宋" w:eastAsia="华文仿宋" w:cs="华文仿宋"/>
                <w:color w:val="auto"/>
                <w:spacing w:val="-17"/>
                <w:sz w:val="18"/>
                <w:szCs w:val="18"/>
              </w:rPr>
              <w:t>202</w:t>
            </w:r>
            <w:r>
              <w:rPr>
                <w:rFonts w:hint="eastAsia" w:ascii="华文仿宋" w:hAnsi="华文仿宋" w:eastAsia="华文仿宋" w:cs="华文仿宋"/>
                <w:color w:val="auto"/>
                <w:spacing w:val="-17"/>
                <w:sz w:val="18"/>
                <w:szCs w:val="18"/>
                <w:lang w:val="en-US" w:eastAsia="zh-CN"/>
              </w:rPr>
              <w:t>1</w:t>
            </w:r>
            <w:r>
              <w:rPr>
                <w:rFonts w:hint="eastAsia" w:ascii="华文仿宋" w:hAnsi="华文仿宋" w:eastAsia="华文仿宋" w:cs="华文仿宋"/>
                <w:color w:val="auto"/>
                <w:spacing w:val="-17"/>
                <w:sz w:val="18"/>
                <w:szCs w:val="18"/>
              </w:rPr>
              <w:t>年</w:t>
            </w:r>
            <w:r>
              <w:rPr>
                <w:rFonts w:hint="eastAsia" w:ascii="华文仿宋" w:hAnsi="华文仿宋" w:eastAsia="华文仿宋" w:cs="华文仿宋"/>
                <w:color w:val="auto"/>
                <w:spacing w:val="-17"/>
                <w:sz w:val="18"/>
                <w:szCs w:val="18"/>
                <w:lang w:val="en-US" w:eastAsia="zh-CN"/>
              </w:rPr>
              <w:t>7</w:t>
            </w:r>
            <w:r>
              <w:rPr>
                <w:rFonts w:hint="eastAsia" w:ascii="华文仿宋" w:hAnsi="华文仿宋" w:eastAsia="华文仿宋" w:cs="华文仿宋"/>
                <w:color w:val="auto"/>
                <w:spacing w:val="-17"/>
                <w:sz w:val="18"/>
                <w:szCs w:val="18"/>
              </w:rPr>
              <w:t>月</w:t>
            </w:r>
            <w:r>
              <w:rPr>
                <w:rFonts w:hint="eastAsia" w:ascii="华文仿宋" w:hAnsi="华文仿宋" w:eastAsia="华文仿宋" w:cs="华文仿宋"/>
                <w:color w:val="auto"/>
                <w:spacing w:val="-17"/>
                <w:sz w:val="18"/>
                <w:szCs w:val="18"/>
                <w:lang w:val="en-US" w:eastAsia="zh-CN"/>
              </w:rPr>
              <w:t>31</w:t>
            </w:r>
            <w:r>
              <w:rPr>
                <w:rFonts w:hint="eastAsia" w:ascii="华文仿宋" w:hAnsi="华文仿宋" w:eastAsia="华文仿宋" w:cs="华文仿宋"/>
                <w:color w:val="auto"/>
                <w:spacing w:val="-17"/>
                <w:sz w:val="18"/>
                <w:szCs w:val="18"/>
              </w:rPr>
              <w:t>日前取得国民教育研究生及以上学历和硕士及以上学位的应、往届毕业生</w:t>
            </w:r>
          </w:p>
        </w:tc>
        <w:tc>
          <w:tcPr>
            <w:tcW w:w="1871" w:type="dxa"/>
            <w:tcBorders>
              <w:top w:val="single" w:color="auto" w:sz="4" w:space="0"/>
              <w:left w:val="nil"/>
              <w:bottom w:val="single" w:color="auto" w:sz="4" w:space="0"/>
              <w:right w:val="single" w:color="000000" w:sz="4" w:space="0"/>
            </w:tcBorders>
            <w:vAlign w:val="center"/>
          </w:tcPr>
          <w:p>
            <w:pPr>
              <w:spacing w:line="220" w:lineRule="exact"/>
              <w:jc w:val="center"/>
              <w:rPr>
                <w:rFonts w:ascii="华文仿宋" w:hAnsi="华文仿宋" w:eastAsia="华文仿宋" w:cs="华文仿宋"/>
                <w:color w:val="auto"/>
                <w:spacing w:val="-17"/>
                <w:sz w:val="18"/>
                <w:szCs w:val="18"/>
              </w:rPr>
            </w:pPr>
            <w:r>
              <w:rPr>
                <w:rFonts w:hint="eastAsia" w:ascii="华文仿宋" w:hAnsi="华文仿宋" w:eastAsia="华文仿宋" w:cs="华文仿宋"/>
                <w:color w:val="auto"/>
                <w:spacing w:val="-17"/>
                <w:sz w:val="18"/>
                <w:szCs w:val="18"/>
              </w:rPr>
              <w:t>宗教学</w:t>
            </w:r>
          </w:p>
        </w:tc>
        <w:tc>
          <w:tcPr>
            <w:tcW w:w="1284" w:type="dxa"/>
            <w:vMerge w:val="continue"/>
            <w:tcBorders>
              <w:left w:val="single" w:color="auto" w:sz="4" w:space="0"/>
              <w:bottom w:val="single" w:color="auto" w:sz="4" w:space="0"/>
              <w:right w:val="single" w:color="auto" w:sz="4" w:space="0"/>
            </w:tcBorders>
            <w:vAlign w:val="center"/>
          </w:tcPr>
          <w:p>
            <w:pPr>
              <w:spacing w:line="260" w:lineRule="exact"/>
              <w:rPr>
                <w:rFonts w:ascii="黑体" w:hAnsi="黑体" w:eastAsia="黑体"/>
                <w:color w:val="auto"/>
                <w:spacing w:val="-17"/>
                <w:sz w:val="18"/>
                <w:szCs w:val="18"/>
              </w:rPr>
            </w:pPr>
          </w:p>
        </w:tc>
        <w:tc>
          <w:tcPr>
            <w:tcW w:w="738" w:type="dxa"/>
            <w:vMerge w:val="continue"/>
            <w:tcBorders>
              <w:left w:val="single" w:color="auto" w:sz="4" w:space="0"/>
              <w:right w:val="single" w:color="auto" w:sz="4" w:space="0"/>
            </w:tcBorders>
            <w:vAlign w:val="center"/>
          </w:tcPr>
          <w:p>
            <w:pPr>
              <w:spacing w:line="240" w:lineRule="exact"/>
              <w:jc w:val="center"/>
              <w:rPr>
                <w:rFonts w:ascii="仿宋_GB2312" w:eastAsia="仿宋_GB2312"/>
                <w:color w:val="auto"/>
                <w:spacing w:val="-20"/>
                <w:sz w:val="18"/>
                <w:szCs w:val="18"/>
              </w:rPr>
            </w:pPr>
          </w:p>
        </w:tc>
        <w:tc>
          <w:tcPr>
            <w:tcW w:w="590" w:type="dxa"/>
            <w:vMerge w:val="continue"/>
            <w:tcBorders>
              <w:left w:val="single" w:color="auto" w:sz="4" w:space="0"/>
              <w:right w:val="single" w:color="auto" w:sz="4" w:space="0"/>
            </w:tcBorders>
            <w:vAlign w:val="center"/>
          </w:tcPr>
          <w:p>
            <w:pPr>
              <w:spacing w:line="240" w:lineRule="exact"/>
              <w:jc w:val="center"/>
              <w:rPr>
                <w:rFonts w:ascii="仿宋_GB2312" w:eastAsia="仿宋_GB2312"/>
                <w:color w:val="auto"/>
                <w:spacing w:val="-20"/>
                <w:sz w:val="18"/>
                <w:szCs w:val="18"/>
              </w:rPr>
            </w:pPr>
          </w:p>
        </w:tc>
        <w:tc>
          <w:tcPr>
            <w:tcW w:w="71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pacing w:val="-20"/>
                <w:sz w:val="18"/>
                <w:szCs w:val="18"/>
              </w:rPr>
            </w:pPr>
          </w:p>
        </w:tc>
        <w:tc>
          <w:tcPr>
            <w:tcW w:w="909" w:type="dxa"/>
            <w:vMerge w:val="continue"/>
            <w:tcBorders>
              <w:left w:val="single" w:color="auto" w:sz="4" w:space="0"/>
              <w:bottom w:val="single" w:color="auto" w:sz="4" w:space="0"/>
              <w:right w:val="single" w:color="auto" w:sz="4" w:space="0"/>
            </w:tcBorders>
            <w:vAlign w:val="center"/>
          </w:tcPr>
          <w:p>
            <w:pPr>
              <w:spacing w:line="240" w:lineRule="exact"/>
              <w:rPr>
                <w:rFonts w:ascii="仿宋_GB2312" w:eastAsia="仿宋_GB2312"/>
                <w:color w:val="auto"/>
                <w:spacing w:val="-20"/>
                <w:sz w:val="18"/>
                <w:szCs w:val="18"/>
              </w:rPr>
            </w:pPr>
          </w:p>
        </w:tc>
        <w:tc>
          <w:tcPr>
            <w:tcW w:w="766" w:type="dxa"/>
            <w:vMerge w:val="continue"/>
            <w:tcBorders>
              <w:left w:val="single" w:color="auto" w:sz="4" w:space="0"/>
              <w:right w:val="single" w:color="auto" w:sz="4" w:space="0"/>
            </w:tcBorders>
            <w:vAlign w:val="center"/>
          </w:tcPr>
          <w:p>
            <w:pPr>
              <w:spacing w:line="240" w:lineRule="exact"/>
              <w:rPr>
                <w:rFonts w:ascii="仿宋_GB2312" w:eastAsia="仿宋_GB2312"/>
                <w:color w:val="auto"/>
                <w:spacing w:val="-20"/>
                <w:sz w:val="18"/>
                <w:szCs w:val="18"/>
              </w:rPr>
            </w:pPr>
          </w:p>
        </w:tc>
      </w:tr>
      <w:tr>
        <w:tblPrEx>
          <w:tblLayout w:type="fixed"/>
          <w:tblCellMar>
            <w:top w:w="0" w:type="dxa"/>
            <w:left w:w="108" w:type="dxa"/>
            <w:bottom w:w="0" w:type="dxa"/>
            <w:right w:w="108" w:type="dxa"/>
          </w:tblCellMar>
        </w:tblPrEx>
        <w:trPr>
          <w:cantSplit/>
          <w:trHeight w:val="710" w:hRule="atLeast"/>
          <w:jc w:val="center"/>
        </w:trPr>
        <w:tc>
          <w:tcPr>
            <w:tcW w:w="989" w:type="dxa"/>
            <w:vMerge w:val="restart"/>
            <w:tcBorders>
              <w:top w:val="single" w:color="auto" w:sz="4" w:space="0"/>
              <w:left w:val="single" w:color="auto" w:sz="4" w:space="0"/>
              <w:right w:val="single" w:color="auto" w:sz="4" w:space="0"/>
            </w:tcBorders>
            <w:vAlign w:val="center"/>
          </w:tcPr>
          <w:p>
            <w:pPr>
              <w:spacing w:line="240" w:lineRule="exact"/>
              <w:jc w:val="center"/>
              <w:rPr>
                <w:rFonts w:ascii="楷体_GB2312" w:hAnsi="楷体_GB2312" w:eastAsia="楷体_GB2312" w:cs="楷体_GB2312"/>
                <w:b/>
                <w:bCs/>
                <w:color w:val="auto"/>
                <w:spacing w:val="-20"/>
                <w:sz w:val="18"/>
                <w:szCs w:val="18"/>
              </w:rPr>
            </w:pPr>
          </w:p>
          <w:p>
            <w:pPr>
              <w:spacing w:line="240" w:lineRule="exact"/>
              <w:jc w:val="center"/>
              <w:rPr>
                <w:rFonts w:ascii="楷体_GB2312" w:hAnsi="楷体_GB2312" w:eastAsia="楷体_GB2312" w:cs="楷体_GB2312"/>
                <w:b/>
                <w:bCs/>
                <w:color w:val="auto"/>
                <w:spacing w:val="-20"/>
                <w:sz w:val="18"/>
                <w:szCs w:val="18"/>
              </w:rPr>
            </w:pPr>
          </w:p>
          <w:p>
            <w:pPr>
              <w:spacing w:line="240" w:lineRule="exact"/>
              <w:jc w:val="center"/>
              <w:rPr>
                <w:rFonts w:ascii="楷体_GB2312" w:hAnsi="楷体_GB2312" w:eastAsia="楷体_GB2312"/>
                <w:b/>
                <w:bCs/>
                <w:color w:val="auto"/>
                <w:spacing w:val="-20"/>
                <w:sz w:val="18"/>
                <w:szCs w:val="18"/>
              </w:rPr>
            </w:pPr>
            <w:r>
              <w:rPr>
                <w:rFonts w:hint="eastAsia" w:ascii="楷体_GB2312" w:hAnsi="楷体_GB2312" w:eastAsia="楷体_GB2312" w:cs="楷体_GB2312"/>
                <w:b/>
                <w:bCs/>
                <w:color w:val="auto"/>
                <w:spacing w:val="-20"/>
                <w:sz w:val="18"/>
                <w:szCs w:val="18"/>
              </w:rPr>
              <w:t>四川省藏文学校（3名）</w:t>
            </w:r>
          </w:p>
        </w:tc>
        <w:tc>
          <w:tcPr>
            <w:tcW w:w="530" w:type="dxa"/>
            <w:vMerge w:val="restart"/>
            <w:tcBorders>
              <w:top w:val="single" w:color="auto" w:sz="4" w:space="0"/>
              <w:left w:val="single" w:color="auto" w:sz="4" w:space="0"/>
              <w:right w:val="single" w:color="auto" w:sz="4" w:space="0"/>
            </w:tcBorders>
            <w:tcMar>
              <w:left w:w="28" w:type="dxa"/>
              <w:right w:w="28" w:type="dxa"/>
            </w:tcMar>
            <w:vAlign w:val="center"/>
          </w:tcPr>
          <w:p>
            <w:pPr>
              <w:spacing w:line="240" w:lineRule="exact"/>
              <w:rPr>
                <w:rFonts w:ascii="仿宋_GB2312" w:hAnsi="仿宋_GB2312" w:eastAsia="仿宋_GB2312" w:cs="仿宋_GB2312"/>
                <w:color w:val="auto"/>
                <w:spacing w:val="-23"/>
                <w:sz w:val="18"/>
                <w:szCs w:val="18"/>
              </w:rPr>
            </w:pPr>
          </w:p>
          <w:p>
            <w:pPr>
              <w:spacing w:line="240" w:lineRule="exact"/>
              <w:rPr>
                <w:rFonts w:ascii="仿宋_GB2312" w:hAnsi="仿宋_GB2312" w:eastAsia="仿宋_GB2312" w:cs="仿宋_GB2312"/>
                <w:color w:val="auto"/>
                <w:spacing w:val="-23"/>
                <w:sz w:val="18"/>
                <w:szCs w:val="18"/>
              </w:rPr>
            </w:pPr>
          </w:p>
          <w:p>
            <w:pPr>
              <w:spacing w:line="240" w:lineRule="exact"/>
              <w:rPr>
                <w:rFonts w:ascii="仿宋_GB2312" w:hAnsi="仿宋_GB2312" w:eastAsia="仿宋_GB2312" w:cs="仿宋_GB2312"/>
                <w:color w:val="auto"/>
                <w:spacing w:val="-23"/>
                <w:sz w:val="18"/>
                <w:szCs w:val="18"/>
              </w:rPr>
            </w:pPr>
          </w:p>
          <w:p>
            <w:pPr>
              <w:spacing w:line="240" w:lineRule="exact"/>
              <w:rPr>
                <w:rFonts w:ascii="仿宋_GB2312" w:hAnsi="仿宋_GB2312" w:eastAsia="仿宋_GB2312" w:cs="仿宋_GB2312"/>
                <w:color w:val="auto"/>
                <w:spacing w:val="-23"/>
                <w:sz w:val="18"/>
                <w:szCs w:val="18"/>
              </w:rPr>
            </w:pPr>
            <w:r>
              <w:rPr>
                <w:rFonts w:hint="eastAsia" w:ascii="仿宋_GB2312" w:hAnsi="仿宋_GB2312" w:eastAsia="仿宋_GB2312" w:cs="仿宋_GB2312"/>
                <w:color w:val="auto"/>
                <w:spacing w:val="-23"/>
                <w:sz w:val="18"/>
                <w:szCs w:val="18"/>
              </w:rPr>
              <w:t>专技岗</w:t>
            </w:r>
          </w:p>
        </w:tc>
        <w:tc>
          <w:tcPr>
            <w:tcW w:w="964" w:type="dxa"/>
            <w:tcBorders>
              <w:top w:val="single" w:color="auto" w:sz="4" w:space="0"/>
              <w:left w:val="single" w:color="auto" w:sz="4" w:space="0"/>
              <w:right w:val="single" w:color="auto" w:sz="4" w:space="0"/>
            </w:tcBorders>
            <w:vAlign w:val="center"/>
          </w:tcPr>
          <w:p>
            <w:pPr>
              <w:spacing w:line="240" w:lineRule="exact"/>
              <w:jc w:val="center"/>
              <w:rPr>
                <w:rFonts w:ascii="仿宋_GB2312" w:hAnsi="仿宋_GB2312" w:eastAsia="仿宋_GB2312" w:cs="仿宋_GB2312"/>
                <w:color w:val="auto"/>
                <w:spacing w:val="-23"/>
                <w:sz w:val="18"/>
                <w:szCs w:val="18"/>
              </w:rPr>
            </w:pPr>
            <w:r>
              <w:rPr>
                <w:rFonts w:hint="eastAsia" w:ascii="仿宋_GB2312" w:hAnsi="华文仿宋" w:eastAsia="仿宋_GB2312"/>
                <w:color w:val="auto"/>
                <w:spacing w:val="-23"/>
                <w:sz w:val="18"/>
                <w:szCs w:val="18"/>
              </w:rPr>
              <w:t>汉藏双语教师</w:t>
            </w:r>
          </w:p>
        </w:tc>
        <w:tc>
          <w:tcPr>
            <w:tcW w:w="862" w:type="dxa"/>
            <w:tcBorders>
              <w:top w:val="single" w:color="auto" w:sz="4" w:space="0"/>
              <w:left w:val="single" w:color="auto" w:sz="4" w:space="0"/>
              <w:right w:val="single" w:color="auto" w:sz="4" w:space="0"/>
            </w:tcBorders>
            <w:vAlign w:val="center"/>
          </w:tcPr>
          <w:p>
            <w:pPr>
              <w:spacing w:line="240" w:lineRule="exact"/>
              <w:rPr>
                <w:rFonts w:hint="eastAsia" w:ascii="仿宋_GB2312" w:eastAsia="仿宋_GB2312"/>
                <w:color w:val="auto"/>
                <w:spacing w:val="-20"/>
                <w:sz w:val="18"/>
                <w:szCs w:val="18"/>
              </w:rPr>
            </w:pPr>
            <w:r>
              <w:rPr>
                <w:rFonts w:hint="default" w:ascii="仿宋_GB2312" w:eastAsia="仿宋_GB2312"/>
                <w:color w:val="auto"/>
                <w:spacing w:val="-20"/>
                <w:sz w:val="18"/>
                <w:szCs w:val="18"/>
                <w:lang w:val="en-US" w:eastAsia="zh-CN"/>
              </w:rPr>
              <w:t>19020004</w:t>
            </w:r>
          </w:p>
        </w:tc>
        <w:tc>
          <w:tcPr>
            <w:tcW w:w="525"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cs="仿宋_GB2312"/>
                <w:color w:val="auto"/>
                <w:spacing w:val="-20"/>
                <w:sz w:val="18"/>
                <w:szCs w:val="18"/>
              </w:rPr>
            </w:pPr>
            <w:r>
              <w:rPr>
                <w:rFonts w:hint="eastAsia" w:ascii="仿宋_GB2312" w:eastAsia="仿宋_GB2312" w:cs="仿宋_GB2312"/>
                <w:color w:val="auto"/>
                <w:spacing w:val="-20"/>
                <w:sz w:val="18"/>
                <w:szCs w:val="18"/>
              </w:rPr>
              <w:t>1</w:t>
            </w:r>
          </w:p>
        </w:tc>
        <w:tc>
          <w:tcPr>
            <w:tcW w:w="700" w:type="dxa"/>
            <w:vMerge w:val="continue"/>
            <w:tcBorders>
              <w:left w:val="nil"/>
              <w:right w:val="single" w:color="auto" w:sz="4" w:space="0"/>
            </w:tcBorders>
            <w:vAlign w:val="center"/>
          </w:tcPr>
          <w:p>
            <w:pPr>
              <w:spacing w:line="220" w:lineRule="exact"/>
              <w:rPr>
                <w:rFonts w:ascii="仿宋_GB2312" w:eastAsia="仿宋_GB2312"/>
                <w:color w:val="auto"/>
                <w:spacing w:val="-20"/>
                <w:sz w:val="18"/>
                <w:szCs w:val="18"/>
              </w:rPr>
            </w:pPr>
          </w:p>
        </w:tc>
        <w:tc>
          <w:tcPr>
            <w:tcW w:w="730" w:type="dxa"/>
            <w:vMerge w:val="continue"/>
            <w:tcBorders>
              <w:left w:val="nil"/>
              <w:right w:val="single" w:color="auto" w:sz="4" w:space="0"/>
            </w:tcBorders>
            <w:vAlign w:val="center"/>
          </w:tcPr>
          <w:p>
            <w:pPr>
              <w:spacing w:line="240" w:lineRule="exact"/>
              <w:jc w:val="center"/>
              <w:rPr>
                <w:rFonts w:ascii="黑体" w:hAnsi="黑体" w:eastAsia="黑体"/>
                <w:color w:val="auto"/>
                <w:spacing w:val="-20"/>
                <w:sz w:val="18"/>
                <w:szCs w:val="18"/>
              </w:rPr>
            </w:pPr>
          </w:p>
        </w:tc>
        <w:tc>
          <w:tcPr>
            <w:tcW w:w="2215" w:type="dxa"/>
            <w:vMerge w:val="restart"/>
            <w:tcBorders>
              <w:top w:val="single" w:color="auto" w:sz="4" w:space="0"/>
              <w:left w:val="nil"/>
              <w:right w:val="single" w:color="auto" w:sz="4" w:space="0"/>
            </w:tcBorders>
            <w:vAlign w:val="center"/>
          </w:tcPr>
          <w:p>
            <w:pPr>
              <w:spacing w:line="220" w:lineRule="exact"/>
              <w:rPr>
                <w:rFonts w:ascii="华文仿宋" w:hAnsi="华文仿宋" w:eastAsia="华文仿宋" w:cs="华文仿宋"/>
                <w:color w:val="auto"/>
                <w:spacing w:val="-17"/>
                <w:sz w:val="18"/>
                <w:szCs w:val="18"/>
              </w:rPr>
            </w:pPr>
            <w:r>
              <w:rPr>
                <w:rFonts w:ascii="华文仿宋" w:hAnsi="华文仿宋" w:eastAsia="华文仿宋" w:cs="华文仿宋"/>
                <w:color w:val="auto"/>
                <w:spacing w:val="-17"/>
                <w:sz w:val="18"/>
                <w:szCs w:val="18"/>
              </w:rPr>
              <w:t>202</w:t>
            </w:r>
            <w:r>
              <w:rPr>
                <w:rFonts w:hint="eastAsia" w:ascii="华文仿宋" w:hAnsi="华文仿宋" w:eastAsia="华文仿宋" w:cs="华文仿宋"/>
                <w:color w:val="auto"/>
                <w:spacing w:val="-17"/>
                <w:sz w:val="18"/>
                <w:szCs w:val="18"/>
              </w:rPr>
              <w:t>1年</w:t>
            </w:r>
            <w:r>
              <w:rPr>
                <w:rFonts w:hint="eastAsia" w:ascii="华文仿宋" w:hAnsi="华文仿宋" w:eastAsia="华文仿宋" w:cs="华文仿宋"/>
                <w:color w:val="auto"/>
                <w:spacing w:val="-17"/>
                <w:sz w:val="18"/>
                <w:szCs w:val="18"/>
                <w:lang w:val="en-US" w:eastAsia="zh-CN"/>
              </w:rPr>
              <w:t>7</w:t>
            </w:r>
            <w:r>
              <w:rPr>
                <w:rFonts w:hint="eastAsia" w:ascii="华文仿宋" w:hAnsi="华文仿宋" w:eastAsia="华文仿宋" w:cs="华文仿宋"/>
                <w:color w:val="auto"/>
                <w:spacing w:val="-17"/>
                <w:sz w:val="18"/>
                <w:szCs w:val="18"/>
              </w:rPr>
              <w:t>月</w:t>
            </w:r>
            <w:r>
              <w:rPr>
                <w:rFonts w:hint="eastAsia" w:ascii="华文仿宋" w:hAnsi="华文仿宋" w:eastAsia="华文仿宋" w:cs="华文仿宋"/>
                <w:color w:val="auto"/>
                <w:spacing w:val="-17"/>
                <w:sz w:val="18"/>
                <w:szCs w:val="18"/>
                <w:lang w:val="en-US" w:eastAsia="zh-CN"/>
              </w:rPr>
              <w:t>31</w:t>
            </w:r>
            <w:r>
              <w:rPr>
                <w:rFonts w:hint="eastAsia" w:ascii="华文仿宋" w:hAnsi="华文仿宋" w:eastAsia="华文仿宋" w:cs="华文仿宋"/>
                <w:color w:val="auto"/>
                <w:spacing w:val="-17"/>
                <w:sz w:val="18"/>
                <w:szCs w:val="18"/>
              </w:rPr>
              <w:t>日前取得国民教育本科及以上学历和学士及以上学位的应、往届毕业生</w:t>
            </w:r>
          </w:p>
        </w:tc>
        <w:tc>
          <w:tcPr>
            <w:tcW w:w="1871" w:type="dxa"/>
            <w:tcBorders>
              <w:top w:val="single" w:color="auto" w:sz="4" w:space="0"/>
              <w:left w:val="nil"/>
              <w:bottom w:val="single" w:color="auto" w:sz="4" w:space="0"/>
              <w:right w:val="single" w:color="000000" w:sz="4" w:space="0"/>
            </w:tcBorders>
            <w:vAlign w:val="center"/>
          </w:tcPr>
          <w:p>
            <w:pPr>
              <w:spacing w:line="240" w:lineRule="exact"/>
              <w:rPr>
                <w:rFonts w:hint="eastAsia" w:ascii="华文仿宋" w:hAnsi="华文仿宋" w:eastAsia="华文仿宋"/>
                <w:b/>
                <w:color w:val="auto"/>
                <w:spacing w:val="-17"/>
                <w:sz w:val="18"/>
                <w:szCs w:val="18"/>
              </w:rPr>
            </w:pPr>
            <w:r>
              <w:rPr>
                <w:rFonts w:hint="eastAsia" w:ascii="华文仿宋" w:hAnsi="华文仿宋" w:eastAsia="华文仿宋"/>
                <w:b/>
                <w:color w:val="auto"/>
                <w:spacing w:val="-17"/>
                <w:sz w:val="18"/>
                <w:szCs w:val="18"/>
              </w:rPr>
              <w:t>本科生:</w:t>
            </w:r>
            <w:r>
              <w:rPr>
                <w:rFonts w:hint="eastAsia" w:ascii="华文仿宋" w:hAnsi="华文仿宋" w:eastAsia="华文仿宋"/>
                <w:color w:val="auto"/>
                <w:spacing w:val="-17"/>
                <w:sz w:val="18"/>
                <w:szCs w:val="18"/>
              </w:rPr>
              <w:t xml:space="preserve"> 中国少数民族语言文学</w:t>
            </w:r>
          </w:p>
          <w:p>
            <w:pPr>
              <w:spacing w:line="240" w:lineRule="exact"/>
              <w:rPr>
                <w:rFonts w:ascii="华文仿宋" w:hAnsi="华文仿宋" w:eastAsia="华文仿宋"/>
                <w:color w:val="auto"/>
                <w:spacing w:val="-17"/>
                <w:sz w:val="18"/>
                <w:szCs w:val="18"/>
              </w:rPr>
            </w:pPr>
            <w:r>
              <w:rPr>
                <w:rFonts w:hint="eastAsia" w:ascii="华文仿宋" w:hAnsi="华文仿宋" w:eastAsia="华文仿宋"/>
                <w:b/>
                <w:color w:val="auto"/>
                <w:spacing w:val="-17"/>
                <w:sz w:val="18"/>
                <w:szCs w:val="18"/>
              </w:rPr>
              <w:t>硕士研究生</w:t>
            </w:r>
            <w:r>
              <w:rPr>
                <w:rFonts w:ascii="华文仿宋" w:hAnsi="华文仿宋" w:eastAsia="华文仿宋"/>
                <w:color w:val="auto"/>
                <w:spacing w:val="-17"/>
                <w:sz w:val="18"/>
                <w:szCs w:val="18"/>
              </w:rPr>
              <w:t>:</w:t>
            </w:r>
            <w:r>
              <w:rPr>
                <w:rFonts w:hint="eastAsia" w:ascii="华文仿宋" w:hAnsi="华文仿宋" w:eastAsia="华文仿宋"/>
                <w:color w:val="auto"/>
                <w:spacing w:val="-17"/>
                <w:sz w:val="18"/>
                <w:szCs w:val="18"/>
              </w:rPr>
              <w:t>中国少数民族语言文学(藏汉翻译)</w:t>
            </w:r>
          </w:p>
        </w:tc>
        <w:tc>
          <w:tcPr>
            <w:tcW w:w="1284" w:type="dxa"/>
            <w:vMerge w:val="restart"/>
            <w:tcBorders>
              <w:top w:val="single" w:color="auto" w:sz="4" w:space="0"/>
              <w:left w:val="nil"/>
              <w:right w:val="single" w:color="auto" w:sz="4" w:space="0"/>
            </w:tcBorders>
            <w:vAlign w:val="center"/>
          </w:tcPr>
          <w:p>
            <w:pPr>
              <w:spacing w:line="200" w:lineRule="exact"/>
              <w:jc w:val="left"/>
              <w:rPr>
                <w:rFonts w:hint="eastAsia" w:ascii="黑体" w:hAnsi="黑体" w:eastAsia="华文仿宋"/>
                <w:color w:val="auto"/>
                <w:spacing w:val="-17"/>
                <w:sz w:val="18"/>
                <w:szCs w:val="18"/>
                <w:lang w:val="en-US" w:eastAsia="zh-CN"/>
              </w:rPr>
            </w:pPr>
            <w:r>
              <w:rPr>
                <w:rFonts w:hint="eastAsia" w:ascii="仿宋_GB2312" w:hAnsi="仿宋_GB2312" w:eastAsia="仿宋_GB2312" w:cs="仿宋_GB2312"/>
                <w:color w:val="auto"/>
                <w:spacing w:val="-17"/>
                <w:sz w:val="18"/>
                <w:szCs w:val="18"/>
              </w:rPr>
              <w:t>具</w:t>
            </w:r>
            <w:r>
              <w:rPr>
                <w:rFonts w:hint="eastAsia" w:ascii="华文仿宋" w:hAnsi="华文仿宋" w:eastAsia="华文仿宋" w:cs="华文仿宋"/>
                <w:color w:val="auto"/>
                <w:spacing w:val="-17"/>
                <w:sz w:val="18"/>
                <w:szCs w:val="18"/>
              </w:rPr>
              <w:t>备教师资格证书或在录用后</w:t>
            </w:r>
            <w:r>
              <w:rPr>
                <w:rFonts w:hint="eastAsia" w:ascii="华文仿宋" w:hAnsi="华文仿宋" w:eastAsia="华文仿宋" w:cs="华文仿宋"/>
                <w:color w:val="auto"/>
                <w:spacing w:val="-17"/>
                <w:sz w:val="18"/>
                <w:szCs w:val="18"/>
                <w:lang w:val="en-US" w:eastAsia="zh-CN"/>
              </w:rPr>
              <w:t>1</w:t>
            </w:r>
            <w:r>
              <w:rPr>
                <w:rFonts w:hint="eastAsia" w:ascii="华文仿宋" w:hAnsi="华文仿宋" w:eastAsia="华文仿宋" w:cs="华文仿宋"/>
                <w:color w:val="auto"/>
                <w:spacing w:val="-17"/>
                <w:sz w:val="18"/>
                <w:szCs w:val="18"/>
              </w:rPr>
              <w:t>年内取得教师资格证书</w:t>
            </w:r>
            <w:r>
              <w:rPr>
                <w:rFonts w:hint="eastAsia" w:ascii="华文仿宋" w:hAnsi="华文仿宋" w:eastAsia="华文仿宋" w:cs="华文仿宋"/>
                <w:color w:val="auto"/>
                <w:spacing w:val="-17"/>
                <w:sz w:val="18"/>
                <w:szCs w:val="18"/>
                <w:lang w:eastAsia="zh-CN"/>
              </w:rPr>
              <w:t>。</w:t>
            </w:r>
          </w:p>
        </w:tc>
        <w:tc>
          <w:tcPr>
            <w:tcW w:w="738" w:type="dxa"/>
            <w:vMerge w:val="continue"/>
            <w:tcBorders>
              <w:left w:val="single" w:color="auto" w:sz="4" w:space="0"/>
              <w:right w:val="single" w:color="auto" w:sz="4" w:space="0"/>
            </w:tcBorders>
            <w:vAlign w:val="center"/>
          </w:tcPr>
          <w:p>
            <w:pPr>
              <w:spacing w:line="240" w:lineRule="exact"/>
              <w:jc w:val="center"/>
              <w:rPr>
                <w:rFonts w:ascii="华文仿宋" w:hAnsi="华文仿宋" w:eastAsia="华文仿宋" w:cs="华文仿宋"/>
                <w:color w:val="auto"/>
                <w:spacing w:val="-20"/>
                <w:sz w:val="18"/>
                <w:szCs w:val="18"/>
              </w:rPr>
            </w:pPr>
          </w:p>
        </w:tc>
        <w:tc>
          <w:tcPr>
            <w:tcW w:w="590" w:type="dxa"/>
            <w:vMerge w:val="continue"/>
            <w:tcBorders>
              <w:left w:val="single" w:color="auto" w:sz="4" w:space="0"/>
              <w:right w:val="single" w:color="auto" w:sz="4" w:space="0"/>
            </w:tcBorders>
            <w:vAlign w:val="center"/>
          </w:tcPr>
          <w:p>
            <w:pPr>
              <w:spacing w:line="240" w:lineRule="exact"/>
              <w:jc w:val="center"/>
              <w:rPr>
                <w:rFonts w:ascii="仿宋_GB2312" w:eastAsia="仿宋_GB2312"/>
                <w:color w:val="auto"/>
                <w:spacing w:val="-20"/>
                <w:sz w:val="18"/>
                <w:szCs w:val="18"/>
              </w:rPr>
            </w:pPr>
          </w:p>
        </w:tc>
        <w:tc>
          <w:tcPr>
            <w:tcW w:w="710" w:type="dxa"/>
            <w:tcBorders>
              <w:top w:val="single" w:color="auto" w:sz="4" w:space="0"/>
              <w:left w:val="single" w:color="auto" w:sz="4" w:space="0"/>
              <w:right w:val="single" w:color="auto" w:sz="4" w:space="0"/>
            </w:tcBorders>
            <w:vAlign w:val="center"/>
          </w:tcPr>
          <w:p>
            <w:pPr>
              <w:spacing w:line="180" w:lineRule="exact"/>
              <w:jc w:val="center"/>
              <w:rPr>
                <w:rFonts w:ascii="仿宋_GB2312" w:eastAsia="仿宋_GB2312"/>
                <w:color w:val="auto"/>
                <w:spacing w:val="-20"/>
                <w:sz w:val="18"/>
                <w:szCs w:val="18"/>
              </w:rPr>
            </w:pPr>
            <w:r>
              <w:rPr>
                <w:rFonts w:hint="eastAsia" w:ascii="仿宋_GB2312" w:eastAsia="仿宋_GB2312"/>
                <w:color w:val="auto"/>
                <w:spacing w:val="-20"/>
                <w:sz w:val="18"/>
                <w:szCs w:val="18"/>
                <w:lang w:eastAsia="zh-CN"/>
              </w:rPr>
              <w:t>无</w:t>
            </w:r>
          </w:p>
        </w:tc>
        <w:tc>
          <w:tcPr>
            <w:tcW w:w="909" w:type="dxa"/>
            <w:vMerge w:val="restart"/>
            <w:tcBorders>
              <w:left w:val="single" w:color="auto" w:sz="4" w:space="0"/>
              <w:right w:val="single" w:color="auto" w:sz="4" w:space="0"/>
            </w:tcBorders>
            <w:vAlign w:val="center"/>
          </w:tcPr>
          <w:p>
            <w:pPr>
              <w:spacing w:line="240" w:lineRule="exact"/>
              <w:jc w:val="center"/>
              <w:rPr>
                <w:rFonts w:ascii="华文仿宋" w:hAnsi="华文仿宋" w:eastAsia="华文仿宋" w:cs="华文仿宋"/>
                <w:color w:val="auto"/>
                <w:spacing w:val="-28"/>
                <w:sz w:val="18"/>
                <w:szCs w:val="18"/>
              </w:rPr>
            </w:pPr>
            <w:r>
              <w:rPr>
                <w:rFonts w:hint="eastAsia" w:ascii="华文仿宋" w:hAnsi="华文仿宋" w:eastAsia="华文仿宋" w:cs="华文仿宋"/>
                <w:color w:val="auto"/>
                <w:spacing w:val="-28"/>
                <w:sz w:val="18"/>
                <w:szCs w:val="18"/>
              </w:rPr>
              <w:t>工作地：</w:t>
            </w:r>
          </w:p>
          <w:p>
            <w:pPr>
              <w:spacing w:line="240" w:lineRule="exact"/>
              <w:jc w:val="center"/>
              <w:rPr>
                <w:rFonts w:ascii="华文仿宋" w:hAnsi="华文仿宋" w:eastAsia="华文仿宋" w:cs="华文仿宋"/>
                <w:color w:val="auto"/>
                <w:spacing w:val="-28"/>
                <w:sz w:val="18"/>
                <w:szCs w:val="18"/>
              </w:rPr>
            </w:pPr>
            <w:r>
              <w:rPr>
                <w:rFonts w:hint="eastAsia" w:ascii="华文仿宋" w:hAnsi="华文仿宋" w:eastAsia="华文仿宋" w:cs="华文仿宋"/>
                <w:color w:val="auto"/>
                <w:spacing w:val="-28"/>
                <w:sz w:val="18"/>
                <w:szCs w:val="18"/>
              </w:rPr>
              <w:t>甘孜州</w:t>
            </w:r>
          </w:p>
          <w:p>
            <w:pPr>
              <w:spacing w:line="240" w:lineRule="exact"/>
              <w:jc w:val="center"/>
              <w:rPr>
                <w:rFonts w:ascii="仿宋_GB2312" w:eastAsia="仿宋_GB2312"/>
                <w:color w:val="auto"/>
                <w:spacing w:val="-20"/>
                <w:sz w:val="18"/>
                <w:szCs w:val="18"/>
              </w:rPr>
            </w:pPr>
            <w:r>
              <w:rPr>
                <w:rFonts w:hint="eastAsia" w:ascii="华文仿宋" w:hAnsi="华文仿宋" w:eastAsia="华文仿宋" w:cs="华文仿宋"/>
                <w:color w:val="auto"/>
                <w:spacing w:val="-28"/>
                <w:sz w:val="18"/>
                <w:szCs w:val="18"/>
              </w:rPr>
              <w:t>康定市</w:t>
            </w:r>
          </w:p>
        </w:tc>
        <w:tc>
          <w:tcPr>
            <w:tcW w:w="766" w:type="dxa"/>
            <w:vMerge w:val="continue"/>
            <w:tcBorders>
              <w:left w:val="single" w:color="auto" w:sz="4" w:space="0"/>
              <w:right w:val="single" w:color="auto" w:sz="4" w:space="0"/>
            </w:tcBorders>
            <w:vAlign w:val="center"/>
          </w:tcPr>
          <w:p>
            <w:pPr>
              <w:spacing w:line="240" w:lineRule="exact"/>
              <w:jc w:val="center"/>
              <w:rPr>
                <w:rFonts w:hint="eastAsia" w:ascii="华文仿宋" w:hAnsi="华文仿宋" w:eastAsia="华文仿宋" w:cs="华文仿宋"/>
                <w:color w:val="auto"/>
                <w:spacing w:val="-28"/>
                <w:sz w:val="18"/>
                <w:szCs w:val="18"/>
              </w:rPr>
            </w:pPr>
          </w:p>
        </w:tc>
      </w:tr>
      <w:tr>
        <w:tblPrEx>
          <w:tblLayout w:type="fixed"/>
          <w:tblCellMar>
            <w:top w:w="0" w:type="dxa"/>
            <w:left w:w="108" w:type="dxa"/>
            <w:bottom w:w="0" w:type="dxa"/>
            <w:right w:w="108" w:type="dxa"/>
          </w:tblCellMar>
        </w:tblPrEx>
        <w:trPr>
          <w:cantSplit/>
          <w:trHeight w:val="270" w:hRule="atLeast"/>
          <w:jc w:val="center"/>
        </w:trPr>
        <w:tc>
          <w:tcPr>
            <w:tcW w:w="989" w:type="dxa"/>
            <w:vMerge w:val="continue"/>
            <w:tcBorders>
              <w:left w:val="single" w:color="auto" w:sz="4" w:space="0"/>
              <w:right w:val="single" w:color="auto" w:sz="4" w:space="0"/>
            </w:tcBorders>
            <w:vAlign w:val="center"/>
          </w:tcPr>
          <w:p>
            <w:pPr>
              <w:spacing w:line="240" w:lineRule="exact"/>
              <w:jc w:val="center"/>
              <w:rPr>
                <w:rFonts w:ascii="楷体_GB2312" w:hAnsi="楷体_GB2312" w:eastAsia="楷体_GB2312" w:cs="楷体_GB2312"/>
                <w:b/>
                <w:bCs/>
                <w:color w:val="auto"/>
                <w:spacing w:val="-20"/>
                <w:sz w:val="18"/>
                <w:szCs w:val="18"/>
              </w:rPr>
            </w:pPr>
          </w:p>
        </w:tc>
        <w:tc>
          <w:tcPr>
            <w:tcW w:w="530" w:type="dxa"/>
            <w:vMerge w:val="continue"/>
            <w:tcBorders>
              <w:left w:val="single" w:color="auto" w:sz="4" w:space="0"/>
              <w:right w:val="single" w:color="auto" w:sz="4" w:space="0"/>
            </w:tcBorders>
            <w:tcMar>
              <w:left w:w="28" w:type="dxa"/>
              <w:right w:w="28" w:type="dxa"/>
            </w:tcMar>
            <w:vAlign w:val="center"/>
          </w:tcPr>
          <w:p>
            <w:pPr>
              <w:spacing w:line="240" w:lineRule="exact"/>
              <w:rPr>
                <w:rFonts w:ascii="仿宋_GB2312" w:hAnsi="仿宋_GB2312" w:eastAsia="仿宋_GB2312" w:cs="仿宋_GB2312"/>
                <w:color w:val="auto"/>
                <w:spacing w:val="-23"/>
                <w:sz w:val="18"/>
                <w:szCs w:val="18"/>
              </w:rPr>
            </w:pPr>
          </w:p>
        </w:tc>
        <w:tc>
          <w:tcPr>
            <w:tcW w:w="96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华文仿宋" w:eastAsia="仿宋_GB2312"/>
                <w:color w:val="auto"/>
                <w:spacing w:val="-23"/>
                <w:sz w:val="18"/>
                <w:szCs w:val="18"/>
              </w:rPr>
            </w:pPr>
            <w:r>
              <w:rPr>
                <w:rFonts w:hint="eastAsia" w:ascii="仿宋_GB2312" w:hAnsi="华文仿宋" w:eastAsia="仿宋_GB2312" w:cs="宋体"/>
                <w:color w:val="auto"/>
                <w:spacing w:val="-23"/>
                <w:sz w:val="18"/>
                <w:szCs w:val="18"/>
              </w:rPr>
              <w:t>教育心理学教师</w:t>
            </w:r>
          </w:p>
        </w:tc>
        <w:tc>
          <w:tcPr>
            <w:tcW w:w="862"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eastAsia="仿宋_GB2312"/>
                <w:color w:val="auto"/>
                <w:spacing w:val="-20"/>
                <w:sz w:val="18"/>
                <w:szCs w:val="18"/>
              </w:rPr>
            </w:pPr>
            <w:r>
              <w:rPr>
                <w:rFonts w:hint="default" w:ascii="仿宋_GB2312" w:eastAsia="仿宋_GB2312"/>
                <w:color w:val="auto"/>
                <w:spacing w:val="-20"/>
                <w:sz w:val="18"/>
                <w:szCs w:val="18"/>
                <w:lang w:val="en-US" w:eastAsia="zh-CN"/>
              </w:rPr>
              <w:t>1902000</w:t>
            </w:r>
            <w:r>
              <w:rPr>
                <w:rFonts w:hint="eastAsia" w:ascii="仿宋_GB2312" w:eastAsia="仿宋_GB2312"/>
                <w:color w:val="auto"/>
                <w:spacing w:val="-20"/>
                <w:sz w:val="18"/>
                <w:szCs w:val="18"/>
                <w:lang w:val="en-US" w:eastAsia="zh-CN"/>
              </w:rPr>
              <w:t>5</w:t>
            </w:r>
          </w:p>
        </w:tc>
        <w:tc>
          <w:tcPr>
            <w:tcW w:w="5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s="仿宋_GB2312"/>
                <w:color w:val="auto"/>
                <w:spacing w:val="-20"/>
                <w:sz w:val="18"/>
                <w:szCs w:val="18"/>
              </w:rPr>
            </w:pPr>
            <w:r>
              <w:rPr>
                <w:rFonts w:hint="eastAsia" w:ascii="仿宋_GB2312" w:eastAsia="仿宋_GB2312" w:cs="仿宋_GB2312"/>
                <w:color w:val="auto"/>
                <w:spacing w:val="-20"/>
                <w:sz w:val="18"/>
                <w:szCs w:val="18"/>
              </w:rPr>
              <w:t>1</w:t>
            </w:r>
          </w:p>
        </w:tc>
        <w:tc>
          <w:tcPr>
            <w:tcW w:w="700" w:type="dxa"/>
            <w:vMerge w:val="continue"/>
            <w:tcBorders>
              <w:left w:val="nil"/>
              <w:right w:val="single" w:color="auto" w:sz="4" w:space="0"/>
            </w:tcBorders>
            <w:vAlign w:val="center"/>
          </w:tcPr>
          <w:p>
            <w:pPr>
              <w:spacing w:line="220" w:lineRule="exact"/>
              <w:rPr>
                <w:rFonts w:ascii="仿宋_GB2312" w:eastAsia="仿宋_GB2312"/>
                <w:color w:val="auto"/>
                <w:spacing w:val="-20"/>
                <w:sz w:val="18"/>
                <w:szCs w:val="18"/>
              </w:rPr>
            </w:pPr>
          </w:p>
        </w:tc>
        <w:tc>
          <w:tcPr>
            <w:tcW w:w="730" w:type="dxa"/>
            <w:vMerge w:val="continue"/>
            <w:tcBorders>
              <w:left w:val="nil"/>
              <w:right w:val="single" w:color="auto" w:sz="4" w:space="0"/>
            </w:tcBorders>
            <w:vAlign w:val="center"/>
          </w:tcPr>
          <w:p>
            <w:pPr>
              <w:spacing w:line="240" w:lineRule="exact"/>
              <w:jc w:val="center"/>
              <w:rPr>
                <w:rFonts w:ascii="黑体" w:hAnsi="黑体" w:eastAsia="黑体"/>
                <w:color w:val="auto"/>
                <w:spacing w:val="-20"/>
                <w:sz w:val="18"/>
                <w:szCs w:val="18"/>
              </w:rPr>
            </w:pPr>
          </w:p>
        </w:tc>
        <w:tc>
          <w:tcPr>
            <w:tcW w:w="2215" w:type="dxa"/>
            <w:vMerge w:val="continue"/>
            <w:tcBorders>
              <w:left w:val="nil"/>
              <w:bottom w:val="single" w:color="auto" w:sz="4" w:space="0"/>
              <w:right w:val="single" w:color="auto" w:sz="4" w:space="0"/>
            </w:tcBorders>
            <w:vAlign w:val="center"/>
          </w:tcPr>
          <w:p>
            <w:pPr>
              <w:spacing w:line="220" w:lineRule="exact"/>
              <w:rPr>
                <w:rFonts w:ascii="华文仿宋" w:hAnsi="华文仿宋" w:eastAsia="华文仿宋" w:cs="华文仿宋"/>
                <w:color w:val="auto"/>
                <w:spacing w:val="-17"/>
                <w:sz w:val="18"/>
                <w:szCs w:val="18"/>
              </w:rPr>
            </w:pPr>
          </w:p>
        </w:tc>
        <w:tc>
          <w:tcPr>
            <w:tcW w:w="1871" w:type="dxa"/>
            <w:tcBorders>
              <w:top w:val="single" w:color="auto" w:sz="4" w:space="0"/>
              <w:left w:val="nil"/>
              <w:bottom w:val="single" w:color="auto" w:sz="4" w:space="0"/>
              <w:right w:val="single" w:color="000000" w:sz="4" w:space="0"/>
            </w:tcBorders>
            <w:vAlign w:val="center"/>
          </w:tcPr>
          <w:p>
            <w:pPr>
              <w:spacing w:line="220" w:lineRule="exact"/>
              <w:jc w:val="center"/>
              <w:rPr>
                <w:rFonts w:ascii="华文仿宋" w:hAnsi="华文仿宋" w:eastAsia="华文仿宋" w:cs="华文仿宋"/>
                <w:color w:val="auto"/>
                <w:spacing w:val="-17"/>
                <w:sz w:val="18"/>
                <w:szCs w:val="18"/>
              </w:rPr>
            </w:pPr>
            <w:r>
              <w:rPr>
                <w:rFonts w:hint="eastAsia" w:ascii="华文仿宋" w:hAnsi="华文仿宋" w:eastAsia="华文仿宋" w:cs="华文仿宋"/>
                <w:color w:val="auto"/>
                <w:spacing w:val="-17"/>
                <w:sz w:val="18"/>
                <w:szCs w:val="18"/>
              </w:rPr>
              <w:t>教育学、心理学</w:t>
            </w:r>
          </w:p>
        </w:tc>
        <w:tc>
          <w:tcPr>
            <w:tcW w:w="1284" w:type="dxa"/>
            <w:vMerge w:val="continue"/>
            <w:tcBorders>
              <w:left w:val="nil"/>
              <w:right w:val="single" w:color="auto" w:sz="4" w:space="0"/>
            </w:tcBorders>
            <w:vAlign w:val="center"/>
          </w:tcPr>
          <w:p>
            <w:pPr>
              <w:spacing w:line="200" w:lineRule="exact"/>
              <w:rPr>
                <w:rFonts w:ascii="黑体" w:hAnsi="黑体" w:eastAsia="黑体"/>
                <w:color w:val="auto"/>
                <w:spacing w:val="-17"/>
                <w:sz w:val="18"/>
                <w:szCs w:val="18"/>
              </w:rPr>
            </w:pPr>
          </w:p>
        </w:tc>
        <w:tc>
          <w:tcPr>
            <w:tcW w:w="738" w:type="dxa"/>
            <w:vMerge w:val="continue"/>
            <w:tcBorders>
              <w:left w:val="single" w:color="auto" w:sz="4" w:space="0"/>
              <w:right w:val="single" w:color="auto" w:sz="4" w:space="0"/>
            </w:tcBorders>
            <w:vAlign w:val="center"/>
          </w:tcPr>
          <w:p>
            <w:pPr>
              <w:spacing w:line="240" w:lineRule="exact"/>
              <w:jc w:val="center"/>
              <w:rPr>
                <w:rFonts w:ascii="华文仿宋" w:hAnsi="华文仿宋" w:eastAsia="华文仿宋" w:cs="华文仿宋"/>
                <w:color w:val="auto"/>
                <w:spacing w:val="-20"/>
                <w:sz w:val="18"/>
                <w:szCs w:val="18"/>
              </w:rPr>
            </w:pPr>
          </w:p>
        </w:tc>
        <w:tc>
          <w:tcPr>
            <w:tcW w:w="590" w:type="dxa"/>
            <w:vMerge w:val="continue"/>
            <w:tcBorders>
              <w:left w:val="single" w:color="auto" w:sz="4" w:space="0"/>
              <w:right w:val="single" w:color="auto" w:sz="4" w:space="0"/>
            </w:tcBorders>
            <w:vAlign w:val="center"/>
          </w:tcPr>
          <w:p>
            <w:pPr>
              <w:spacing w:line="240" w:lineRule="exact"/>
              <w:jc w:val="center"/>
              <w:rPr>
                <w:rFonts w:ascii="仿宋_GB2312" w:eastAsia="仿宋_GB2312"/>
                <w:color w:val="auto"/>
                <w:spacing w:val="-20"/>
                <w:sz w:val="18"/>
                <w:szCs w:val="18"/>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180" w:lineRule="exact"/>
              <w:jc w:val="center"/>
              <w:rPr>
                <w:rFonts w:ascii="仿宋_GB2312" w:eastAsia="仿宋_GB2312"/>
                <w:color w:val="auto"/>
                <w:spacing w:val="-20"/>
                <w:sz w:val="18"/>
                <w:szCs w:val="18"/>
              </w:rPr>
            </w:pPr>
            <w:r>
              <w:rPr>
                <w:rFonts w:hint="eastAsia" w:ascii="仿宋_GB2312" w:eastAsia="仿宋_GB2312"/>
                <w:color w:val="auto"/>
                <w:spacing w:val="-20"/>
                <w:sz w:val="18"/>
                <w:szCs w:val="18"/>
                <w:lang w:eastAsia="zh-CN"/>
              </w:rPr>
              <w:t>无</w:t>
            </w:r>
          </w:p>
        </w:tc>
        <w:tc>
          <w:tcPr>
            <w:tcW w:w="909" w:type="dxa"/>
            <w:vMerge w:val="continue"/>
            <w:tcBorders>
              <w:left w:val="single" w:color="auto" w:sz="4" w:space="0"/>
              <w:right w:val="single" w:color="auto" w:sz="4" w:space="0"/>
            </w:tcBorders>
            <w:vAlign w:val="center"/>
          </w:tcPr>
          <w:p>
            <w:pPr>
              <w:spacing w:line="240" w:lineRule="exact"/>
              <w:jc w:val="center"/>
              <w:rPr>
                <w:rFonts w:ascii="仿宋_GB2312" w:eastAsia="仿宋_GB2312"/>
                <w:color w:val="auto"/>
                <w:spacing w:val="-20"/>
                <w:sz w:val="18"/>
                <w:szCs w:val="18"/>
              </w:rPr>
            </w:pP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color w:val="auto"/>
                <w:spacing w:val="-20"/>
                <w:sz w:val="18"/>
                <w:szCs w:val="18"/>
              </w:rPr>
            </w:pPr>
          </w:p>
        </w:tc>
      </w:tr>
      <w:tr>
        <w:tblPrEx>
          <w:tblLayout w:type="fixed"/>
          <w:tblCellMar>
            <w:top w:w="0" w:type="dxa"/>
            <w:left w:w="108" w:type="dxa"/>
            <w:bottom w:w="0" w:type="dxa"/>
            <w:right w:w="108" w:type="dxa"/>
          </w:tblCellMar>
        </w:tblPrEx>
        <w:trPr>
          <w:cantSplit/>
          <w:trHeight w:val="567" w:hRule="atLeast"/>
          <w:jc w:val="center"/>
        </w:trPr>
        <w:tc>
          <w:tcPr>
            <w:tcW w:w="989" w:type="dxa"/>
            <w:vMerge w:val="continue"/>
            <w:tcBorders>
              <w:left w:val="single" w:color="auto" w:sz="4" w:space="0"/>
              <w:right w:val="single" w:color="auto" w:sz="4" w:space="0"/>
            </w:tcBorders>
            <w:vAlign w:val="center"/>
          </w:tcPr>
          <w:p>
            <w:pPr>
              <w:spacing w:line="240" w:lineRule="exact"/>
              <w:jc w:val="center"/>
              <w:rPr>
                <w:rFonts w:ascii="楷体_GB2312" w:hAnsi="楷体_GB2312" w:eastAsia="楷体_GB2312" w:cs="楷体_GB2312"/>
                <w:b/>
                <w:bCs/>
                <w:color w:val="auto"/>
                <w:spacing w:val="-20"/>
                <w:sz w:val="18"/>
                <w:szCs w:val="18"/>
              </w:rPr>
            </w:pPr>
          </w:p>
        </w:tc>
        <w:tc>
          <w:tcPr>
            <w:tcW w:w="530" w:type="dxa"/>
            <w:vMerge w:val="continue"/>
            <w:tcBorders>
              <w:left w:val="single" w:color="auto" w:sz="4" w:space="0"/>
              <w:right w:val="single" w:color="auto" w:sz="4" w:space="0"/>
            </w:tcBorders>
            <w:tcMar>
              <w:left w:w="28" w:type="dxa"/>
              <w:right w:w="28" w:type="dxa"/>
            </w:tcMar>
            <w:vAlign w:val="center"/>
          </w:tcPr>
          <w:p>
            <w:pPr>
              <w:spacing w:line="240" w:lineRule="exact"/>
              <w:rPr>
                <w:rFonts w:ascii="仿宋_GB2312" w:hAnsi="仿宋_GB2312" w:eastAsia="仿宋_GB2312" w:cs="仿宋_GB2312"/>
                <w:color w:val="auto"/>
                <w:spacing w:val="-23"/>
                <w:sz w:val="18"/>
                <w:szCs w:val="18"/>
              </w:rPr>
            </w:pPr>
          </w:p>
        </w:tc>
        <w:tc>
          <w:tcPr>
            <w:tcW w:w="964" w:type="dxa"/>
            <w:tcBorders>
              <w:top w:val="single" w:color="auto" w:sz="4" w:space="0"/>
              <w:left w:val="single" w:color="auto" w:sz="4" w:space="0"/>
              <w:right w:val="single" w:color="auto" w:sz="4" w:space="0"/>
            </w:tcBorders>
            <w:vAlign w:val="center"/>
          </w:tcPr>
          <w:p>
            <w:pPr>
              <w:jc w:val="center"/>
              <w:rPr>
                <w:rFonts w:ascii="仿宋_GB2312" w:hAnsi="华文仿宋" w:eastAsia="仿宋_GB2312"/>
                <w:color w:val="auto"/>
                <w:spacing w:val="-23"/>
                <w:sz w:val="18"/>
                <w:szCs w:val="18"/>
              </w:rPr>
            </w:pPr>
            <w:r>
              <w:rPr>
                <w:rFonts w:hint="eastAsia" w:ascii="仿宋_GB2312" w:hAnsi="华文仿宋" w:eastAsia="仿宋_GB2312" w:cs="宋体"/>
                <w:color w:val="auto"/>
                <w:spacing w:val="-23"/>
                <w:sz w:val="18"/>
                <w:szCs w:val="18"/>
              </w:rPr>
              <w:t>美术</w:t>
            </w:r>
            <w:r>
              <w:rPr>
                <w:rFonts w:hint="eastAsia" w:ascii="仿宋_GB2312" w:hAnsi="华文仿宋" w:eastAsia="仿宋_GB2312" w:cs="宋体"/>
                <w:color w:val="auto"/>
                <w:spacing w:val="-23"/>
                <w:sz w:val="18"/>
                <w:szCs w:val="18"/>
                <w:lang w:val="en-US" w:eastAsia="zh-CN"/>
              </w:rPr>
              <w:t>课</w:t>
            </w:r>
            <w:r>
              <w:rPr>
                <w:rFonts w:hint="eastAsia" w:ascii="仿宋_GB2312" w:hAnsi="华文仿宋" w:eastAsia="仿宋_GB2312" w:cs="宋体"/>
                <w:color w:val="auto"/>
                <w:spacing w:val="-23"/>
                <w:sz w:val="18"/>
                <w:szCs w:val="18"/>
              </w:rPr>
              <w:t>教师</w:t>
            </w:r>
          </w:p>
        </w:tc>
        <w:tc>
          <w:tcPr>
            <w:tcW w:w="862" w:type="dxa"/>
            <w:tcBorders>
              <w:top w:val="single" w:color="auto" w:sz="4" w:space="0"/>
              <w:left w:val="single" w:color="auto" w:sz="4" w:space="0"/>
              <w:right w:val="single" w:color="auto" w:sz="4" w:space="0"/>
            </w:tcBorders>
            <w:vAlign w:val="center"/>
          </w:tcPr>
          <w:p>
            <w:pPr>
              <w:spacing w:line="240" w:lineRule="exact"/>
              <w:rPr>
                <w:rFonts w:hint="eastAsia" w:ascii="仿宋_GB2312" w:eastAsia="仿宋_GB2312"/>
                <w:color w:val="auto"/>
                <w:spacing w:val="-20"/>
                <w:sz w:val="18"/>
                <w:szCs w:val="18"/>
              </w:rPr>
            </w:pPr>
            <w:r>
              <w:rPr>
                <w:rFonts w:hint="default" w:ascii="仿宋_GB2312" w:eastAsia="仿宋_GB2312"/>
                <w:color w:val="auto"/>
                <w:spacing w:val="-20"/>
                <w:sz w:val="18"/>
                <w:szCs w:val="18"/>
                <w:lang w:val="en-US" w:eastAsia="zh-CN"/>
              </w:rPr>
              <w:t>1902000</w:t>
            </w:r>
            <w:r>
              <w:rPr>
                <w:rFonts w:hint="eastAsia" w:ascii="仿宋_GB2312" w:eastAsia="仿宋_GB2312"/>
                <w:color w:val="auto"/>
                <w:spacing w:val="-20"/>
                <w:sz w:val="18"/>
                <w:szCs w:val="18"/>
                <w:lang w:val="en-US" w:eastAsia="zh-CN"/>
              </w:rPr>
              <w:t>6</w:t>
            </w:r>
          </w:p>
        </w:tc>
        <w:tc>
          <w:tcPr>
            <w:tcW w:w="525"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cs="仿宋_GB2312"/>
                <w:color w:val="auto"/>
                <w:spacing w:val="-20"/>
                <w:sz w:val="18"/>
                <w:szCs w:val="18"/>
              </w:rPr>
            </w:pPr>
            <w:r>
              <w:rPr>
                <w:rFonts w:hint="eastAsia" w:ascii="仿宋_GB2312" w:eastAsia="仿宋_GB2312" w:cs="仿宋_GB2312"/>
                <w:color w:val="auto"/>
                <w:spacing w:val="-20"/>
                <w:sz w:val="18"/>
                <w:szCs w:val="18"/>
              </w:rPr>
              <w:t>1</w:t>
            </w:r>
          </w:p>
        </w:tc>
        <w:tc>
          <w:tcPr>
            <w:tcW w:w="700" w:type="dxa"/>
            <w:vMerge w:val="continue"/>
            <w:tcBorders>
              <w:left w:val="nil"/>
              <w:right w:val="single" w:color="auto" w:sz="4" w:space="0"/>
            </w:tcBorders>
            <w:vAlign w:val="center"/>
          </w:tcPr>
          <w:p>
            <w:pPr>
              <w:spacing w:line="220" w:lineRule="exact"/>
              <w:rPr>
                <w:rFonts w:ascii="仿宋_GB2312" w:eastAsia="仿宋_GB2312"/>
                <w:color w:val="auto"/>
                <w:spacing w:val="-20"/>
                <w:sz w:val="18"/>
                <w:szCs w:val="18"/>
              </w:rPr>
            </w:pPr>
          </w:p>
        </w:tc>
        <w:tc>
          <w:tcPr>
            <w:tcW w:w="730" w:type="dxa"/>
            <w:vMerge w:val="continue"/>
            <w:tcBorders>
              <w:left w:val="nil"/>
              <w:right w:val="single" w:color="auto" w:sz="4" w:space="0"/>
            </w:tcBorders>
            <w:vAlign w:val="center"/>
          </w:tcPr>
          <w:p>
            <w:pPr>
              <w:spacing w:line="240" w:lineRule="exact"/>
              <w:jc w:val="center"/>
              <w:rPr>
                <w:rFonts w:ascii="黑体" w:hAnsi="黑体" w:eastAsia="黑体"/>
                <w:color w:val="auto"/>
                <w:spacing w:val="-20"/>
                <w:sz w:val="18"/>
                <w:szCs w:val="18"/>
              </w:rPr>
            </w:pPr>
          </w:p>
        </w:tc>
        <w:tc>
          <w:tcPr>
            <w:tcW w:w="2215" w:type="dxa"/>
            <w:tcBorders>
              <w:top w:val="single" w:color="auto" w:sz="4" w:space="0"/>
              <w:left w:val="nil"/>
              <w:bottom w:val="single" w:color="auto" w:sz="4" w:space="0"/>
              <w:right w:val="single" w:color="auto" w:sz="4" w:space="0"/>
            </w:tcBorders>
            <w:vAlign w:val="center"/>
          </w:tcPr>
          <w:p>
            <w:pPr>
              <w:spacing w:line="220" w:lineRule="exact"/>
              <w:rPr>
                <w:rFonts w:ascii="华文仿宋" w:hAnsi="华文仿宋" w:eastAsia="华文仿宋" w:cs="华文仿宋"/>
                <w:color w:val="auto"/>
                <w:spacing w:val="-17"/>
                <w:sz w:val="18"/>
                <w:szCs w:val="18"/>
              </w:rPr>
            </w:pPr>
            <w:r>
              <w:rPr>
                <w:rFonts w:ascii="华文仿宋" w:hAnsi="华文仿宋" w:eastAsia="华文仿宋" w:cs="华文仿宋"/>
                <w:color w:val="auto"/>
                <w:spacing w:val="-17"/>
                <w:sz w:val="18"/>
                <w:szCs w:val="18"/>
              </w:rPr>
              <w:t>202</w:t>
            </w:r>
            <w:r>
              <w:rPr>
                <w:rFonts w:hint="eastAsia" w:ascii="华文仿宋" w:hAnsi="华文仿宋" w:eastAsia="华文仿宋" w:cs="华文仿宋"/>
                <w:color w:val="auto"/>
                <w:spacing w:val="-17"/>
                <w:sz w:val="18"/>
                <w:szCs w:val="18"/>
              </w:rPr>
              <w:t>1年</w:t>
            </w:r>
            <w:r>
              <w:rPr>
                <w:rFonts w:hint="eastAsia" w:ascii="华文仿宋" w:hAnsi="华文仿宋" w:eastAsia="华文仿宋" w:cs="华文仿宋"/>
                <w:color w:val="auto"/>
                <w:spacing w:val="-17"/>
                <w:sz w:val="18"/>
                <w:szCs w:val="18"/>
                <w:lang w:val="en-US" w:eastAsia="zh-CN"/>
              </w:rPr>
              <w:t>7</w:t>
            </w:r>
            <w:r>
              <w:rPr>
                <w:rFonts w:hint="eastAsia" w:ascii="华文仿宋" w:hAnsi="华文仿宋" w:eastAsia="华文仿宋" w:cs="华文仿宋"/>
                <w:color w:val="auto"/>
                <w:spacing w:val="-17"/>
                <w:sz w:val="18"/>
                <w:szCs w:val="18"/>
              </w:rPr>
              <w:t>月</w:t>
            </w:r>
            <w:r>
              <w:rPr>
                <w:rFonts w:hint="eastAsia" w:ascii="华文仿宋" w:hAnsi="华文仿宋" w:eastAsia="华文仿宋" w:cs="华文仿宋"/>
                <w:color w:val="auto"/>
                <w:spacing w:val="-17"/>
                <w:sz w:val="18"/>
                <w:szCs w:val="18"/>
                <w:lang w:val="en-US" w:eastAsia="zh-CN"/>
              </w:rPr>
              <w:t>31</w:t>
            </w:r>
            <w:r>
              <w:rPr>
                <w:rFonts w:hint="eastAsia" w:ascii="华文仿宋" w:hAnsi="华文仿宋" w:eastAsia="华文仿宋" w:cs="华文仿宋"/>
                <w:color w:val="auto"/>
                <w:spacing w:val="-17"/>
                <w:sz w:val="18"/>
                <w:szCs w:val="18"/>
              </w:rPr>
              <w:t>日前取得国民教育专科及以上学历的应、往届毕业生</w:t>
            </w:r>
          </w:p>
        </w:tc>
        <w:tc>
          <w:tcPr>
            <w:tcW w:w="1871" w:type="dxa"/>
            <w:tcBorders>
              <w:top w:val="single" w:color="auto" w:sz="4" w:space="0"/>
              <w:left w:val="nil"/>
              <w:right w:val="single" w:color="000000" w:sz="4" w:space="0"/>
            </w:tcBorders>
            <w:vAlign w:val="center"/>
          </w:tcPr>
          <w:p>
            <w:pPr>
              <w:spacing w:line="220" w:lineRule="exact"/>
              <w:jc w:val="center"/>
              <w:rPr>
                <w:rFonts w:hint="eastAsia" w:ascii="楷体_GB2312" w:hAnsi="楷体_GB2312" w:eastAsia="华文仿宋" w:cs="楷体_GB2312"/>
                <w:b/>
                <w:bCs/>
                <w:color w:val="auto"/>
                <w:spacing w:val="-20"/>
                <w:sz w:val="18"/>
                <w:szCs w:val="18"/>
                <w:lang w:eastAsia="zh-CN"/>
              </w:rPr>
            </w:pPr>
            <w:r>
              <w:rPr>
                <w:rFonts w:hint="eastAsia" w:ascii="华文仿宋" w:hAnsi="华文仿宋" w:eastAsia="华文仿宋"/>
                <w:color w:val="auto"/>
                <w:spacing w:val="-17"/>
                <w:sz w:val="18"/>
                <w:szCs w:val="18"/>
              </w:rPr>
              <w:t>藏语言文学</w:t>
            </w:r>
            <w:r>
              <w:rPr>
                <w:rFonts w:hint="eastAsia" w:ascii="华文仿宋" w:hAnsi="华文仿宋" w:eastAsia="华文仿宋"/>
                <w:color w:val="auto"/>
                <w:spacing w:val="-17"/>
                <w:sz w:val="18"/>
                <w:szCs w:val="18"/>
                <w:lang w:eastAsia="zh-CN"/>
              </w:rPr>
              <w:t>、美术学</w:t>
            </w:r>
          </w:p>
        </w:tc>
        <w:tc>
          <w:tcPr>
            <w:tcW w:w="1284" w:type="dxa"/>
            <w:vMerge w:val="continue"/>
            <w:tcBorders>
              <w:left w:val="nil"/>
              <w:right w:val="single" w:color="auto" w:sz="4" w:space="0"/>
            </w:tcBorders>
            <w:vAlign w:val="center"/>
          </w:tcPr>
          <w:p>
            <w:pPr>
              <w:spacing w:line="200" w:lineRule="exact"/>
              <w:rPr>
                <w:rFonts w:ascii="黑体" w:hAnsi="黑体" w:eastAsia="黑体"/>
                <w:color w:val="auto"/>
                <w:spacing w:val="-17"/>
                <w:sz w:val="18"/>
                <w:szCs w:val="18"/>
              </w:rPr>
            </w:pPr>
          </w:p>
        </w:tc>
        <w:tc>
          <w:tcPr>
            <w:tcW w:w="738" w:type="dxa"/>
            <w:vMerge w:val="continue"/>
            <w:tcBorders>
              <w:left w:val="single" w:color="auto" w:sz="4" w:space="0"/>
              <w:right w:val="single" w:color="auto" w:sz="4" w:space="0"/>
            </w:tcBorders>
            <w:vAlign w:val="center"/>
          </w:tcPr>
          <w:p>
            <w:pPr>
              <w:spacing w:line="240" w:lineRule="exact"/>
              <w:jc w:val="center"/>
              <w:rPr>
                <w:rFonts w:ascii="华文仿宋" w:hAnsi="华文仿宋" w:eastAsia="华文仿宋" w:cs="华文仿宋"/>
                <w:color w:val="auto"/>
                <w:spacing w:val="-20"/>
                <w:sz w:val="18"/>
                <w:szCs w:val="18"/>
              </w:rPr>
            </w:pPr>
          </w:p>
        </w:tc>
        <w:tc>
          <w:tcPr>
            <w:tcW w:w="590" w:type="dxa"/>
            <w:vMerge w:val="continue"/>
            <w:tcBorders>
              <w:left w:val="single" w:color="auto" w:sz="4" w:space="0"/>
              <w:right w:val="single" w:color="auto" w:sz="4" w:space="0"/>
            </w:tcBorders>
            <w:vAlign w:val="center"/>
          </w:tcPr>
          <w:p>
            <w:pPr>
              <w:spacing w:line="240" w:lineRule="exact"/>
              <w:jc w:val="center"/>
              <w:rPr>
                <w:rFonts w:ascii="仿宋_GB2312" w:eastAsia="仿宋_GB2312"/>
                <w:color w:val="auto"/>
                <w:spacing w:val="-20"/>
                <w:sz w:val="18"/>
                <w:szCs w:val="18"/>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eastAsia="仿宋_GB2312"/>
                <w:color w:val="auto"/>
                <w:spacing w:val="-20"/>
                <w:sz w:val="18"/>
                <w:szCs w:val="18"/>
              </w:rPr>
            </w:pPr>
            <w:r>
              <w:rPr>
                <w:rFonts w:hint="eastAsia" w:ascii="仿宋_GB2312" w:eastAsia="仿宋_GB2312"/>
                <w:color w:val="auto"/>
                <w:spacing w:val="-20"/>
                <w:sz w:val="18"/>
                <w:szCs w:val="18"/>
              </w:rPr>
              <w:t>《</w:t>
            </w:r>
            <w:r>
              <w:rPr>
                <w:rFonts w:hint="eastAsia" w:ascii="华文仿宋" w:hAnsi="华文仿宋" w:eastAsia="华文仿宋" w:cs="华文仿宋"/>
                <w:color w:val="auto"/>
                <w:spacing w:val="-17"/>
                <w:sz w:val="18"/>
                <w:szCs w:val="18"/>
              </w:rPr>
              <w:t>唐卡艺术综合知识》</w:t>
            </w:r>
          </w:p>
        </w:tc>
        <w:tc>
          <w:tcPr>
            <w:tcW w:w="909" w:type="dxa"/>
            <w:vMerge w:val="continue"/>
            <w:tcBorders>
              <w:left w:val="single" w:color="auto" w:sz="4" w:space="0"/>
              <w:right w:val="single" w:color="auto" w:sz="4" w:space="0"/>
            </w:tcBorders>
            <w:vAlign w:val="center"/>
          </w:tcPr>
          <w:p>
            <w:pPr>
              <w:spacing w:line="240" w:lineRule="exact"/>
              <w:jc w:val="center"/>
              <w:rPr>
                <w:rFonts w:ascii="仿宋_GB2312" w:eastAsia="仿宋_GB2312"/>
                <w:color w:val="auto"/>
                <w:spacing w:val="-20"/>
                <w:sz w:val="18"/>
                <w:szCs w:val="18"/>
              </w:rPr>
            </w:pP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color w:val="auto"/>
                <w:spacing w:val="-20"/>
                <w:sz w:val="18"/>
                <w:szCs w:val="18"/>
              </w:rPr>
            </w:pPr>
          </w:p>
        </w:tc>
      </w:tr>
      <w:tr>
        <w:tblPrEx>
          <w:tblLayout w:type="fixed"/>
          <w:tblCellMar>
            <w:top w:w="0" w:type="dxa"/>
            <w:left w:w="108" w:type="dxa"/>
            <w:bottom w:w="0" w:type="dxa"/>
            <w:right w:w="108" w:type="dxa"/>
          </w:tblCellMar>
        </w:tblPrEx>
        <w:trPr>
          <w:cantSplit/>
          <w:trHeight w:val="412" w:hRule="atLeast"/>
          <w:jc w:val="center"/>
        </w:trPr>
        <w:tc>
          <w:tcPr>
            <w:tcW w:w="98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楷体_GB2312" w:hAnsi="楷体_GB2312" w:eastAsia="楷体_GB2312"/>
                <w:b/>
                <w:bCs/>
                <w:color w:val="auto"/>
                <w:spacing w:val="-20"/>
                <w:sz w:val="18"/>
                <w:szCs w:val="18"/>
              </w:rPr>
            </w:pPr>
            <w:r>
              <w:rPr>
                <w:rFonts w:hint="eastAsia" w:ascii="楷体_GB2312" w:hAnsi="楷体_GB2312" w:eastAsia="楷体_GB2312" w:cs="楷体_GB2312"/>
                <w:b/>
                <w:bCs/>
                <w:color w:val="auto"/>
                <w:spacing w:val="-20"/>
                <w:sz w:val="18"/>
                <w:szCs w:val="18"/>
              </w:rPr>
              <w:t>四川省彝文学校（</w:t>
            </w:r>
            <w:r>
              <w:rPr>
                <w:rFonts w:ascii="楷体_GB2312" w:hAnsi="楷体_GB2312" w:eastAsia="楷体_GB2312" w:cs="楷体_GB2312"/>
                <w:b/>
                <w:bCs/>
                <w:color w:val="auto"/>
                <w:spacing w:val="-20"/>
                <w:sz w:val="18"/>
                <w:szCs w:val="18"/>
              </w:rPr>
              <w:t>3</w:t>
            </w:r>
            <w:r>
              <w:rPr>
                <w:rFonts w:hint="eastAsia" w:ascii="楷体_GB2312" w:hAnsi="楷体_GB2312" w:eastAsia="楷体_GB2312" w:cs="楷体_GB2312"/>
                <w:b/>
                <w:bCs/>
                <w:color w:val="auto"/>
                <w:spacing w:val="-20"/>
                <w:sz w:val="18"/>
                <w:szCs w:val="18"/>
              </w:rPr>
              <w:t>名）</w:t>
            </w:r>
          </w:p>
        </w:tc>
        <w:tc>
          <w:tcPr>
            <w:tcW w:w="530" w:type="dxa"/>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exact"/>
              <w:jc w:val="center"/>
              <w:rPr>
                <w:rFonts w:ascii="华文仿宋" w:hAnsi="华文仿宋" w:eastAsia="华文仿宋"/>
                <w:color w:val="auto"/>
                <w:spacing w:val="-20"/>
                <w:sz w:val="18"/>
                <w:szCs w:val="18"/>
              </w:rPr>
            </w:pPr>
            <w:r>
              <w:rPr>
                <w:rFonts w:hint="eastAsia" w:ascii="仿宋_GB2312" w:hAnsi="仿宋_GB2312" w:eastAsia="仿宋_GB2312" w:cs="仿宋_GB2312"/>
                <w:color w:val="auto"/>
                <w:spacing w:val="-23"/>
                <w:sz w:val="18"/>
                <w:szCs w:val="18"/>
              </w:rPr>
              <w:t>专技岗</w:t>
            </w:r>
          </w:p>
        </w:tc>
        <w:tc>
          <w:tcPr>
            <w:tcW w:w="964" w:type="dxa"/>
            <w:tcBorders>
              <w:top w:val="single" w:color="auto" w:sz="4" w:space="0"/>
              <w:left w:val="single" w:color="auto" w:sz="4" w:space="0"/>
              <w:right w:val="single" w:color="auto" w:sz="4" w:space="0"/>
            </w:tcBorders>
            <w:vAlign w:val="center"/>
          </w:tcPr>
          <w:p>
            <w:pPr>
              <w:spacing w:line="240" w:lineRule="exact"/>
              <w:jc w:val="center"/>
              <w:rPr>
                <w:rFonts w:ascii="华文仿宋" w:hAnsi="华文仿宋" w:eastAsia="华文仿宋"/>
                <w:color w:val="auto"/>
                <w:spacing w:val="-17"/>
                <w:sz w:val="18"/>
                <w:szCs w:val="18"/>
              </w:rPr>
            </w:pPr>
            <w:r>
              <w:rPr>
                <w:rFonts w:hint="eastAsia" w:ascii="华文仿宋" w:hAnsi="华文仿宋" w:eastAsia="华文仿宋"/>
                <w:color w:val="auto"/>
                <w:spacing w:val="-17"/>
                <w:sz w:val="18"/>
                <w:szCs w:val="18"/>
              </w:rPr>
              <w:t>数学</w:t>
            </w:r>
            <w:r>
              <w:rPr>
                <w:rFonts w:hint="eastAsia" w:ascii="华文仿宋" w:hAnsi="华文仿宋" w:eastAsia="华文仿宋"/>
                <w:color w:val="auto"/>
                <w:spacing w:val="-17"/>
                <w:sz w:val="18"/>
                <w:szCs w:val="18"/>
                <w:lang w:val="en-US" w:eastAsia="zh-CN"/>
              </w:rPr>
              <w:t>课</w:t>
            </w:r>
            <w:r>
              <w:rPr>
                <w:rFonts w:hint="eastAsia" w:ascii="华文仿宋" w:hAnsi="华文仿宋" w:eastAsia="华文仿宋"/>
                <w:color w:val="auto"/>
                <w:spacing w:val="-17"/>
                <w:sz w:val="18"/>
                <w:szCs w:val="18"/>
              </w:rPr>
              <w:t>教师</w:t>
            </w:r>
          </w:p>
        </w:tc>
        <w:tc>
          <w:tcPr>
            <w:tcW w:w="862" w:type="dxa"/>
            <w:tcBorders>
              <w:top w:val="single" w:color="auto" w:sz="4" w:space="0"/>
              <w:left w:val="single" w:color="auto" w:sz="4" w:space="0"/>
              <w:right w:val="single" w:color="auto" w:sz="4" w:space="0"/>
            </w:tcBorders>
            <w:vAlign w:val="center"/>
          </w:tcPr>
          <w:p>
            <w:pPr>
              <w:spacing w:line="240" w:lineRule="exact"/>
              <w:rPr>
                <w:rFonts w:hint="default" w:ascii="仿宋_GB2312" w:eastAsia="仿宋_GB2312"/>
                <w:color w:val="auto"/>
                <w:spacing w:val="-20"/>
                <w:sz w:val="18"/>
                <w:szCs w:val="18"/>
                <w:lang w:val="en-US" w:eastAsia="zh-CN"/>
              </w:rPr>
            </w:pPr>
            <w:r>
              <w:rPr>
                <w:rFonts w:hint="default" w:ascii="仿宋_GB2312" w:eastAsia="仿宋_GB2312"/>
                <w:color w:val="auto"/>
                <w:spacing w:val="-20"/>
                <w:sz w:val="18"/>
                <w:szCs w:val="18"/>
                <w:lang w:val="en-US" w:eastAsia="zh-CN"/>
              </w:rPr>
              <w:t>19030007</w:t>
            </w:r>
          </w:p>
        </w:tc>
        <w:tc>
          <w:tcPr>
            <w:tcW w:w="525" w:type="dxa"/>
            <w:tcBorders>
              <w:top w:val="single" w:color="auto" w:sz="4" w:space="0"/>
              <w:left w:val="single" w:color="auto" w:sz="4" w:space="0"/>
              <w:right w:val="single" w:color="auto" w:sz="4" w:space="0"/>
            </w:tcBorders>
            <w:vAlign w:val="center"/>
          </w:tcPr>
          <w:p>
            <w:pPr>
              <w:spacing w:line="240" w:lineRule="exact"/>
              <w:jc w:val="center"/>
              <w:rPr>
                <w:rFonts w:ascii="华文仿宋" w:hAnsi="华文仿宋" w:eastAsia="华文仿宋" w:cs="华文仿宋"/>
                <w:color w:val="auto"/>
                <w:spacing w:val="-20"/>
                <w:sz w:val="18"/>
                <w:szCs w:val="18"/>
              </w:rPr>
            </w:pPr>
            <w:r>
              <w:rPr>
                <w:rFonts w:hint="eastAsia" w:ascii="华文仿宋" w:hAnsi="华文仿宋" w:eastAsia="华文仿宋" w:cs="华文仿宋"/>
                <w:color w:val="auto"/>
                <w:spacing w:val="-20"/>
                <w:sz w:val="18"/>
                <w:szCs w:val="18"/>
              </w:rPr>
              <w:t>1</w:t>
            </w:r>
          </w:p>
        </w:tc>
        <w:tc>
          <w:tcPr>
            <w:tcW w:w="700" w:type="dxa"/>
            <w:vMerge w:val="continue"/>
            <w:tcBorders>
              <w:left w:val="nil"/>
              <w:right w:val="single" w:color="auto" w:sz="4" w:space="0"/>
            </w:tcBorders>
            <w:vAlign w:val="center"/>
          </w:tcPr>
          <w:p>
            <w:pPr>
              <w:spacing w:line="220" w:lineRule="exact"/>
              <w:jc w:val="center"/>
              <w:rPr>
                <w:rFonts w:ascii="华文仿宋" w:hAnsi="华文仿宋" w:eastAsia="华文仿宋"/>
                <w:color w:val="auto"/>
                <w:spacing w:val="-20"/>
                <w:sz w:val="18"/>
                <w:szCs w:val="18"/>
              </w:rPr>
            </w:pPr>
          </w:p>
        </w:tc>
        <w:tc>
          <w:tcPr>
            <w:tcW w:w="730" w:type="dxa"/>
            <w:vMerge w:val="continue"/>
            <w:tcBorders>
              <w:left w:val="nil"/>
              <w:right w:val="single" w:color="auto" w:sz="4" w:space="0"/>
            </w:tcBorders>
            <w:vAlign w:val="center"/>
          </w:tcPr>
          <w:p>
            <w:pPr>
              <w:spacing w:line="240" w:lineRule="exact"/>
              <w:jc w:val="center"/>
              <w:rPr>
                <w:rFonts w:ascii="华文仿宋" w:hAnsi="华文仿宋" w:eastAsia="华文仿宋"/>
                <w:color w:val="auto"/>
                <w:spacing w:val="-20"/>
                <w:sz w:val="18"/>
                <w:szCs w:val="18"/>
              </w:rPr>
            </w:pPr>
          </w:p>
        </w:tc>
        <w:tc>
          <w:tcPr>
            <w:tcW w:w="2215" w:type="dxa"/>
            <w:vMerge w:val="restart"/>
            <w:tcBorders>
              <w:top w:val="single" w:color="auto" w:sz="4" w:space="0"/>
              <w:left w:val="nil"/>
              <w:right w:val="single" w:color="auto" w:sz="4" w:space="0"/>
            </w:tcBorders>
            <w:vAlign w:val="center"/>
          </w:tcPr>
          <w:p>
            <w:pPr>
              <w:spacing w:line="220" w:lineRule="exact"/>
              <w:rPr>
                <w:rFonts w:ascii="华文仿宋" w:hAnsi="华文仿宋" w:eastAsia="华文仿宋" w:cs="华文仿宋"/>
                <w:color w:val="auto"/>
                <w:spacing w:val="-17"/>
                <w:sz w:val="18"/>
                <w:szCs w:val="18"/>
              </w:rPr>
            </w:pPr>
          </w:p>
          <w:p>
            <w:pPr>
              <w:spacing w:line="220" w:lineRule="exact"/>
              <w:jc w:val="center"/>
              <w:rPr>
                <w:rFonts w:ascii="华文仿宋" w:hAnsi="华文仿宋" w:eastAsia="华文仿宋"/>
                <w:color w:val="auto"/>
                <w:spacing w:val="-20"/>
                <w:sz w:val="18"/>
                <w:szCs w:val="18"/>
              </w:rPr>
            </w:pPr>
            <w:r>
              <w:rPr>
                <w:rFonts w:ascii="华文仿宋" w:hAnsi="华文仿宋" w:eastAsia="华文仿宋" w:cs="华文仿宋"/>
                <w:color w:val="auto"/>
                <w:spacing w:val="-17"/>
                <w:sz w:val="18"/>
                <w:szCs w:val="18"/>
              </w:rPr>
              <w:t>202</w:t>
            </w:r>
            <w:r>
              <w:rPr>
                <w:rFonts w:hint="eastAsia" w:ascii="华文仿宋" w:hAnsi="华文仿宋" w:eastAsia="华文仿宋" w:cs="华文仿宋"/>
                <w:color w:val="auto"/>
                <w:spacing w:val="-17"/>
                <w:sz w:val="18"/>
                <w:szCs w:val="18"/>
              </w:rPr>
              <w:t>1年</w:t>
            </w:r>
            <w:r>
              <w:rPr>
                <w:rFonts w:hint="eastAsia" w:ascii="华文仿宋" w:hAnsi="华文仿宋" w:eastAsia="华文仿宋" w:cs="华文仿宋"/>
                <w:color w:val="auto"/>
                <w:spacing w:val="-17"/>
                <w:sz w:val="18"/>
                <w:szCs w:val="18"/>
                <w:lang w:val="en-US" w:eastAsia="zh-CN"/>
              </w:rPr>
              <w:t>7</w:t>
            </w:r>
            <w:r>
              <w:rPr>
                <w:rFonts w:hint="eastAsia" w:ascii="华文仿宋" w:hAnsi="华文仿宋" w:eastAsia="华文仿宋" w:cs="华文仿宋"/>
                <w:color w:val="auto"/>
                <w:spacing w:val="-17"/>
                <w:sz w:val="18"/>
                <w:szCs w:val="18"/>
              </w:rPr>
              <w:t>月</w:t>
            </w:r>
            <w:r>
              <w:rPr>
                <w:rFonts w:hint="eastAsia" w:ascii="华文仿宋" w:hAnsi="华文仿宋" w:eastAsia="华文仿宋" w:cs="华文仿宋"/>
                <w:color w:val="auto"/>
                <w:spacing w:val="-17"/>
                <w:sz w:val="18"/>
                <w:szCs w:val="18"/>
                <w:lang w:val="en-US" w:eastAsia="zh-CN"/>
              </w:rPr>
              <w:t>31</w:t>
            </w:r>
            <w:r>
              <w:rPr>
                <w:rFonts w:hint="eastAsia" w:ascii="华文仿宋" w:hAnsi="华文仿宋" w:eastAsia="华文仿宋" w:cs="华文仿宋"/>
                <w:color w:val="auto"/>
                <w:spacing w:val="-17"/>
                <w:sz w:val="18"/>
                <w:szCs w:val="18"/>
              </w:rPr>
              <w:t>日前取得国民教育本科及以上学历和学士及以上学位的应、往届毕业生</w:t>
            </w:r>
          </w:p>
        </w:tc>
        <w:tc>
          <w:tcPr>
            <w:tcW w:w="1871" w:type="dxa"/>
            <w:tcBorders>
              <w:top w:val="single" w:color="auto" w:sz="4" w:space="0"/>
              <w:left w:val="nil"/>
              <w:right w:val="single" w:color="000000" w:sz="4" w:space="0"/>
            </w:tcBorders>
            <w:vAlign w:val="center"/>
          </w:tcPr>
          <w:p>
            <w:pPr>
              <w:spacing w:line="220" w:lineRule="exact"/>
              <w:rPr>
                <w:rFonts w:ascii="华文仿宋" w:hAnsi="华文仿宋" w:eastAsia="华文仿宋"/>
                <w:color w:val="auto"/>
                <w:spacing w:val="-17"/>
                <w:sz w:val="18"/>
                <w:szCs w:val="18"/>
              </w:rPr>
            </w:pPr>
            <w:r>
              <w:rPr>
                <w:rFonts w:hint="eastAsia" w:ascii="华文仿宋" w:hAnsi="华文仿宋" w:eastAsia="华文仿宋"/>
                <w:color w:val="auto"/>
                <w:spacing w:val="-17"/>
                <w:sz w:val="18"/>
                <w:szCs w:val="18"/>
              </w:rPr>
              <w:t>数学</w:t>
            </w:r>
            <w:r>
              <w:rPr>
                <w:rFonts w:hint="eastAsia" w:ascii="华文仿宋" w:hAnsi="华文仿宋" w:eastAsia="华文仿宋"/>
                <w:color w:val="auto"/>
                <w:spacing w:val="-17"/>
                <w:sz w:val="18"/>
                <w:szCs w:val="18"/>
                <w:lang w:eastAsia="zh-CN"/>
              </w:rPr>
              <w:t>类</w:t>
            </w:r>
          </w:p>
        </w:tc>
        <w:tc>
          <w:tcPr>
            <w:tcW w:w="1284" w:type="dxa"/>
            <w:vMerge w:val="restart"/>
            <w:tcBorders>
              <w:top w:val="single" w:color="auto" w:sz="4" w:space="0"/>
              <w:left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outlineLvl w:val="9"/>
              <w:rPr>
                <w:rFonts w:hint="eastAsia" w:ascii="华文仿宋" w:hAnsi="华文仿宋" w:eastAsia="华文仿宋"/>
                <w:color w:val="auto"/>
                <w:spacing w:val="-11"/>
                <w:sz w:val="18"/>
                <w:szCs w:val="18"/>
                <w:lang w:eastAsia="zh-CN"/>
              </w:rPr>
            </w:pPr>
            <w:r>
              <w:rPr>
                <w:rFonts w:hint="default" w:ascii="华文仿宋" w:hAnsi="华文仿宋" w:eastAsia="华文仿宋" w:cs="华文仿宋"/>
                <w:color w:val="auto"/>
                <w:spacing w:val="-17"/>
                <w:sz w:val="18"/>
                <w:szCs w:val="18"/>
                <w:lang w:val="en-US" w:eastAsia="zh-CN"/>
              </w:rPr>
              <w:t>具备高级中学教师资格证书或中等职业学校教师资格证</w:t>
            </w:r>
            <w:r>
              <w:rPr>
                <w:rFonts w:hint="eastAsia" w:ascii="华文仿宋" w:hAnsi="华文仿宋" w:eastAsia="华文仿宋" w:cs="华文仿宋"/>
                <w:color w:val="auto"/>
                <w:spacing w:val="-17"/>
                <w:sz w:val="18"/>
                <w:szCs w:val="18"/>
                <w:lang w:val="en-US" w:eastAsia="zh-CN"/>
              </w:rPr>
              <w:t>书</w:t>
            </w:r>
            <w:r>
              <w:rPr>
                <w:rFonts w:hint="default" w:ascii="华文仿宋" w:hAnsi="华文仿宋" w:eastAsia="华文仿宋" w:cs="华文仿宋"/>
                <w:color w:val="auto"/>
                <w:spacing w:val="-17"/>
                <w:sz w:val="18"/>
                <w:szCs w:val="18"/>
                <w:lang w:val="en-US" w:eastAsia="zh-CN"/>
              </w:rPr>
              <w:t>或高等学校教师资格证书。</w:t>
            </w:r>
          </w:p>
        </w:tc>
        <w:tc>
          <w:tcPr>
            <w:tcW w:w="738" w:type="dxa"/>
            <w:vMerge w:val="continue"/>
            <w:tcBorders>
              <w:left w:val="single" w:color="auto" w:sz="4" w:space="0"/>
              <w:right w:val="single" w:color="auto" w:sz="4" w:space="0"/>
            </w:tcBorders>
            <w:vAlign w:val="center"/>
          </w:tcPr>
          <w:p>
            <w:pPr>
              <w:spacing w:line="240" w:lineRule="exact"/>
              <w:jc w:val="center"/>
              <w:rPr>
                <w:rFonts w:ascii="华文仿宋" w:hAnsi="华文仿宋" w:eastAsia="华文仿宋" w:cs="华文仿宋"/>
                <w:color w:val="auto"/>
                <w:spacing w:val="-20"/>
                <w:sz w:val="18"/>
                <w:szCs w:val="18"/>
              </w:rPr>
            </w:pPr>
          </w:p>
        </w:tc>
        <w:tc>
          <w:tcPr>
            <w:tcW w:w="590" w:type="dxa"/>
            <w:vMerge w:val="continue"/>
            <w:tcBorders>
              <w:left w:val="single" w:color="auto" w:sz="4" w:space="0"/>
              <w:right w:val="single" w:color="auto" w:sz="4" w:space="0"/>
            </w:tcBorders>
            <w:vAlign w:val="center"/>
          </w:tcPr>
          <w:p>
            <w:pPr>
              <w:spacing w:line="240" w:lineRule="exact"/>
              <w:jc w:val="center"/>
              <w:rPr>
                <w:rFonts w:ascii="华文仿宋" w:hAnsi="华文仿宋" w:eastAsia="华文仿宋" w:cs="华文仿宋"/>
                <w:color w:val="auto"/>
                <w:spacing w:val="-20"/>
                <w:sz w:val="18"/>
                <w:szCs w:val="18"/>
              </w:rPr>
            </w:pPr>
          </w:p>
        </w:tc>
        <w:tc>
          <w:tcPr>
            <w:tcW w:w="710" w:type="dxa"/>
            <w:vMerge w:val="restart"/>
            <w:tcBorders>
              <w:top w:val="single" w:color="auto" w:sz="4" w:space="0"/>
              <w:left w:val="single" w:color="auto" w:sz="4" w:space="0"/>
              <w:right w:val="single" w:color="auto" w:sz="4" w:space="0"/>
            </w:tcBorders>
            <w:vAlign w:val="center"/>
          </w:tcPr>
          <w:p>
            <w:pPr>
              <w:spacing w:line="240" w:lineRule="exact"/>
              <w:ind w:firstLine="140" w:firstLineChars="100"/>
              <w:jc w:val="center"/>
              <w:rPr>
                <w:rFonts w:hint="eastAsia" w:ascii="仿宋_GB2312" w:eastAsia="仿宋_GB2312"/>
                <w:color w:val="auto"/>
                <w:spacing w:val="-20"/>
                <w:sz w:val="18"/>
                <w:szCs w:val="18"/>
                <w:lang w:eastAsia="zh-CN"/>
              </w:rPr>
            </w:pPr>
          </w:p>
          <w:p>
            <w:pPr>
              <w:spacing w:line="240" w:lineRule="exact"/>
              <w:ind w:firstLine="140" w:firstLineChars="100"/>
              <w:jc w:val="center"/>
              <w:rPr>
                <w:rFonts w:hint="eastAsia" w:ascii="仿宋_GB2312" w:eastAsia="仿宋_GB2312"/>
                <w:color w:val="auto"/>
                <w:spacing w:val="-20"/>
                <w:sz w:val="18"/>
                <w:szCs w:val="18"/>
                <w:lang w:eastAsia="zh-CN"/>
              </w:rPr>
            </w:pPr>
          </w:p>
          <w:p>
            <w:pPr>
              <w:spacing w:line="240" w:lineRule="exact"/>
              <w:jc w:val="center"/>
              <w:rPr>
                <w:rFonts w:ascii="华文仿宋" w:hAnsi="华文仿宋" w:eastAsia="华文仿宋"/>
                <w:color w:val="auto"/>
                <w:spacing w:val="-20"/>
                <w:sz w:val="18"/>
                <w:szCs w:val="18"/>
              </w:rPr>
            </w:pPr>
            <w:r>
              <w:rPr>
                <w:rFonts w:hint="eastAsia" w:ascii="仿宋_GB2312" w:eastAsia="仿宋_GB2312"/>
                <w:color w:val="auto"/>
                <w:spacing w:val="-20"/>
                <w:sz w:val="18"/>
                <w:szCs w:val="18"/>
                <w:lang w:eastAsia="zh-CN"/>
              </w:rPr>
              <w:t>无</w:t>
            </w:r>
          </w:p>
        </w:tc>
        <w:tc>
          <w:tcPr>
            <w:tcW w:w="90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仿宋" w:hAnsi="华文仿宋" w:eastAsia="华文仿宋" w:cs="华文仿宋"/>
                <w:color w:val="auto"/>
                <w:spacing w:val="-28"/>
                <w:sz w:val="18"/>
                <w:szCs w:val="18"/>
              </w:rPr>
            </w:pPr>
            <w:r>
              <w:rPr>
                <w:rFonts w:hint="eastAsia" w:ascii="华文仿宋" w:hAnsi="华文仿宋" w:eastAsia="华文仿宋" w:cs="华文仿宋"/>
                <w:color w:val="auto"/>
                <w:spacing w:val="-28"/>
                <w:sz w:val="18"/>
                <w:szCs w:val="18"/>
              </w:rPr>
              <w:t>工作地：</w:t>
            </w:r>
          </w:p>
          <w:p>
            <w:pPr>
              <w:spacing w:line="240" w:lineRule="exact"/>
              <w:jc w:val="center"/>
              <w:rPr>
                <w:rFonts w:ascii="华文仿宋" w:hAnsi="华文仿宋" w:eastAsia="华文仿宋" w:cs="华文仿宋"/>
                <w:color w:val="auto"/>
                <w:spacing w:val="-28"/>
                <w:sz w:val="18"/>
                <w:szCs w:val="18"/>
              </w:rPr>
            </w:pPr>
            <w:r>
              <w:rPr>
                <w:rFonts w:hint="eastAsia" w:ascii="华文仿宋" w:hAnsi="华文仿宋" w:eastAsia="华文仿宋" w:cs="华文仿宋"/>
                <w:color w:val="auto"/>
                <w:spacing w:val="-28"/>
                <w:sz w:val="18"/>
                <w:szCs w:val="18"/>
              </w:rPr>
              <w:t>凉山州</w:t>
            </w:r>
          </w:p>
          <w:p>
            <w:pPr>
              <w:spacing w:line="240" w:lineRule="exact"/>
              <w:jc w:val="center"/>
              <w:rPr>
                <w:rFonts w:ascii="华文仿宋" w:hAnsi="华文仿宋" w:eastAsia="华文仿宋"/>
                <w:color w:val="auto"/>
                <w:spacing w:val="-20"/>
                <w:sz w:val="18"/>
                <w:szCs w:val="18"/>
              </w:rPr>
            </w:pPr>
            <w:r>
              <w:rPr>
                <w:rFonts w:hint="eastAsia" w:ascii="华文仿宋" w:hAnsi="华文仿宋" w:eastAsia="华文仿宋" w:cs="华文仿宋"/>
                <w:color w:val="auto"/>
                <w:spacing w:val="-28"/>
                <w:sz w:val="18"/>
                <w:szCs w:val="18"/>
              </w:rPr>
              <w:t>西昌市</w:t>
            </w:r>
          </w:p>
        </w:tc>
        <w:tc>
          <w:tcPr>
            <w:tcW w:w="766" w:type="dxa"/>
            <w:vMerge w:val="continue"/>
            <w:tcBorders>
              <w:left w:val="single" w:color="auto" w:sz="4" w:space="0"/>
              <w:right w:val="single" w:color="auto" w:sz="4" w:space="0"/>
            </w:tcBorders>
            <w:vAlign w:val="center"/>
          </w:tcPr>
          <w:p>
            <w:pPr>
              <w:spacing w:line="240" w:lineRule="exact"/>
              <w:jc w:val="center"/>
              <w:rPr>
                <w:rFonts w:hint="eastAsia" w:ascii="华文仿宋" w:hAnsi="华文仿宋" w:eastAsia="华文仿宋" w:cs="华文仿宋"/>
                <w:color w:val="auto"/>
                <w:spacing w:val="-28"/>
                <w:sz w:val="18"/>
                <w:szCs w:val="18"/>
              </w:rPr>
            </w:pPr>
          </w:p>
        </w:tc>
      </w:tr>
      <w:tr>
        <w:tblPrEx>
          <w:tblLayout w:type="fixed"/>
          <w:tblCellMar>
            <w:top w:w="0" w:type="dxa"/>
            <w:left w:w="108" w:type="dxa"/>
            <w:bottom w:w="0" w:type="dxa"/>
            <w:right w:w="108" w:type="dxa"/>
          </w:tblCellMar>
        </w:tblPrEx>
        <w:trPr>
          <w:cantSplit/>
          <w:trHeight w:val="332" w:hRule="atLeast"/>
          <w:jc w:val="center"/>
        </w:trPr>
        <w:tc>
          <w:tcPr>
            <w:tcW w:w="98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楷体_GB2312" w:hAnsi="楷体_GB2312" w:eastAsia="楷体_GB2312" w:cs="楷体_GB2312"/>
                <w:b/>
                <w:bCs/>
                <w:color w:val="auto"/>
                <w:spacing w:val="-20"/>
              </w:rPr>
            </w:pPr>
          </w:p>
        </w:tc>
        <w:tc>
          <w:tcPr>
            <w:tcW w:w="530"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exact"/>
              <w:jc w:val="center"/>
              <w:rPr>
                <w:rFonts w:ascii="仿宋_GB2312" w:hAnsi="仿宋_GB2312" w:eastAsia="仿宋_GB2312" w:cs="仿宋_GB2312"/>
                <w:color w:val="auto"/>
                <w:spacing w:val="-23"/>
              </w:rPr>
            </w:pPr>
          </w:p>
        </w:tc>
        <w:tc>
          <w:tcPr>
            <w:tcW w:w="9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仿宋" w:hAnsi="华文仿宋" w:eastAsia="华文仿宋"/>
                <w:color w:val="auto"/>
                <w:spacing w:val="-17"/>
                <w:sz w:val="18"/>
                <w:szCs w:val="18"/>
              </w:rPr>
            </w:pPr>
            <w:r>
              <w:rPr>
                <w:rFonts w:hint="eastAsia" w:ascii="华文仿宋" w:hAnsi="华文仿宋" w:eastAsia="华文仿宋"/>
                <w:color w:val="auto"/>
                <w:spacing w:val="-17"/>
                <w:sz w:val="18"/>
                <w:szCs w:val="18"/>
              </w:rPr>
              <w:t>历史课教师</w:t>
            </w:r>
          </w:p>
        </w:tc>
        <w:tc>
          <w:tcPr>
            <w:tcW w:w="862"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仿宋_GB2312" w:eastAsia="仿宋_GB2312"/>
                <w:color w:val="auto"/>
                <w:spacing w:val="-20"/>
                <w:sz w:val="18"/>
                <w:szCs w:val="18"/>
                <w:lang w:val="en-US" w:eastAsia="zh-CN"/>
              </w:rPr>
            </w:pPr>
            <w:r>
              <w:rPr>
                <w:rFonts w:hint="default" w:ascii="仿宋_GB2312" w:eastAsia="仿宋_GB2312"/>
                <w:color w:val="auto"/>
                <w:spacing w:val="-20"/>
                <w:sz w:val="18"/>
                <w:szCs w:val="18"/>
                <w:lang w:val="en-US" w:eastAsia="zh-CN"/>
              </w:rPr>
              <w:t>1903000</w:t>
            </w:r>
            <w:r>
              <w:rPr>
                <w:rFonts w:hint="eastAsia" w:ascii="仿宋_GB2312" w:eastAsia="仿宋_GB2312"/>
                <w:color w:val="auto"/>
                <w:spacing w:val="-20"/>
                <w:sz w:val="18"/>
                <w:szCs w:val="18"/>
                <w:lang w:val="en-US" w:eastAsia="zh-CN"/>
              </w:rPr>
              <w:t>8</w:t>
            </w:r>
          </w:p>
        </w:tc>
        <w:tc>
          <w:tcPr>
            <w:tcW w:w="5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仿宋" w:hAnsi="华文仿宋" w:eastAsia="华文仿宋" w:cs="华文仿宋"/>
                <w:color w:val="auto"/>
                <w:spacing w:val="-20"/>
              </w:rPr>
            </w:pPr>
            <w:r>
              <w:rPr>
                <w:rFonts w:hint="eastAsia" w:ascii="华文仿宋" w:hAnsi="华文仿宋" w:eastAsia="华文仿宋" w:cs="华文仿宋"/>
                <w:color w:val="auto"/>
                <w:spacing w:val="-20"/>
              </w:rPr>
              <w:t>1</w:t>
            </w:r>
          </w:p>
        </w:tc>
        <w:tc>
          <w:tcPr>
            <w:tcW w:w="700" w:type="dxa"/>
            <w:vMerge w:val="continue"/>
            <w:tcBorders>
              <w:left w:val="nil"/>
              <w:right w:val="single" w:color="auto" w:sz="4" w:space="0"/>
            </w:tcBorders>
            <w:vAlign w:val="center"/>
          </w:tcPr>
          <w:p>
            <w:pPr>
              <w:spacing w:line="220" w:lineRule="exact"/>
              <w:jc w:val="center"/>
              <w:rPr>
                <w:rFonts w:ascii="华文仿宋" w:hAnsi="华文仿宋" w:eastAsia="华文仿宋"/>
                <w:color w:val="auto"/>
                <w:spacing w:val="-20"/>
              </w:rPr>
            </w:pPr>
          </w:p>
        </w:tc>
        <w:tc>
          <w:tcPr>
            <w:tcW w:w="730" w:type="dxa"/>
            <w:vMerge w:val="continue"/>
            <w:tcBorders>
              <w:left w:val="nil"/>
              <w:right w:val="single" w:color="auto" w:sz="4" w:space="0"/>
            </w:tcBorders>
            <w:vAlign w:val="center"/>
          </w:tcPr>
          <w:p>
            <w:pPr>
              <w:spacing w:line="240" w:lineRule="exact"/>
              <w:jc w:val="center"/>
              <w:rPr>
                <w:rFonts w:ascii="华文仿宋" w:hAnsi="华文仿宋" w:eastAsia="华文仿宋"/>
                <w:color w:val="auto"/>
                <w:spacing w:val="-20"/>
              </w:rPr>
            </w:pPr>
          </w:p>
        </w:tc>
        <w:tc>
          <w:tcPr>
            <w:tcW w:w="2215" w:type="dxa"/>
            <w:vMerge w:val="continue"/>
            <w:tcBorders>
              <w:left w:val="nil"/>
              <w:right w:val="single" w:color="auto" w:sz="4" w:space="0"/>
            </w:tcBorders>
            <w:vAlign w:val="center"/>
          </w:tcPr>
          <w:p>
            <w:pPr>
              <w:spacing w:line="220" w:lineRule="exact"/>
              <w:jc w:val="center"/>
              <w:rPr>
                <w:rFonts w:ascii="华文仿宋" w:hAnsi="华文仿宋" w:eastAsia="华文仿宋"/>
                <w:color w:val="auto"/>
                <w:spacing w:val="-20"/>
                <w:sz w:val="18"/>
                <w:szCs w:val="18"/>
              </w:rPr>
            </w:pPr>
          </w:p>
        </w:tc>
        <w:tc>
          <w:tcPr>
            <w:tcW w:w="1871" w:type="dxa"/>
            <w:tcBorders>
              <w:top w:val="single" w:color="auto" w:sz="4" w:space="0"/>
              <w:left w:val="nil"/>
              <w:bottom w:val="single" w:color="auto" w:sz="4" w:space="0"/>
              <w:right w:val="single" w:color="000000" w:sz="4" w:space="0"/>
            </w:tcBorders>
            <w:vAlign w:val="center"/>
          </w:tcPr>
          <w:p>
            <w:pPr>
              <w:spacing w:line="220" w:lineRule="exact"/>
              <w:jc w:val="both"/>
              <w:rPr>
                <w:rFonts w:hint="eastAsia" w:ascii="华文仿宋" w:hAnsi="华文仿宋" w:eastAsia="华文仿宋" w:cs="华文仿宋"/>
                <w:color w:val="auto"/>
                <w:spacing w:val="-17"/>
                <w:lang w:eastAsia="zh-CN"/>
              </w:rPr>
            </w:pPr>
            <w:r>
              <w:rPr>
                <w:rFonts w:hint="eastAsia" w:ascii="华文仿宋" w:hAnsi="华文仿宋" w:eastAsia="华文仿宋" w:cs="华文仿宋"/>
                <w:color w:val="auto"/>
                <w:spacing w:val="-17"/>
                <w:sz w:val="18"/>
                <w:szCs w:val="18"/>
              </w:rPr>
              <w:t>历史学</w:t>
            </w:r>
            <w:r>
              <w:rPr>
                <w:rFonts w:hint="eastAsia" w:ascii="华文仿宋" w:hAnsi="华文仿宋" w:eastAsia="华文仿宋" w:cs="华文仿宋"/>
                <w:color w:val="auto"/>
                <w:spacing w:val="-17"/>
                <w:sz w:val="18"/>
                <w:szCs w:val="18"/>
                <w:lang w:eastAsia="zh-CN"/>
              </w:rPr>
              <w:t>类</w:t>
            </w:r>
          </w:p>
        </w:tc>
        <w:tc>
          <w:tcPr>
            <w:tcW w:w="1284" w:type="dxa"/>
            <w:vMerge w:val="continue"/>
            <w:tcBorders>
              <w:left w:val="nil"/>
              <w:right w:val="single" w:color="auto" w:sz="4" w:space="0"/>
            </w:tcBorders>
            <w:vAlign w:val="center"/>
          </w:tcPr>
          <w:p>
            <w:pPr>
              <w:spacing w:line="240" w:lineRule="exact"/>
              <w:rPr>
                <w:rFonts w:ascii="华文仿宋" w:hAnsi="华文仿宋" w:eastAsia="华文仿宋"/>
                <w:color w:val="auto"/>
                <w:spacing w:val="-11"/>
              </w:rPr>
            </w:pPr>
          </w:p>
        </w:tc>
        <w:tc>
          <w:tcPr>
            <w:tcW w:w="738" w:type="dxa"/>
            <w:vMerge w:val="continue"/>
            <w:tcBorders>
              <w:left w:val="single" w:color="auto" w:sz="4" w:space="0"/>
              <w:right w:val="single" w:color="auto" w:sz="4" w:space="0"/>
            </w:tcBorders>
            <w:vAlign w:val="center"/>
          </w:tcPr>
          <w:p>
            <w:pPr>
              <w:spacing w:line="240" w:lineRule="exact"/>
              <w:jc w:val="center"/>
              <w:rPr>
                <w:rFonts w:ascii="华文仿宋" w:hAnsi="华文仿宋" w:eastAsia="华文仿宋" w:cs="华文仿宋"/>
                <w:color w:val="auto"/>
                <w:spacing w:val="-20"/>
              </w:rPr>
            </w:pPr>
          </w:p>
        </w:tc>
        <w:tc>
          <w:tcPr>
            <w:tcW w:w="590" w:type="dxa"/>
            <w:vMerge w:val="continue"/>
            <w:tcBorders>
              <w:left w:val="single" w:color="auto" w:sz="4" w:space="0"/>
              <w:right w:val="single" w:color="auto" w:sz="4" w:space="0"/>
            </w:tcBorders>
            <w:vAlign w:val="center"/>
          </w:tcPr>
          <w:p>
            <w:pPr>
              <w:spacing w:line="240" w:lineRule="exact"/>
              <w:jc w:val="center"/>
              <w:rPr>
                <w:rFonts w:ascii="华文仿宋" w:hAnsi="华文仿宋" w:eastAsia="华文仿宋" w:cs="华文仿宋"/>
                <w:color w:val="auto"/>
                <w:spacing w:val="-20"/>
              </w:rPr>
            </w:pPr>
          </w:p>
        </w:tc>
        <w:tc>
          <w:tcPr>
            <w:tcW w:w="710" w:type="dxa"/>
            <w:vMerge w:val="continue"/>
            <w:tcBorders>
              <w:left w:val="single" w:color="auto" w:sz="4" w:space="0"/>
              <w:right w:val="single" w:color="auto" w:sz="4" w:space="0"/>
            </w:tcBorders>
            <w:vAlign w:val="center"/>
          </w:tcPr>
          <w:p>
            <w:pPr>
              <w:spacing w:line="240" w:lineRule="exact"/>
              <w:rPr>
                <w:rFonts w:ascii="华文仿宋" w:hAnsi="华文仿宋" w:eastAsia="华文仿宋"/>
                <w:color w:val="auto"/>
                <w:spacing w:val="-20"/>
              </w:rPr>
            </w:pPr>
          </w:p>
        </w:tc>
        <w:tc>
          <w:tcPr>
            <w:tcW w:w="9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仿宋" w:hAnsi="华文仿宋" w:eastAsia="华文仿宋" w:cs="华文仿宋"/>
                <w:color w:val="auto"/>
                <w:spacing w:val="-28"/>
              </w:rPr>
            </w:pPr>
          </w:p>
        </w:tc>
        <w:tc>
          <w:tcPr>
            <w:tcW w:w="766" w:type="dxa"/>
            <w:vMerge w:val="continue"/>
            <w:tcBorders>
              <w:left w:val="single" w:color="auto" w:sz="4" w:space="0"/>
              <w:right w:val="single" w:color="auto" w:sz="4" w:space="0"/>
            </w:tcBorders>
            <w:vAlign w:val="center"/>
          </w:tcPr>
          <w:p>
            <w:pPr>
              <w:spacing w:line="240" w:lineRule="exact"/>
              <w:rPr>
                <w:rFonts w:ascii="华文仿宋" w:hAnsi="华文仿宋" w:eastAsia="华文仿宋" w:cs="华文仿宋"/>
                <w:color w:val="auto"/>
                <w:spacing w:val="-28"/>
              </w:rPr>
            </w:pPr>
          </w:p>
        </w:tc>
      </w:tr>
      <w:tr>
        <w:tblPrEx>
          <w:tblLayout w:type="fixed"/>
          <w:tblCellMar>
            <w:top w:w="0" w:type="dxa"/>
            <w:left w:w="108" w:type="dxa"/>
            <w:bottom w:w="0" w:type="dxa"/>
            <w:right w:w="108" w:type="dxa"/>
          </w:tblCellMar>
        </w:tblPrEx>
        <w:trPr>
          <w:cantSplit/>
          <w:trHeight w:val="330" w:hRule="atLeast"/>
          <w:jc w:val="center"/>
        </w:trPr>
        <w:tc>
          <w:tcPr>
            <w:tcW w:w="98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仿宋" w:hAnsi="华文仿宋" w:eastAsia="华文仿宋"/>
                <w:color w:val="auto"/>
                <w:spacing w:val="-20"/>
                <w:sz w:val="18"/>
                <w:szCs w:val="18"/>
              </w:rPr>
            </w:pPr>
          </w:p>
        </w:tc>
        <w:tc>
          <w:tcPr>
            <w:tcW w:w="530"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exact"/>
              <w:jc w:val="center"/>
              <w:rPr>
                <w:rFonts w:ascii="华文仿宋" w:hAnsi="华文仿宋" w:eastAsia="华文仿宋"/>
                <w:color w:val="auto"/>
                <w:spacing w:val="-20"/>
                <w:sz w:val="18"/>
                <w:szCs w:val="18"/>
              </w:rPr>
            </w:pPr>
          </w:p>
        </w:tc>
        <w:tc>
          <w:tcPr>
            <w:tcW w:w="9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仿宋" w:hAnsi="华文仿宋" w:eastAsia="华文仿宋"/>
                <w:color w:val="auto"/>
                <w:spacing w:val="-17"/>
                <w:sz w:val="18"/>
                <w:szCs w:val="18"/>
              </w:rPr>
            </w:pPr>
            <w:r>
              <w:rPr>
                <w:rFonts w:hint="eastAsia" w:ascii="华文仿宋" w:hAnsi="华文仿宋" w:eastAsia="华文仿宋"/>
                <w:color w:val="auto"/>
                <w:spacing w:val="-17"/>
                <w:sz w:val="18"/>
                <w:szCs w:val="18"/>
              </w:rPr>
              <w:t>地理课教师</w:t>
            </w:r>
          </w:p>
        </w:tc>
        <w:tc>
          <w:tcPr>
            <w:tcW w:w="862"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仿宋_GB2312" w:eastAsia="仿宋_GB2312"/>
                <w:color w:val="auto"/>
                <w:spacing w:val="-20"/>
                <w:sz w:val="18"/>
                <w:szCs w:val="18"/>
                <w:lang w:val="en-US" w:eastAsia="zh-CN"/>
              </w:rPr>
            </w:pPr>
            <w:r>
              <w:rPr>
                <w:rFonts w:hint="default" w:ascii="仿宋_GB2312" w:eastAsia="仿宋_GB2312"/>
                <w:color w:val="auto"/>
                <w:spacing w:val="-20"/>
                <w:sz w:val="18"/>
                <w:szCs w:val="18"/>
                <w:lang w:val="en-US" w:eastAsia="zh-CN"/>
              </w:rPr>
              <w:t>1903000</w:t>
            </w:r>
            <w:r>
              <w:rPr>
                <w:rFonts w:hint="eastAsia" w:ascii="仿宋_GB2312" w:eastAsia="仿宋_GB2312"/>
                <w:color w:val="auto"/>
                <w:spacing w:val="-20"/>
                <w:sz w:val="18"/>
                <w:szCs w:val="18"/>
                <w:lang w:val="en-US" w:eastAsia="zh-CN"/>
              </w:rPr>
              <w:t>9</w:t>
            </w:r>
          </w:p>
        </w:tc>
        <w:tc>
          <w:tcPr>
            <w:tcW w:w="5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仿宋" w:hAnsi="华文仿宋" w:eastAsia="华文仿宋" w:cs="华文仿宋"/>
                <w:color w:val="auto"/>
                <w:spacing w:val="-20"/>
                <w:sz w:val="18"/>
                <w:szCs w:val="18"/>
              </w:rPr>
            </w:pPr>
            <w:r>
              <w:rPr>
                <w:rFonts w:hint="eastAsia" w:ascii="华文仿宋" w:hAnsi="华文仿宋" w:eastAsia="华文仿宋" w:cs="华文仿宋"/>
                <w:color w:val="auto"/>
                <w:spacing w:val="-20"/>
                <w:sz w:val="18"/>
                <w:szCs w:val="18"/>
              </w:rPr>
              <w:t>1</w:t>
            </w:r>
          </w:p>
        </w:tc>
        <w:tc>
          <w:tcPr>
            <w:tcW w:w="700" w:type="dxa"/>
            <w:vMerge w:val="continue"/>
            <w:tcBorders>
              <w:left w:val="nil"/>
              <w:right w:val="single" w:color="auto" w:sz="4" w:space="0"/>
            </w:tcBorders>
            <w:vAlign w:val="center"/>
          </w:tcPr>
          <w:p>
            <w:pPr>
              <w:spacing w:line="220" w:lineRule="exact"/>
              <w:jc w:val="center"/>
              <w:rPr>
                <w:rFonts w:ascii="华文仿宋" w:hAnsi="华文仿宋" w:eastAsia="华文仿宋"/>
                <w:color w:val="auto"/>
                <w:spacing w:val="-20"/>
                <w:sz w:val="18"/>
                <w:szCs w:val="18"/>
              </w:rPr>
            </w:pPr>
          </w:p>
        </w:tc>
        <w:tc>
          <w:tcPr>
            <w:tcW w:w="730" w:type="dxa"/>
            <w:vMerge w:val="continue"/>
            <w:tcBorders>
              <w:left w:val="nil"/>
              <w:right w:val="single" w:color="auto" w:sz="4" w:space="0"/>
            </w:tcBorders>
            <w:vAlign w:val="center"/>
          </w:tcPr>
          <w:p>
            <w:pPr>
              <w:spacing w:line="240" w:lineRule="exact"/>
              <w:jc w:val="center"/>
              <w:rPr>
                <w:rFonts w:ascii="华文仿宋" w:hAnsi="华文仿宋" w:eastAsia="华文仿宋"/>
                <w:color w:val="auto"/>
                <w:spacing w:val="-20"/>
                <w:sz w:val="18"/>
                <w:szCs w:val="18"/>
              </w:rPr>
            </w:pPr>
          </w:p>
        </w:tc>
        <w:tc>
          <w:tcPr>
            <w:tcW w:w="2215" w:type="dxa"/>
            <w:vMerge w:val="continue"/>
            <w:tcBorders>
              <w:left w:val="nil"/>
              <w:right w:val="single" w:color="auto" w:sz="4" w:space="0"/>
            </w:tcBorders>
            <w:vAlign w:val="center"/>
          </w:tcPr>
          <w:p>
            <w:pPr>
              <w:spacing w:line="220" w:lineRule="exact"/>
              <w:rPr>
                <w:rFonts w:ascii="华文仿宋" w:hAnsi="华文仿宋" w:eastAsia="华文仿宋"/>
                <w:color w:val="auto"/>
                <w:spacing w:val="-20"/>
                <w:sz w:val="18"/>
                <w:szCs w:val="18"/>
              </w:rPr>
            </w:pPr>
          </w:p>
        </w:tc>
        <w:tc>
          <w:tcPr>
            <w:tcW w:w="1871" w:type="dxa"/>
            <w:tcBorders>
              <w:top w:val="single" w:color="auto" w:sz="4" w:space="0"/>
              <w:left w:val="nil"/>
              <w:bottom w:val="single" w:color="auto" w:sz="4" w:space="0"/>
              <w:right w:val="single" w:color="000000" w:sz="4" w:space="0"/>
            </w:tcBorders>
            <w:vAlign w:val="center"/>
          </w:tcPr>
          <w:p>
            <w:pPr>
              <w:spacing w:line="220" w:lineRule="exact"/>
              <w:rPr>
                <w:rFonts w:hint="eastAsia" w:ascii="华文仿宋" w:hAnsi="华文仿宋" w:eastAsia="华文仿宋"/>
                <w:color w:val="auto"/>
                <w:spacing w:val="-17"/>
                <w:sz w:val="18"/>
                <w:szCs w:val="18"/>
                <w:lang w:eastAsia="zh-CN"/>
              </w:rPr>
            </w:pPr>
            <w:r>
              <w:rPr>
                <w:rFonts w:hint="eastAsia" w:ascii="华文仿宋" w:hAnsi="华文仿宋" w:eastAsia="华文仿宋"/>
                <w:color w:val="auto"/>
                <w:spacing w:val="-17"/>
                <w:sz w:val="18"/>
                <w:szCs w:val="18"/>
              </w:rPr>
              <w:t>地理科学、地理信息科学、自然地理</w:t>
            </w:r>
            <w:r>
              <w:rPr>
                <w:rFonts w:hint="eastAsia" w:ascii="华文仿宋" w:hAnsi="华文仿宋" w:eastAsia="华文仿宋"/>
                <w:color w:val="auto"/>
                <w:spacing w:val="-17"/>
                <w:sz w:val="18"/>
                <w:szCs w:val="18"/>
                <w:lang w:eastAsia="zh-CN"/>
              </w:rPr>
              <w:t>与资源环境</w:t>
            </w:r>
          </w:p>
        </w:tc>
        <w:tc>
          <w:tcPr>
            <w:tcW w:w="1284" w:type="dxa"/>
            <w:vMerge w:val="continue"/>
            <w:tcBorders>
              <w:left w:val="nil"/>
              <w:bottom w:val="single" w:color="auto" w:sz="4" w:space="0"/>
              <w:right w:val="single" w:color="auto" w:sz="4" w:space="0"/>
            </w:tcBorders>
            <w:vAlign w:val="center"/>
          </w:tcPr>
          <w:p>
            <w:pPr>
              <w:spacing w:line="200" w:lineRule="exact"/>
              <w:rPr>
                <w:rFonts w:ascii="华文仿宋" w:hAnsi="华文仿宋" w:eastAsia="华文仿宋"/>
                <w:color w:val="auto"/>
                <w:spacing w:val="-20"/>
              </w:rPr>
            </w:pPr>
          </w:p>
        </w:tc>
        <w:tc>
          <w:tcPr>
            <w:tcW w:w="738" w:type="dxa"/>
            <w:vMerge w:val="continue"/>
            <w:tcBorders>
              <w:left w:val="single" w:color="auto" w:sz="4" w:space="0"/>
              <w:right w:val="single" w:color="auto" w:sz="4" w:space="0"/>
            </w:tcBorders>
            <w:vAlign w:val="center"/>
          </w:tcPr>
          <w:p>
            <w:pPr>
              <w:spacing w:line="240" w:lineRule="exact"/>
              <w:jc w:val="center"/>
              <w:rPr>
                <w:rFonts w:ascii="华文仿宋" w:hAnsi="华文仿宋" w:eastAsia="华文仿宋" w:cs="华文仿宋"/>
                <w:color w:val="auto"/>
                <w:spacing w:val="-20"/>
              </w:rPr>
            </w:pPr>
          </w:p>
        </w:tc>
        <w:tc>
          <w:tcPr>
            <w:tcW w:w="590" w:type="dxa"/>
            <w:vMerge w:val="continue"/>
            <w:tcBorders>
              <w:left w:val="single" w:color="auto" w:sz="4" w:space="0"/>
              <w:right w:val="single" w:color="auto" w:sz="4" w:space="0"/>
            </w:tcBorders>
            <w:vAlign w:val="center"/>
          </w:tcPr>
          <w:p>
            <w:pPr>
              <w:spacing w:line="240" w:lineRule="exact"/>
              <w:jc w:val="center"/>
              <w:rPr>
                <w:rFonts w:ascii="华文仿宋" w:hAnsi="华文仿宋" w:eastAsia="华文仿宋" w:cs="华文仿宋"/>
                <w:color w:val="auto"/>
                <w:spacing w:val="-20"/>
              </w:rPr>
            </w:pPr>
          </w:p>
        </w:tc>
        <w:tc>
          <w:tcPr>
            <w:tcW w:w="710" w:type="dxa"/>
            <w:vMerge w:val="continue"/>
            <w:tcBorders>
              <w:left w:val="single" w:color="auto" w:sz="4" w:space="0"/>
              <w:bottom w:val="single" w:color="auto" w:sz="4" w:space="0"/>
              <w:right w:val="single" w:color="auto" w:sz="4" w:space="0"/>
            </w:tcBorders>
            <w:vAlign w:val="center"/>
          </w:tcPr>
          <w:p>
            <w:pPr>
              <w:spacing w:line="240" w:lineRule="exact"/>
              <w:rPr>
                <w:rFonts w:ascii="华文仿宋" w:hAnsi="华文仿宋" w:eastAsia="华文仿宋"/>
                <w:color w:val="auto"/>
                <w:spacing w:val="-20"/>
              </w:rPr>
            </w:pPr>
          </w:p>
        </w:tc>
        <w:tc>
          <w:tcPr>
            <w:tcW w:w="9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仿宋" w:hAnsi="华文仿宋" w:eastAsia="华文仿宋"/>
                <w:color w:val="auto"/>
                <w:spacing w:val="-20"/>
                <w:sz w:val="24"/>
                <w:szCs w:val="24"/>
              </w:rPr>
            </w:pPr>
          </w:p>
        </w:tc>
        <w:tc>
          <w:tcPr>
            <w:tcW w:w="766" w:type="dxa"/>
            <w:vMerge w:val="continue"/>
            <w:tcBorders>
              <w:left w:val="single" w:color="auto" w:sz="4" w:space="0"/>
              <w:right w:val="single" w:color="auto" w:sz="4" w:space="0"/>
            </w:tcBorders>
            <w:vAlign w:val="center"/>
          </w:tcPr>
          <w:p>
            <w:pPr>
              <w:spacing w:line="240" w:lineRule="exact"/>
              <w:rPr>
                <w:rFonts w:ascii="华文仿宋" w:hAnsi="华文仿宋" w:eastAsia="华文仿宋"/>
                <w:color w:val="auto"/>
                <w:spacing w:val="-20"/>
                <w:sz w:val="24"/>
                <w:szCs w:val="24"/>
              </w:rPr>
            </w:pPr>
          </w:p>
        </w:tc>
      </w:tr>
      <w:tr>
        <w:tblPrEx>
          <w:tblLayout w:type="fixed"/>
          <w:tblCellMar>
            <w:top w:w="0" w:type="dxa"/>
            <w:left w:w="108" w:type="dxa"/>
            <w:bottom w:w="0" w:type="dxa"/>
            <w:right w:w="108" w:type="dxa"/>
          </w:tblCellMar>
        </w:tblPrEx>
        <w:trPr>
          <w:cantSplit/>
          <w:trHeight w:val="520" w:hRule="atLeast"/>
          <w:jc w:val="center"/>
        </w:trPr>
        <w:tc>
          <w:tcPr>
            <w:tcW w:w="98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仿宋" w:hAnsi="华文仿宋" w:eastAsia="华文仿宋"/>
                <w:color w:val="auto"/>
                <w:spacing w:val="-20"/>
                <w:sz w:val="18"/>
                <w:szCs w:val="18"/>
              </w:rPr>
            </w:pPr>
            <w:r>
              <w:rPr>
                <w:rFonts w:hint="eastAsia" w:ascii="楷体_GB2312" w:hAnsi="楷体_GB2312" w:eastAsia="楷体_GB2312" w:cs="楷体_GB2312"/>
                <w:b/>
                <w:bCs/>
                <w:color w:val="auto"/>
                <w:spacing w:val="-20"/>
                <w:sz w:val="18"/>
                <w:szCs w:val="18"/>
              </w:rPr>
              <w:t>四川</w:t>
            </w:r>
            <w:r>
              <w:rPr>
                <w:rFonts w:hint="eastAsia" w:ascii="楷体_GB2312" w:hAnsi="楷体_GB2312" w:eastAsia="楷体_GB2312"/>
                <w:b/>
                <w:bCs/>
                <w:color w:val="auto"/>
                <w:spacing w:val="-20"/>
                <w:sz w:val="18"/>
                <w:szCs w:val="18"/>
              </w:rPr>
              <w:t>神哲学院</w:t>
            </w:r>
            <w:r>
              <w:rPr>
                <w:rFonts w:hint="eastAsia" w:ascii="楷体_GB2312" w:hAnsi="楷体_GB2312" w:eastAsia="楷体_GB2312" w:cs="楷体_GB2312"/>
                <w:b/>
                <w:bCs/>
                <w:color w:val="auto"/>
                <w:spacing w:val="-20"/>
                <w:sz w:val="18"/>
                <w:szCs w:val="18"/>
              </w:rPr>
              <w:t>（</w:t>
            </w:r>
            <w:r>
              <w:rPr>
                <w:rFonts w:ascii="楷体_GB2312" w:hAnsi="楷体_GB2312" w:eastAsia="楷体_GB2312" w:cs="楷体_GB2312"/>
                <w:b/>
                <w:bCs/>
                <w:color w:val="auto"/>
                <w:spacing w:val="-20"/>
                <w:sz w:val="18"/>
                <w:szCs w:val="18"/>
              </w:rPr>
              <w:t>2</w:t>
            </w:r>
            <w:r>
              <w:rPr>
                <w:rFonts w:hint="eastAsia" w:ascii="楷体_GB2312" w:hAnsi="楷体_GB2312" w:eastAsia="楷体_GB2312" w:cs="楷体_GB2312"/>
                <w:b/>
                <w:bCs/>
                <w:color w:val="auto"/>
                <w:spacing w:val="-20"/>
                <w:sz w:val="18"/>
                <w:szCs w:val="18"/>
              </w:rPr>
              <w:t>名）</w:t>
            </w:r>
          </w:p>
        </w:tc>
        <w:tc>
          <w:tcPr>
            <w:tcW w:w="53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exact"/>
              <w:jc w:val="center"/>
              <w:rPr>
                <w:rFonts w:ascii="华文仿宋" w:hAnsi="华文仿宋" w:eastAsia="华文仿宋"/>
                <w:color w:val="auto"/>
                <w:spacing w:val="-20"/>
                <w:sz w:val="18"/>
                <w:szCs w:val="18"/>
              </w:rPr>
            </w:pPr>
            <w:r>
              <w:rPr>
                <w:rFonts w:hint="eastAsia" w:ascii="华文仿宋" w:hAnsi="华文仿宋" w:eastAsia="华文仿宋"/>
                <w:color w:val="auto"/>
                <w:spacing w:val="-20"/>
                <w:sz w:val="18"/>
                <w:szCs w:val="18"/>
              </w:rPr>
              <w:t>专技岗</w:t>
            </w:r>
          </w:p>
        </w:tc>
        <w:tc>
          <w:tcPr>
            <w:tcW w:w="9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仿宋" w:hAnsi="华文仿宋" w:eastAsia="华文仿宋"/>
                <w:color w:val="auto"/>
                <w:spacing w:val="-17"/>
                <w:sz w:val="18"/>
                <w:szCs w:val="18"/>
              </w:rPr>
            </w:pPr>
            <w:r>
              <w:rPr>
                <w:rFonts w:hint="eastAsia" w:ascii="华文仿宋" w:hAnsi="华文仿宋" w:eastAsia="华文仿宋"/>
                <w:color w:val="auto"/>
                <w:spacing w:val="-17"/>
                <w:sz w:val="18"/>
                <w:szCs w:val="18"/>
              </w:rPr>
              <w:t>公共课教师</w:t>
            </w:r>
          </w:p>
        </w:tc>
        <w:tc>
          <w:tcPr>
            <w:tcW w:w="862"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仿宋_GB2312" w:eastAsia="仿宋_GB2312"/>
                <w:color w:val="auto"/>
                <w:spacing w:val="-20"/>
                <w:sz w:val="18"/>
                <w:szCs w:val="18"/>
                <w:lang w:val="en-US" w:eastAsia="zh-CN"/>
              </w:rPr>
            </w:pPr>
            <w:r>
              <w:rPr>
                <w:rFonts w:hint="default" w:ascii="仿宋_GB2312" w:eastAsia="仿宋_GB2312"/>
                <w:color w:val="auto"/>
                <w:spacing w:val="-20"/>
                <w:sz w:val="18"/>
                <w:szCs w:val="18"/>
                <w:lang w:val="en-US" w:eastAsia="zh-CN"/>
              </w:rPr>
              <w:t>19040010</w:t>
            </w:r>
          </w:p>
        </w:tc>
        <w:tc>
          <w:tcPr>
            <w:tcW w:w="5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仿宋" w:hAnsi="华文仿宋" w:eastAsia="华文仿宋" w:cs="华文仿宋"/>
                <w:color w:val="auto"/>
                <w:spacing w:val="-20"/>
                <w:sz w:val="18"/>
                <w:szCs w:val="18"/>
              </w:rPr>
            </w:pPr>
            <w:r>
              <w:rPr>
                <w:rFonts w:hint="eastAsia" w:ascii="华文仿宋" w:hAnsi="华文仿宋" w:eastAsia="华文仿宋" w:cs="华文仿宋"/>
                <w:color w:val="auto"/>
                <w:spacing w:val="-20"/>
                <w:sz w:val="18"/>
                <w:szCs w:val="18"/>
              </w:rPr>
              <w:t>2</w:t>
            </w:r>
          </w:p>
        </w:tc>
        <w:tc>
          <w:tcPr>
            <w:tcW w:w="700" w:type="dxa"/>
            <w:vMerge w:val="continue"/>
            <w:tcBorders>
              <w:left w:val="nil"/>
              <w:right w:val="single" w:color="auto" w:sz="4" w:space="0"/>
            </w:tcBorders>
            <w:vAlign w:val="center"/>
          </w:tcPr>
          <w:p>
            <w:pPr>
              <w:spacing w:line="220" w:lineRule="exact"/>
              <w:jc w:val="center"/>
              <w:rPr>
                <w:rFonts w:ascii="华文仿宋" w:hAnsi="华文仿宋" w:eastAsia="华文仿宋"/>
                <w:color w:val="auto"/>
                <w:spacing w:val="-20"/>
                <w:sz w:val="18"/>
                <w:szCs w:val="18"/>
              </w:rPr>
            </w:pPr>
          </w:p>
        </w:tc>
        <w:tc>
          <w:tcPr>
            <w:tcW w:w="730" w:type="dxa"/>
            <w:vMerge w:val="continue"/>
            <w:tcBorders>
              <w:left w:val="nil"/>
              <w:right w:val="single" w:color="auto" w:sz="4" w:space="0"/>
            </w:tcBorders>
            <w:vAlign w:val="center"/>
          </w:tcPr>
          <w:p>
            <w:pPr>
              <w:spacing w:line="240" w:lineRule="exact"/>
              <w:jc w:val="center"/>
              <w:rPr>
                <w:rFonts w:ascii="华文仿宋" w:hAnsi="华文仿宋" w:eastAsia="华文仿宋"/>
                <w:color w:val="auto"/>
                <w:spacing w:val="-20"/>
                <w:sz w:val="18"/>
                <w:szCs w:val="18"/>
              </w:rPr>
            </w:pPr>
          </w:p>
        </w:tc>
        <w:tc>
          <w:tcPr>
            <w:tcW w:w="2215" w:type="dxa"/>
            <w:vMerge w:val="continue"/>
            <w:tcBorders>
              <w:left w:val="nil"/>
              <w:right w:val="single" w:color="auto" w:sz="4" w:space="0"/>
            </w:tcBorders>
            <w:vAlign w:val="center"/>
          </w:tcPr>
          <w:p>
            <w:pPr>
              <w:spacing w:line="220" w:lineRule="exact"/>
              <w:rPr>
                <w:rFonts w:ascii="华文仿宋" w:hAnsi="华文仿宋" w:eastAsia="华文仿宋"/>
                <w:color w:val="auto"/>
                <w:spacing w:val="-20"/>
                <w:sz w:val="18"/>
                <w:szCs w:val="18"/>
              </w:rPr>
            </w:pPr>
          </w:p>
        </w:tc>
        <w:tc>
          <w:tcPr>
            <w:tcW w:w="1871" w:type="dxa"/>
            <w:vMerge w:val="restart"/>
            <w:tcBorders>
              <w:top w:val="single" w:color="auto" w:sz="4" w:space="0"/>
              <w:left w:val="nil"/>
              <w:right w:val="single" w:color="000000" w:sz="4" w:space="0"/>
            </w:tcBorders>
            <w:vAlign w:val="center"/>
          </w:tcPr>
          <w:p>
            <w:pPr>
              <w:widowControl/>
              <w:spacing w:line="240" w:lineRule="exact"/>
              <w:jc w:val="center"/>
              <w:rPr>
                <w:rFonts w:ascii="华文仿宋" w:hAnsi="华文仿宋" w:eastAsia="华文仿宋"/>
                <w:color w:val="auto"/>
                <w:spacing w:val="-17"/>
                <w:sz w:val="18"/>
                <w:szCs w:val="18"/>
              </w:rPr>
            </w:pPr>
            <w:r>
              <w:rPr>
                <w:rFonts w:hint="eastAsia" w:ascii="华文仿宋" w:hAnsi="华文仿宋" w:eastAsia="华文仿宋"/>
                <w:color w:val="auto"/>
                <w:spacing w:val="-17"/>
                <w:sz w:val="18"/>
                <w:szCs w:val="18"/>
              </w:rPr>
              <w:t>哲学类、马克思主义理论类、政治学类、历史学类</w:t>
            </w:r>
          </w:p>
        </w:tc>
        <w:tc>
          <w:tcPr>
            <w:tcW w:w="1284" w:type="dxa"/>
            <w:vMerge w:val="restart"/>
            <w:tcBorders>
              <w:top w:val="single" w:color="auto" w:sz="4" w:space="0"/>
              <w:left w:val="nil"/>
              <w:right w:val="single" w:color="auto" w:sz="4" w:space="0"/>
            </w:tcBorders>
            <w:vAlign w:val="center"/>
          </w:tcPr>
          <w:p>
            <w:pPr>
              <w:spacing w:line="200" w:lineRule="exact"/>
              <w:rPr>
                <w:rFonts w:ascii="仿宋_GB2312" w:hAnsi="仿宋_GB2312" w:eastAsia="仿宋_GB2312" w:cs="仿宋_GB2312"/>
                <w:color w:val="auto"/>
                <w:spacing w:val="-11"/>
                <w:sz w:val="18"/>
                <w:szCs w:val="18"/>
              </w:rPr>
            </w:pPr>
            <w:r>
              <w:rPr>
                <w:rFonts w:hint="eastAsia" w:ascii="仿宋_GB2312" w:hAnsi="仿宋_GB2312" w:eastAsia="仿宋_GB2312" w:cs="仿宋_GB2312"/>
                <w:color w:val="auto"/>
                <w:spacing w:val="-17"/>
                <w:sz w:val="18"/>
                <w:szCs w:val="18"/>
              </w:rPr>
              <w:t>具</w:t>
            </w:r>
            <w:r>
              <w:rPr>
                <w:rFonts w:hint="eastAsia" w:ascii="华文仿宋" w:hAnsi="华文仿宋" w:eastAsia="华文仿宋" w:cs="华文仿宋"/>
                <w:color w:val="auto"/>
                <w:spacing w:val="-17"/>
                <w:sz w:val="18"/>
                <w:szCs w:val="18"/>
              </w:rPr>
              <w:t>备教师资格证书或在录用后</w:t>
            </w:r>
            <w:r>
              <w:rPr>
                <w:rFonts w:hint="eastAsia" w:ascii="华文仿宋" w:hAnsi="华文仿宋" w:eastAsia="华文仿宋" w:cs="华文仿宋"/>
                <w:color w:val="auto"/>
                <w:spacing w:val="-17"/>
                <w:sz w:val="18"/>
                <w:szCs w:val="18"/>
                <w:lang w:val="en-US" w:eastAsia="zh-CN"/>
              </w:rPr>
              <w:t>1</w:t>
            </w:r>
            <w:r>
              <w:rPr>
                <w:rFonts w:hint="eastAsia" w:ascii="华文仿宋" w:hAnsi="华文仿宋" w:eastAsia="华文仿宋" w:cs="华文仿宋"/>
                <w:color w:val="auto"/>
                <w:spacing w:val="-17"/>
                <w:sz w:val="18"/>
                <w:szCs w:val="18"/>
              </w:rPr>
              <w:t>年内取得教师资格证书</w:t>
            </w:r>
            <w:r>
              <w:rPr>
                <w:rFonts w:hint="eastAsia" w:ascii="华文仿宋" w:hAnsi="华文仿宋" w:eastAsia="华文仿宋" w:cs="华文仿宋"/>
                <w:color w:val="auto"/>
                <w:spacing w:val="-17"/>
                <w:sz w:val="18"/>
                <w:szCs w:val="18"/>
                <w:lang w:eastAsia="zh-CN"/>
              </w:rPr>
              <w:t>。</w:t>
            </w:r>
          </w:p>
        </w:tc>
        <w:tc>
          <w:tcPr>
            <w:tcW w:w="738" w:type="dxa"/>
            <w:vMerge w:val="continue"/>
            <w:tcBorders>
              <w:left w:val="single" w:color="auto" w:sz="4" w:space="0"/>
              <w:right w:val="single" w:color="auto" w:sz="4" w:space="0"/>
            </w:tcBorders>
            <w:vAlign w:val="center"/>
          </w:tcPr>
          <w:p>
            <w:pPr>
              <w:spacing w:line="240" w:lineRule="exact"/>
              <w:jc w:val="center"/>
              <w:rPr>
                <w:rFonts w:ascii="华文仿宋" w:hAnsi="华文仿宋" w:eastAsia="华文仿宋" w:cs="华文仿宋"/>
                <w:color w:val="auto"/>
                <w:spacing w:val="-20"/>
              </w:rPr>
            </w:pPr>
          </w:p>
        </w:tc>
        <w:tc>
          <w:tcPr>
            <w:tcW w:w="590" w:type="dxa"/>
            <w:vMerge w:val="continue"/>
            <w:tcBorders>
              <w:left w:val="single" w:color="auto" w:sz="4" w:space="0"/>
              <w:right w:val="single" w:color="auto" w:sz="4" w:space="0"/>
            </w:tcBorders>
            <w:vAlign w:val="center"/>
          </w:tcPr>
          <w:p>
            <w:pPr>
              <w:spacing w:line="240" w:lineRule="exact"/>
              <w:jc w:val="center"/>
              <w:rPr>
                <w:rFonts w:ascii="华文仿宋" w:hAnsi="华文仿宋" w:eastAsia="华文仿宋" w:cs="华文仿宋"/>
                <w:color w:val="auto"/>
                <w:spacing w:val="-20"/>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仿宋" w:hAnsi="华文仿宋" w:eastAsia="华文仿宋"/>
                <w:color w:val="auto"/>
                <w:spacing w:val="-20"/>
              </w:rPr>
            </w:pPr>
            <w:r>
              <w:rPr>
                <w:rFonts w:hint="eastAsia" w:ascii="仿宋_GB2312" w:eastAsia="仿宋_GB2312"/>
                <w:color w:val="auto"/>
                <w:spacing w:val="-20"/>
                <w:sz w:val="18"/>
                <w:szCs w:val="18"/>
                <w:lang w:eastAsia="zh-CN"/>
              </w:rPr>
              <w:t>无</w:t>
            </w:r>
          </w:p>
        </w:tc>
        <w:tc>
          <w:tcPr>
            <w:tcW w:w="90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仿宋" w:hAnsi="华文仿宋" w:eastAsia="华文仿宋"/>
                <w:color w:val="auto"/>
                <w:spacing w:val="-20"/>
                <w:sz w:val="24"/>
                <w:szCs w:val="24"/>
              </w:rPr>
            </w:pPr>
          </w:p>
        </w:tc>
        <w:tc>
          <w:tcPr>
            <w:tcW w:w="766" w:type="dxa"/>
            <w:vMerge w:val="continue"/>
            <w:tcBorders>
              <w:left w:val="single" w:color="auto" w:sz="4" w:space="0"/>
              <w:right w:val="single" w:color="auto" w:sz="4" w:space="0"/>
            </w:tcBorders>
            <w:vAlign w:val="center"/>
          </w:tcPr>
          <w:p>
            <w:pPr>
              <w:spacing w:line="240" w:lineRule="exact"/>
              <w:rPr>
                <w:rFonts w:ascii="华文仿宋" w:hAnsi="华文仿宋" w:eastAsia="华文仿宋"/>
                <w:color w:val="auto"/>
                <w:spacing w:val="-20"/>
                <w:sz w:val="24"/>
                <w:szCs w:val="24"/>
              </w:rPr>
            </w:pPr>
          </w:p>
        </w:tc>
      </w:tr>
      <w:tr>
        <w:tblPrEx>
          <w:tblLayout w:type="fixed"/>
          <w:tblCellMar>
            <w:top w:w="0" w:type="dxa"/>
            <w:left w:w="108" w:type="dxa"/>
            <w:bottom w:w="0" w:type="dxa"/>
            <w:right w:w="108" w:type="dxa"/>
          </w:tblCellMar>
        </w:tblPrEx>
        <w:trPr>
          <w:cantSplit/>
          <w:trHeight w:val="470" w:hRule="atLeast"/>
          <w:jc w:val="center"/>
        </w:trPr>
        <w:tc>
          <w:tcPr>
            <w:tcW w:w="98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楷体_GB2312" w:hAnsi="楷体_GB2312" w:eastAsia="楷体_GB2312"/>
                <w:b/>
                <w:bCs/>
                <w:color w:val="auto"/>
                <w:spacing w:val="-20"/>
                <w:sz w:val="18"/>
                <w:szCs w:val="18"/>
              </w:rPr>
            </w:pPr>
            <w:r>
              <w:rPr>
                <w:rFonts w:hint="eastAsia" w:ascii="楷体_GB2312" w:hAnsi="楷体_GB2312" w:eastAsia="楷体_GB2312" w:cs="楷体_GB2312"/>
                <w:b/>
                <w:bCs/>
                <w:color w:val="auto"/>
                <w:spacing w:val="-20"/>
                <w:sz w:val="18"/>
                <w:szCs w:val="18"/>
              </w:rPr>
              <w:t>四川</w:t>
            </w:r>
            <w:r>
              <w:rPr>
                <w:rFonts w:hint="eastAsia" w:ascii="楷体_GB2312" w:hAnsi="楷体_GB2312" w:eastAsia="楷体_GB2312"/>
                <w:b/>
                <w:bCs/>
                <w:color w:val="auto"/>
                <w:spacing w:val="-20"/>
                <w:sz w:val="18"/>
                <w:szCs w:val="18"/>
              </w:rPr>
              <w:t>尼众佛学院（1名）</w:t>
            </w:r>
          </w:p>
        </w:tc>
        <w:tc>
          <w:tcPr>
            <w:tcW w:w="53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240" w:lineRule="exact"/>
              <w:jc w:val="center"/>
              <w:rPr>
                <w:rFonts w:ascii="华文仿宋" w:hAnsi="华文仿宋" w:eastAsia="华文仿宋"/>
                <w:color w:val="auto"/>
                <w:spacing w:val="-20"/>
                <w:sz w:val="18"/>
                <w:szCs w:val="18"/>
              </w:rPr>
            </w:pPr>
            <w:r>
              <w:rPr>
                <w:rFonts w:hint="eastAsia" w:ascii="华文仿宋" w:hAnsi="华文仿宋" w:eastAsia="华文仿宋"/>
                <w:color w:val="auto"/>
                <w:spacing w:val="-20"/>
                <w:sz w:val="18"/>
                <w:szCs w:val="18"/>
              </w:rPr>
              <w:t>专技岗</w:t>
            </w:r>
          </w:p>
        </w:tc>
        <w:tc>
          <w:tcPr>
            <w:tcW w:w="9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仿宋" w:hAnsi="华文仿宋" w:eastAsia="华文仿宋"/>
                <w:color w:val="auto"/>
                <w:spacing w:val="-17"/>
                <w:sz w:val="18"/>
                <w:szCs w:val="18"/>
              </w:rPr>
            </w:pPr>
            <w:r>
              <w:rPr>
                <w:rFonts w:hint="eastAsia" w:ascii="华文仿宋" w:hAnsi="华文仿宋" w:eastAsia="华文仿宋"/>
                <w:color w:val="auto"/>
                <w:spacing w:val="-17"/>
                <w:sz w:val="18"/>
                <w:szCs w:val="18"/>
              </w:rPr>
              <w:t>公共课教师</w:t>
            </w:r>
          </w:p>
        </w:tc>
        <w:tc>
          <w:tcPr>
            <w:tcW w:w="862"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仿宋_GB2312" w:eastAsia="仿宋_GB2312"/>
                <w:color w:val="auto"/>
                <w:spacing w:val="-20"/>
                <w:sz w:val="18"/>
                <w:szCs w:val="18"/>
                <w:lang w:val="en-US" w:eastAsia="zh-CN"/>
              </w:rPr>
            </w:pPr>
            <w:r>
              <w:rPr>
                <w:rFonts w:hint="default" w:ascii="仿宋_GB2312" w:eastAsia="仿宋_GB2312"/>
                <w:color w:val="auto"/>
                <w:spacing w:val="-20"/>
                <w:sz w:val="18"/>
                <w:szCs w:val="18"/>
                <w:lang w:val="en-US" w:eastAsia="zh-CN"/>
              </w:rPr>
              <w:t>19050011</w:t>
            </w:r>
          </w:p>
        </w:tc>
        <w:tc>
          <w:tcPr>
            <w:tcW w:w="5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仿宋" w:hAnsi="华文仿宋" w:eastAsia="华文仿宋" w:cs="华文仿宋"/>
                <w:color w:val="auto"/>
                <w:spacing w:val="-20"/>
                <w:sz w:val="18"/>
                <w:szCs w:val="18"/>
              </w:rPr>
            </w:pPr>
            <w:r>
              <w:rPr>
                <w:rFonts w:hint="eastAsia" w:ascii="华文仿宋" w:hAnsi="华文仿宋" w:eastAsia="华文仿宋" w:cs="华文仿宋"/>
                <w:color w:val="auto"/>
                <w:spacing w:val="-20"/>
                <w:sz w:val="18"/>
                <w:szCs w:val="18"/>
              </w:rPr>
              <w:t>1</w:t>
            </w:r>
          </w:p>
        </w:tc>
        <w:tc>
          <w:tcPr>
            <w:tcW w:w="700" w:type="dxa"/>
            <w:vMerge w:val="continue"/>
            <w:tcBorders>
              <w:left w:val="nil"/>
              <w:bottom w:val="single" w:color="auto" w:sz="4" w:space="0"/>
              <w:right w:val="single" w:color="auto" w:sz="4" w:space="0"/>
            </w:tcBorders>
            <w:vAlign w:val="center"/>
          </w:tcPr>
          <w:p>
            <w:pPr>
              <w:spacing w:line="220" w:lineRule="exact"/>
              <w:jc w:val="center"/>
              <w:rPr>
                <w:rFonts w:ascii="华文仿宋" w:hAnsi="华文仿宋" w:eastAsia="华文仿宋"/>
                <w:color w:val="auto"/>
                <w:spacing w:val="-20"/>
                <w:sz w:val="18"/>
                <w:szCs w:val="18"/>
              </w:rPr>
            </w:pPr>
          </w:p>
        </w:tc>
        <w:tc>
          <w:tcPr>
            <w:tcW w:w="730" w:type="dxa"/>
            <w:vMerge w:val="continue"/>
            <w:tcBorders>
              <w:left w:val="nil"/>
              <w:bottom w:val="single" w:color="auto" w:sz="4" w:space="0"/>
              <w:right w:val="single" w:color="auto" w:sz="4" w:space="0"/>
            </w:tcBorders>
            <w:vAlign w:val="center"/>
          </w:tcPr>
          <w:p>
            <w:pPr>
              <w:spacing w:line="240" w:lineRule="exact"/>
              <w:jc w:val="center"/>
              <w:rPr>
                <w:rFonts w:ascii="华文仿宋" w:hAnsi="华文仿宋" w:eastAsia="华文仿宋"/>
                <w:color w:val="auto"/>
                <w:spacing w:val="-20"/>
                <w:sz w:val="18"/>
                <w:szCs w:val="18"/>
              </w:rPr>
            </w:pPr>
          </w:p>
        </w:tc>
        <w:tc>
          <w:tcPr>
            <w:tcW w:w="2215" w:type="dxa"/>
            <w:vMerge w:val="continue"/>
            <w:tcBorders>
              <w:left w:val="nil"/>
              <w:bottom w:val="single" w:color="auto" w:sz="4" w:space="0"/>
              <w:right w:val="single" w:color="auto" w:sz="4" w:space="0"/>
            </w:tcBorders>
            <w:vAlign w:val="center"/>
          </w:tcPr>
          <w:p>
            <w:pPr>
              <w:spacing w:line="220" w:lineRule="exact"/>
              <w:rPr>
                <w:rFonts w:ascii="华文仿宋" w:hAnsi="华文仿宋" w:eastAsia="华文仿宋" w:cs="华文仿宋"/>
                <w:color w:val="auto"/>
                <w:spacing w:val="-17"/>
                <w:sz w:val="18"/>
                <w:szCs w:val="18"/>
              </w:rPr>
            </w:pPr>
          </w:p>
        </w:tc>
        <w:tc>
          <w:tcPr>
            <w:tcW w:w="1871" w:type="dxa"/>
            <w:vMerge w:val="continue"/>
            <w:tcBorders>
              <w:left w:val="nil"/>
              <w:bottom w:val="single" w:color="auto" w:sz="4" w:space="0"/>
              <w:right w:val="single" w:color="000000" w:sz="4" w:space="0"/>
            </w:tcBorders>
            <w:vAlign w:val="center"/>
          </w:tcPr>
          <w:p>
            <w:pPr>
              <w:widowControl/>
              <w:spacing w:line="240" w:lineRule="exact"/>
              <w:jc w:val="center"/>
              <w:rPr>
                <w:rFonts w:ascii="仿宋_GB2312" w:hAnsi="仿宋_GB2312" w:eastAsia="仿宋_GB2312" w:cs="仿宋_GB2312"/>
                <w:color w:val="auto"/>
                <w:spacing w:val="-17"/>
                <w:sz w:val="18"/>
                <w:szCs w:val="18"/>
              </w:rPr>
            </w:pPr>
          </w:p>
        </w:tc>
        <w:tc>
          <w:tcPr>
            <w:tcW w:w="1284" w:type="dxa"/>
            <w:vMerge w:val="continue"/>
            <w:tcBorders>
              <w:left w:val="nil"/>
              <w:bottom w:val="single" w:color="auto" w:sz="4" w:space="0"/>
              <w:right w:val="single" w:color="auto" w:sz="4" w:space="0"/>
            </w:tcBorders>
            <w:vAlign w:val="center"/>
          </w:tcPr>
          <w:p>
            <w:pPr>
              <w:spacing w:line="200" w:lineRule="exact"/>
              <w:rPr>
                <w:rFonts w:ascii="仿宋_GB2312" w:hAnsi="仿宋_GB2312" w:eastAsia="仿宋_GB2312" w:cs="仿宋_GB2312"/>
                <w:color w:val="auto"/>
                <w:spacing w:val="-11"/>
                <w:sz w:val="18"/>
                <w:szCs w:val="18"/>
              </w:rPr>
            </w:pPr>
          </w:p>
        </w:tc>
        <w:tc>
          <w:tcPr>
            <w:tcW w:w="738"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华文仿宋" w:hAnsi="华文仿宋" w:eastAsia="华文仿宋" w:cs="华文仿宋"/>
                <w:color w:val="auto"/>
                <w:spacing w:val="-20"/>
              </w:rPr>
            </w:pPr>
          </w:p>
        </w:tc>
        <w:tc>
          <w:tcPr>
            <w:tcW w:w="59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华文仿宋" w:hAnsi="华文仿宋" w:eastAsia="华文仿宋" w:cs="华文仿宋"/>
                <w:color w:val="auto"/>
                <w:spacing w:val="-20"/>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仿宋" w:hAnsi="华文仿宋" w:eastAsia="华文仿宋"/>
                <w:color w:val="auto"/>
                <w:spacing w:val="-20"/>
              </w:rPr>
            </w:pPr>
            <w:r>
              <w:rPr>
                <w:rFonts w:hint="eastAsia" w:ascii="仿宋_GB2312" w:eastAsia="仿宋_GB2312"/>
                <w:color w:val="auto"/>
                <w:spacing w:val="-20"/>
                <w:sz w:val="18"/>
                <w:szCs w:val="18"/>
                <w:lang w:eastAsia="zh-CN"/>
              </w:rPr>
              <w:t>无</w:t>
            </w:r>
          </w:p>
        </w:tc>
        <w:tc>
          <w:tcPr>
            <w:tcW w:w="90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仿宋" w:hAnsi="华文仿宋" w:eastAsia="华文仿宋"/>
                <w:color w:val="auto"/>
                <w:spacing w:val="-20"/>
                <w:sz w:val="24"/>
                <w:szCs w:val="24"/>
              </w:rPr>
            </w:pPr>
            <w:r>
              <w:rPr>
                <w:rFonts w:hint="eastAsia" w:ascii="华文仿宋" w:hAnsi="华文仿宋" w:eastAsia="华文仿宋" w:cs="华文仿宋"/>
                <w:color w:val="auto"/>
                <w:spacing w:val="-28"/>
                <w:sz w:val="18"/>
                <w:szCs w:val="18"/>
              </w:rPr>
              <w:t>特殊岗位限女性报考</w:t>
            </w:r>
          </w:p>
        </w:tc>
        <w:tc>
          <w:tcPr>
            <w:tcW w:w="766" w:type="dxa"/>
            <w:vMerge w:val="continue"/>
            <w:tcBorders>
              <w:left w:val="single" w:color="auto" w:sz="4" w:space="0"/>
              <w:bottom w:val="single" w:color="auto" w:sz="4" w:space="0"/>
              <w:right w:val="single" w:color="auto" w:sz="4" w:space="0"/>
            </w:tcBorders>
            <w:vAlign w:val="center"/>
          </w:tcPr>
          <w:p>
            <w:pPr>
              <w:spacing w:line="240" w:lineRule="exact"/>
              <w:rPr>
                <w:rFonts w:hint="eastAsia" w:ascii="华文仿宋" w:hAnsi="华文仿宋" w:eastAsia="华文仿宋" w:cs="华文仿宋"/>
                <w:color w:val="auto"/>
                <w:spacing w:val="-28"/>
                <w:sz w:val="18"/>
                <w:szCs w:val="18"/>
              </w:rPr>
            </w:pPr>
          </w:p>
        </w:tc>
      </w:tr>
    </w:tbl>
    <w:p>
      <w:pPr>
        <w:keepNext w:val="0"/>
        <w:keepLines w:val="0"/>
        <w:pageBreakBefore w:val="0"/>
        <w:widowControl w:val="0"/>
        <w:tabs>
          <w:tab w:val="left" w:pos="8820"/>
        </w:tabs>
        <w:kinsoku/>
        <w:wordWrap/>
        <w:overflowPunct/>
        <w:topLinePunct w:val="0"/>
        <w:autoSpaceDE/>
        <w:autoSpaceDN/>
        <w:bidi w:val="0"/>
        <w:adjustRightInd/>
        <w:spacing w:line="600" w:lineRule="exact"/>
        <w:jc w:val="center"/>
        <w:textAlignment w:val="auto"/>
        <w:outlineLvl w:val="9"/>
        <w:rPr>
          <w:rFonts w:hint="eastAsia" w:ascii="方正小标宋简体" w:hAnsi="方正小标宋简体" w:eastAsia="方正小标宋简体" w:cs="方正小标宋简体"/>
          <w:color w:val="auto"/>
          <w:spacing w:val="-6"/>
          <w:sz w:val="32"/>
          <w:szCs w:val="32"/>
        </w:rPr>
      </w:pPr>
      <w:r>
        <w:rPr>
          <w:rFonts w:hint="eastAsia" w:ascii="方正小标宋简体" w:hAnsi="方正小标宋简体" w:eastAsia="方正小标宋简体" w:cs="方正小标宋简体"/>
          <w:color w:val="auto"/>
          <w:spacing w:val="-6"/>
          <w:sz w:val="32"/>
          <w:szCs w:val="32"/>
        </w:rPr>
        <w:t>四川省民族宗教委直属事业单位</w:t>
      </w:r>
      <w:r>
        <w:rPr>
          <w:rFonts w:ascii="方正小标宋简体" w:hAnsi="方正小标宋简体" w:eastAsia="方正小标宋简体" w:cs="方正小标宋简体"/>
          <w:color w:val="auto"/>
          <w:spacing w:val="-6"/>
          <w:sz w:val="32"/>
          <w:szCs w:val="32"/>
        </w:rPr>
        <w:t>2020</w:t>
      </w:r>
      <w:r>
        <w:rPr>
          <w:rFonts w:hint="eastAsia" w:ascii="方正小标宋简体" w:hAnsi="方正小标宋简体" w:eastAsia="方正小标宋简体" w:cs="方正小标宋简体"/>
          <w:color w:val="auto"/>
          <w:spacing w:val="-6"/>
          <w:sz w:val="32"/>
          <w:szCs w:val="32"/>
        </w:rPr>
        <w:t>年</w:t>
      </w:r>
      <w:r>
        <w:rPr>
          <w:rFonts w:hint="eastAsia" w:ascii="方正小标宋简体" w:hAnsi="方正小标宋简体" w:eastAsia="方正小标宋简体" w:cs="方正小标宋简体"/>
          <w:color w:val="auto"/>
          <w:spacing w:val="-6"/>
          <w:sz w:val="32"/>
          <w:szCs w:val="32"/>
          <w:lang w:val="en-US" w:eastAsia="zh-CN"/>
        </w:rPr>
        <w:t>12月</w:t>
      </w:r>
      <w:r>
        <w:rPr>
          <w:rFonts w:hint="eastAsia" w:ascii="方正小标宋简体" w:hAnsi="方正小标宋简体" w:eastAsia="方正小标宋简体" w:cs="方正小标宋简体"/>
          <w:color w:val="auto"/>
          <w:spacing w:val="-6"/>
          <w:sz w:val="32"/>
          <w:szCs w:val="32"/>
        </w:rPr>
        <w:t>公开招聘工作人员岗位和条件要求一览表</w:t>
      </w:r>
    </w:p>
    <w:p>
      <w:pPr>
        <w:keepNext w:val="0"/>
        <w:keepLines w:val="0"/>
        <w:pageBreakBefore w:val="0"/>
        <w:widowControl w:val="0"/>
        <w:kinsoku/>
        <w:wordWrap/>
        <w:overflowPunct/>
        <w:topLinePunct w:val="0"/>
        <w:autoSpaceDE/>
        <w:autoSpaceDN/>
        <w:bidi w:val="0"/>
        <w:adjustRightInd/>
        <w:snapToGrid/>
        <w:spacing w:before="157" w:beforeLines="50" w:line="220" w:lineRule="exact"/>
        <w:jc w:val="both"/>
        <w:textAlignment w:val="auto"/>
        <w:outlineLvl w:val="9"/>
        <w:rPr>
          <w:color w:val="auto"/>
        </w:rPr>
      </w:pPr>
      <w:r>
        <w:rPr>
          <w:rFonts w:hint="eastAsia" w:ascii="仿宋_GB2312" w:hAnsi="仿宋_GB2312" w:eastAsia="仿宋_GB2312" w:cs="仿宋_GB2312"/>
          <w:color w:val="auto"/>
          <w:sz w:val="21"/>
          <w:szCs w:val="21"/>
        </w:rPr>
        <w:t>注：1、本表各岗位相关的其他条件及要求请见本公告正文</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2、报考者本人有效学位证所载学位应与拟报考岗位的“学位”资格要求相符；报考者本人有效的毕业证所载学历和专业名称，应与拟报考岗位的“学历”和“专业条件要求”两栏分别相符</w:t>
      </w:r>
      <w:r>
        <w:rPr>
          <w:rFonts w:hint="eastAsia" w:ascii="仿宋_GB2312" w:hAnsi="仿宋_GB2312" w:eastAsia="仿宋_GB2312" w:cs="仿宋_GB2312"/>
          <w:color w:val="auto"/>
          <w:sz w:val="21"/>
          <w:szCs w:val="21"/>
          <w:lang w:eastAsia="zh-CN"/>
        </w:rPr>
        <w:t>。</w:t>
      </w:r>
    </w:p>
    <w:sectPr>
      <w:pgSz w:w="16838" w:h="11906" w:orient="landscape"/>
      <w:pgMar w:top="1179" w:right="1383" w:bottom="1179" w:left="138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0" distR="0" simplePos="0" relativeHeight="251659264" behindDoc="0" locked="0" layoutInCell="0" allowOverlap="1">
              <wp:simplePos x="0" y="0"/>
              <wp:positionH relativeFrom="margin">
                <wp:align>outside</wp:align>
              </wp:positionH>
              <wp:positionV relativeFrom="paragraph">
                <wp:posOffset>0</wp:posOffset>
              </wp:positionV>
              <wp:extent cx="600710" cy="172720"/>
              <wp:effectExtent l="0" t="0" r="0" b="0"/>
              <wp:wrapSquare wrapText="bothSides"/>
              <wp:docPr id="1" name="文本框 1"/>
              <wp:cNvGraphicFramePr/>
              <a:graphic xmlns:a="http://schemas.openxmlformats.org/drawingml/2006/main">
                <a:graphicData uri="http://schemas.microsoft.com/office/word/2010/wordprocessingShape">
                  <wps:wsp>
                    <wps:cNvSpPr txBox="1"/>
                    <wps:spPr>
                      <a:xfrm>
                        <a:off x="0" y="0"/>
                        <a:ext cx="600710" cy="172720"/>
                      </a:xfrm>
                      <a:prstGeom prst="rect">
                        <a:avLst/>
                      </a:prstGeom>
                      <a:noFill/>
                      <a:ln w="9525">
                        <a:noFill/>
                      </a:ln>
                    </wps:spPr>
                    <wps:txbx>
                      <w:txbxContent>
                        <w:p>
                          <w:pPr>
                            <w:pStyle w:val="2"/>
                            <w:ind w:left="210" w:leftChars="100" w:right="210" w:rightChars="100"/>
                            <w:rPr>
                              <w:rFonts w:hint="eastAsia"/>
                              <w:sz w:val="21"/>
                              <w:szCs w:val="21"/>
                            </w:rPr>
                          </w:pPr>
                          <w:r>
                            <w:rPr>
                              <w:rFonts w:hint="eastAsia"/>
                              <w:sz w:val="21"/>
                              <w:szCs w:val="21"/>
                            </w:rPr>
                            <w:t>·</w:t>
                          </w:r>
                          <w:r>
                            <w:rPr>
                              <w:sz w:val="21"/>
                              <w:szCs w:val="21"/>
                            </w:rPr>
                            <w:fldChar w:fldCharType="begin"/>
                          </w:r>
                          <w:r>
                            <w:rPr>
                              <w:sz w:val="21"/>
                              <w:szCs w:val="21"/>
                            </w:rPr>
                            <w:instrText xml:space="preserve">PAGE  </w:instrText>
                          </w:r>
                          <w:r>
                            <w:rPr>
                              <w:sz w:val="21"/>
                              <w:szCs w:val="21"/>
                            </w:rPr>
                            <w:fldChar w:fldCharType="separate"/>
                          </w:r>
                          <w:r>
                            <w:rPr>
                              <w:sz w:val="21"/>
                              <w:szCs w:val="21"/>
                            </w:rPr>
                            <w:t>29</w:t>
                          </w:r>
                          <w:r>
                            <w:rPr>
                              <w:sz w:val="21"/>
                              <w:szCs w:val="21"/>
                            </w:rPr>
                            <w:fldChar w:fldCharType="end"/>
                          </w:r>
                          <w:r>
                            <w:rPr>
                              <w:rFonts w:hint="eastAsia"/>
                              <w:sz w:val="21"/>
                              <w:szCs w:val="21"/>
                            </w:rPr>
                            <w:t>·</w:t>
                          </w:r>
                        </w:p>
                      </w:txbxContent>
                    </wps:txbx>
                    <wps:bodyPr lIns="0" tIns="0" rIns="0" bIns="0" upright="1"/>
                  </wps:wsp>
                </a:graphicData>
              </a:graphic>
            </wp:anchor>
          </w:drawing>
        </mc:Choice>
        <mc:Fallback>
          <w:pict>
            <v:shape id="_x0000_s1026" o:spid="_x0000_s1026" o:spt="202" type="#_x0000_t202" style="position:absolute;left:0pt;margin-top:0pt;height:13.6pt;width:47.3pt;mso-position-horizontal:outside;mso-position-horizontal-relative:margin;mso-wrap-distance-bottom:0pt;mso-wrap-distance-left:0pt;mso-wrap-distance-right:0pt;mso-wrap-distance-top:0pt;z-index:251659264;mso-width-relative:page;mso-height-relative:page;" filled="f" stroked="f" coordsize="21600,21600" o:allowincell="f" o:gfxdata="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eDtzMNQAAAADAQAADwAAAAAA&#10;AAABACAAAAAiAAAAZHJzL2Rvd25yZXYueG1sUEsBAhQAFAAAAAgAh07iQCWLviOlAQAALAMAAA4A&#10;AAAAAAAAAQAgAAAAIwEAAGRycy9lMm9Eb2MueG1sUEsFBgAAAAAGAAYAWQEAADoFAAAAAA==&#10;">
              <v:fill on="f" focussize="0,0"/>
              <v:stroke on="f"/>
              <v:imagedata o:title=""/>
              <o:lock v:ext="edit" aspectratio="f"/>
              <v:textbox inset="0mm,0mm,0mm,0mm">
                <w:txbxContent>
                  <w:p>
                    <w:pPr>
                      <w:pStyle w:val="2"/>
                      <w:ind w:left="210" w:leftChars="100" w:right="210" w:rightChars="100"/>
                      <w:rPr>
                        <w:rFonts w:hint="eastAsia"/>
                        <w:sz w:val="21"/>
                        <w:szCs w:val="21"/>
                      </w:rPr>
                    </w:pPr>
                    <w:r>
                      <w:rPr>
                        <w:rFonts w:hint="eastAsia"/>
                        <w:sz w:val="21"/>
                        <w:szCs w:val="21"/>
                      </w:rPr>
                      <w:t>·</w:t>
                    </w:r>
                    <w:r>
                      <w:rPr>
                        <w:sz w:val="21"/>
                        <w:szCs w:val="21"/>
                      </w:rPr>
                      <w:fldChar w:fldCharType="begin"/>
                    </w:r>
                    <w:r>
                      <w:rPr>
                        <w:sz w:val="21"/>
                        <w:szCs w:val="21"/>
                      </w:rPr>
                      <w:instrText xml:space="preserve">PAGE  </w:instrText>
                    </w:r>
                    <w:r>
                      <w:rPr>
                        <w:sz w:val="21"/>
                        <w:szCs w:val="21"/>
                      </w:rPr>
                      <w:fldChar w:fldCharType="separate"/>
                    </w:r>
                    <w:r>
                      <w:rPr>
                        <w:sz w:val="21"/>
                        <w:szCs w:val="21"/>
                      </w:rPr>
                      <w:t>29</w:t>
                    </w:r>
                    <w:r>
                      <w:rPr>
                        <w:sz w:val="21"/>
                        <w:szCs w:val="21"/>
                      </w:rPr>
                      <w:fldChar w:fldCharType="end"/>
                    </w:r>
                    <w:r>
                      <w:rPr>
                        <w:rFonts w:hint="eastAsia"/>
                        <w:sz w:val="21"/>
                        <w:szCs w:val="21"/>
                      </w:rPr>
                      <w:t>·</w:t>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0" distR="0" simplePos="0" relativeHeight="251658240" behindDoc="0" locked="0" layoutInCell="0" allowOverlap="1">
              <wp:simplePos x="0" y="0"/>
              <wp:positionH relativeFrom="margin">
                <wp:align>outside</wp:align>
              </wp:positionH>
              <wp:positionV relativeFrom="paragraph">
                <wp:posOffset>0</wp:posOffset>
              </wp:positionV>
              <wp:extent cx="400685" cy="172720"/>
              <wp:effectExtent l="0" t="0" r="0" b="0"/>
              <wp:wrapSquare wrapText="bothSides"/>
              <wp:docPr id="2" name="文本框 2"/>
              <wp:cNvGraphicFramePr/>
              <a:graphic xmlns:a="http://schemas.openxmlformats.org/drawingml/2006/main">
                <a:graphicData uri="http://schemas.microsoft.com/office/word/2010/wordprocessingShape">
                  <wps:wsp>
                    <wps:cNvSpPr txBox="1"/>
                    <wps:spPr>
                      <a:xfrm>
                        <a:off x="0" y="0"/>
                        <a:ext cx="400685" cy="172720"/>
                      </a:xfrm>
                      <a:prstGeom prst="rect">
                        <a:avLst/>
                      </a:prstGeom>
                      <a:noFill/>
                      <a:ln w="9525">
                        <a:noFill/>
                      </a:ln>
                    </wps:spPr>
                    <wps:txbx>
                      <w:txbxContent>
                        <w:p>
                          <w:pPr>
                            <w:pStyle w:val="2"/>
                            <w:rPr>
                              <w:rFonts w:hint="eastAsia"/>
                              <w:sz w:val="21"/>
                              <w:szCs w:val="21"/>
                            </w:rPr>
                          </w:pPr>
                          <w:r>
                            <w:rPr>
                              <w:rFonts w:hint="eastAsia"/>
                              <w:sz w:val="21"/>
                              <w:szCs w:val="21"/>
                            </w:rPr>
                            <w:t>·</w:t>
                          </w:r>
                          <w:r>
                            <w:rPr>
                              <w:sz w:val="21"/>
                              <w:szCs w:val="21"/>
                            </w:rPr>
                            <w:fldChar w:fldCharType="begin"/>
                          </w:r>
                          <w:r>
                            <w:rPr>
                              <w:sz w:val="21"/>
                              <w:szCs w:val="21"/>
                            </w:rPr>
                            <w:instrText xml:space="preserve">PAGE  </w:instrText>
                          </w:r>
                          <w:r>
                            <w:rPr>
                              <w:sz w:val="21"/>
                              <w:szCs w:val="21"/>
                            </w:rPr>
                            <w:fldChar w:fldCharType="separate"/>
                          </w:r>
                          <w:r>
                            <w:rPr>
                              <w:sz w:val="21"/>
                              <w:szCs w:val="21"/>
                            </w:rPr>
                            <w:t>30</w:t>
                          </w:r>
                          <w:r>
                            <w:rPr>
                              <w:sz w:val="21"/>
                              <w:szCs w:val="21"/>
                            </w:rPr>
                            <w:fldChar w:fldCharType="end"/>
                          </w:r>
                          <w:r>
                            <w:rPr>
                              <w:rFonts w:hint="eastAsia"/>
                              <w:sz w:val="21"/>
                              <w:szCs w:val="21"/>
                            </w:rPr>
                            <w:t>·</w:t>
                          </w:r>
                        </w:p>
                      </w:txbxContent>
                    </wps:txbx>
                    <wps:bodyPr lIns="0" tIns="0" rIns="0" bIns="0" upright="1"/>
                  </wps:wsp>
                </a:graphicData>
              </a:graphic>
            </wp:anchor>
          </w:drawing>
        </mc:Choice>
        <mc:Fallback>
          <w:pict>
            <v:shape id="_x0000_s1026" o:spid="_x0000_s1026" o:spt="202" type="#_x0000_t202" style="position:absolute;left:0pt;margin-top:0pt;height:13.6pt;width:31.55pt;mso-position-horizontal:outside;mso-position-horizontal-relative:margin;mso-wrap-distance-bottom:0pt;mso-wrap-distance-left:0pt;mso-wrap-distance-right:0pt;mso-wrap-distance-top:0pt;z-index:251658240;mso-width-relative:page;mso-height-relative:page;" filled="f" stroked="f" coordsize="21600,21600" o:allowincell="f" o:gfxdata="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LJCFbrTAAAAAwEAAA8AAAAA&#10;AAAAAQAgAAAAIgAAAGRycy9kb3ducmV2LnhtbFBLAQIUABQAAAAIAIdO4kB2ijtzpwEAACwDAAAO&#10;AAAAAAAAAAEAIAAAACIBAABkcnMvZTJvRG9jLnhtbFBLBQYAAAAABgAGAFkBAAA7BQAAAAA=&#10;">
              <v:fill on="f" focussize="0,0"/>
              <v:stroke on="f"/>
              <v:imagedata o:title=""/>
              <o:lock v:ext="edit" aspectratio="f"/>
              <v:textbox inset="0mm,0mm,0mm,0mm">
                <w:txbxContent>
                  <w:p>
                    <w:pPr>
                      <w:pStyle w:val="2"/>
                      <w:rPr>
                        <w:rFonts w:hint="eastAsia"/>
                        <w:sz w:val="21"/>
                        <w:szCs w:val="21"/>
                      </w:rPr>
                    </w:pPr>
                    <w:r>
                      <w:rPr>
                        <w:rFonts w:hint="eastAsia"/>
                        <w:sz w:val="21"/>
                        <w:szCs w:val="21"/>
                      </w:rPr>
                      <w:t>·</w:t>
                    </w:r>
                    <w:r>
                      <w:rPr>
                        <w:sz w:val="21"/>
                        <w:szCs w:val="21"/>
                      </w:rPr>
                      <w:fldChar w:fldCharType="begin"/>
                    </w:r>
                    <w:r>
                      <w:rPr>
                        <w:sz w:val="21"/>
                        <w:szCs w:val="21"/>
                      </w:rPr>
                      <w:instrText xml:space="preserve">PAGE  </w:instrText>
                    </w:r>
                    <w:r>
                      <w:rPr>
                        <w:sz w:val="21"/>
                        <w:szCs w:val="21"/>
                      </w:rPr>
                      <w:fldChar w:fldCharType="separate"/>
                    </w:r>
                    <w:r>
                      <w:rPr>
                        <w:sz w:val="21"/>
                        <w:szCs w:val="21"/>
                      </w:rPr>
                      <w:t>30</w:t>
                    </w:r>
                    <w:r>
                      <w:rPr>
                        <w:sz w:val="21"/>
                        <w:szCs w:val="21"/>
                      </w:rPr>
                      <w:fldChar w:fldCharType="end"/>
                    </w:r>
                    <w:r>
                      <w:rPr>
                        <w:rFonts w:hint="eastAsia"/>
                        <w:sz w:val="21"/>
                        <w:szCs w:val="21"/>
                      </w:rPr>
                      <w:t>·</w:t>
                    </w:r>
                  </w:p>
                </w:txbxContent>
              </v:textbox>
              <w10:wrap type="squar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300" w:lineRule="exact"/>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5166"/>
      </w:tabs>
      <w:spacing w:line="300" w:lineRule="exact"/>
      <w:rPr>
        <w:rFonts w:hint="eastAsia"/>
        <w:sz w:val="21"/>
        <w:szCs w:val="21"/>
      </w:rPr>
    </w:pPr>
  </w:p>
  <w:p>
    <w:pPr>
      <w:pStyle w:val="3"/>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5C632C"/>
    <w:rsid w:val="001405BB"/>
    <w:rsid w:val="00BD476F"/>
    <w:rsid w:val="011F3B3F"/>
    <w:rsid w:val="012753A9"/>
    <w:rsid w:val="01B50FAC"/>
    <w:rsid w:val="01D2216A"/>
    <w:rsid w:val="020256BD"/>
    <w:rsid w:val="023D34DE"/>
    <w:rsid w:val="02744C84"/>
    <w:rsid w:val="02AB02E6"/>
    <w:rsid w:val="02BE59EF"/>
    <w:rsid w:val="02C979FD"/>
    <w:rsid w:val="03222B47"/>
    <w:rsid w:val="0410221B"/>
    <w:rsid w:val="042A6B52"/>
    <w:rsid w:val="04716900"/>
    <w:rsid w:val="047831C1"/>
    <w:rsid w:val="04B84010"/>
    <w:rsid w:val="04CD2AC2"/>
    <w:rsid w:val="05093FFE"/>
    <w:rsid w:val="053A31A9"/>
    <w:rsid w:val="05C6311E"/>
    <w:rsid w:val="05E23A6A"/>
    <w:rsid w:val="05EF21CD"/>
    <w:rsid w:val="062F4831"/>
    <w:rsid w:val="06AE0EAF"/>
    <w:rsid w:val="079213C9"/>
    <w:rsid w:val="07E31F6E"/>
    <w:rsid w:val="08131774"/>
    <w:rsid w:val="0823010D"/>
    <w:rsid w:val="0834075D"/>
    <w:rsid w:val="08843661"/>
    <w:rsid w:val="08FA6603"/>
    <w:rsid w:val="092C05C7"/>
    <w:rsid w:val="093629B8"/>
    <w:rsid w:val="094B2325"/>
    <w:rsid w:val="09953AF2"/>
    <w:rsid w:val="099A4318"/>
    <w:rsid w:val="09D2165F"/>
    <w:rsid w:val="09ED5059"/>
    <w:rsid w:val="0A36281A"/>
    <w:rsid w:val="0A446943"/>
    <w:rsid w:val="0A7E6898"/>
    <w:rsid w:val="0A813DF3"/>
    <w:rsid w:val="0A8D19B7"/>
    <w:rsid w:val="0A927EF3"/>
    <w:rsid w:val="0AA410E1"/>
    <w:rsid w:val="0ACB0FF5"/>
    <w:rsid w:val="0AFC31FF"/>
    <w:rsid w:val="0B2325EF"/>
    <w:rsid w:val="0C160D8E"/>
    <w:rsid w:val="0C650AED"/>
    <w:rsid w:val="0CAB0C5C"/>
    <w:rsid w:val="0CF467D3"/>
    <w:rsid w:val="0D384EA8"/>
    <w:rsid w:val="0D986F74"/>
    <w:rsid w:val="0DE876E7"/>
    <w:rsid w:val="0E284F51"/>
    <w:rsid w:val="0EB2620A"/>
    <w:rsid w:val="0F0E1B16"/>
    <w:rsid w:val="0F777C0B"/>
    <w:rsid w:val="0FA227C5"/>
    <w:rsid w:val="0FC83F51"/>
    <w:rsid w:val="0FD145CC"/>
    <w:rsid w:val="0FD43DD0"/>
    <w:rsid w:val="0FD50D49"/>
    <w:rsid w:val="0FD70E4B"/>
    <w:rsid w:val="101007DE"/>
    <w:rsid w:val="1063391E"/>
    <w:rsid w:val="106F0FED"/>
    <w:rsid w:val="108978C5"/>
    <w:rsid w:val="10C51A92"/>
    <w:rsid w:val="11040772"/>
    <w:rsid w:val="112B483F"/>
    <w:rsid w:val="1140529C"/>
    <w:rsid w:val="11416799"/>
    <w:rsid w:val="11EB3F9C"/>
    <w:rsid w:val="12013E15"/>
    <w:rsid w:val="120B24E4"/>
    <w:rsid w:val="12591BDB"/>
    <w:rsid w:val="12672A11"/>
    <w:rsid w:val="128B4CAE"/>
    <w:rsid w:val="12BD249F"/>
    <w:rsid w:val="12FC620A"/>
    <w:rsid w:val="136A42AF"/>
    <w:rsid w:val="13CC557E"/>
    <w:rsid w:val="13E13593"/>
    <w:rsid w:val="141470BB"/>
    <w:rsid w:val="144465FE"/>
    <w:rsid w:val="145C2EA8"/>
    <w:rsid w:val="14615671"/>
    <w:rsid w:val="147F1722"/>
    <w:rsid w:val="149A10D1"/>
    <w:rsid w:val="149F67D4"/>
    <w:rsid w:val="14B622A9"/>
    <w:rsid w:val="14B80E01"/>
    <w:rsid w:val="14FC2B5E"/>
    <w:rsid w:val="152B2DDF"/>
    <w:rsid w:val="153545EC"/>
    <w:rsid w:val="1588360A"/>
    <w:rsid w:val="15DC0CBC"/>
    <w:rsid w:val="171529DB"/>
    <w:rsid w:val="172647F9"/>
    <w:rsid w:val="175C7A2D"/>
    <w:rsid w:val="177F758A"/>
    <w:rsid w:val="17A9161F"/>
    <w:rsid w:val="17D42464"/>
    <w:rsid w:val="1836396A"/>
    <w:rsid w:val="186B5216"/>
    <w:rsid w:val="18A5615E"/>
    <w:rsid w:val="18B940D7"/>
    <w:rsid w:val="1900789B"/>
    <w:rsid w:val="19432A11"/>
    <w:rsid w:val="196336C7"/>
    <w:rsid w:val="197154D3"/>
    <w:rsid w:val="19DA333C"/>
    <w:rsid w:val="19E812EE"/>
    <w:rsid w:val="1A025E55"/>
    <w:rsid w:val="1A4D343A"/>
    <w:rsid w:val="1B845EE3"/>
    <w:rsid w:val="1B981406"/>
    <w:rsid w:val="1BC341B7"/>
    <w:rsid w:val="1BC71AC9"/>
    <w:rsid w:val="1BC937A9"/>
    <w:rsid w:val="1BE310D5"/>
    <w:rsid w:val="1BE76D3F"/>
    <w:rsid w:val="1C2F530B"/>
    <w:rsid w:val="1C3007C9"/>
    <w:rsid w:val="1C42261B"/>
    <w:rsid w:val="1C4E243C"/>
    <w:rsid w:val="1C5625B3"/>
    <w:rsid w:val="1C9F3F86"/>
    <w:rsid w:val="1CC30BFA"/>
    <w:rsid w:val="1CDC6FA3"/>
    <w:rsid w:val="1CF4687C"/>
    <w:rsid w:val="1D353747"/>
    <w:rsid w:val="1DEB4611"/>
    <w:rsid w:val="1E242877"/>
    <w:rsid w:val="1E8D4523"/>
    <w:rsid w:val="1EDB164C"/>
    <w:rsid w:val="1EE24219"/>
    <w:rsid w:val="1EEC76F0"/>
    <w:rsid w:val="1F4F5042"/>
    <w:rsid w:val="1F577FE2"/>
    <w:rsid w:val="1F654C1A"/>
    <w:rsid w:val="1F6E54D9"/>
    <w:rsid w:val="1F8D1488"/>
    <w:rsid w:val="1FB132E5"/>
    <w:rsid w:val="1FB8336D"/>
    <w:rsid w:val="1FF3641B"/>
    <w:rsid w:val="1FFD2BBC"/>
    <w:rsid w:val="205568A7"/>
    <w:rsid w:val="20621EBA"/>
    <w:rsid w:val="20835FA2"/>
    <w:rsid w:val="208B71F2"/>
    <w:rsid w:val="20A42633"/>
    <w:rsid w:val="20CF6ABD"/>
    <w:rsid w:val="21036DD3"/>
    <w:rsid w:val="2120476F"/>
    <w:rsid w:val="212C4414"/>
    <w:rsid w:val="21823966"/>
    <w:rsid w:val="221E2056"/>
    <w:rsid w:val="22272F39"/>
    <w:rsid w:val="22463D16"/>
    <w:rsid w:val="22AC7510"/>
    <w:rsid w:val="22AC7BAE"/>
    <w:rsid w:val="22BA3838"/>
    <w:rsid w:val="230D0C17"/>
    <w:rsid w:val="23264CC1"/>
    <w:rsid w:val="232B1A1D"/>
    <w:rsid w:val="234738C7"/>
    <w:rsid w:val="234C2006"/>
    <w:rsid w:val="23BB2174"/>
    <w:rsid w:val="23CA4F0D"/>
    <w:rsid w:val="23CC0FC4"/>
    <w:rsid w:val="23D70BEF"/>
    <w:rsid w:val="23E16017"/>
    <w:rsid w:val="240F1F1C"/>
    <w:rsid w:val="242944A7"/>
    <w:rsid w:val="242D5475"/>
    <w:rsid w:val="24614430"/>
    <w:rsid w:val="248E345C"/>
    <w:rsid w:val="24E07273"/>
    <w:rsid w:val="25083F7C"/>
    <w:rsid w:val="254A7D50"/>
    <w:rsid w:val="25587A3A"/>
    <w:rsid w:val="26101B2D"/>
    <w:rsid w:val="26101CB8"/>
    <w:rsid w:val="263542DB"/>
    <w:rsid w:val="26577985"/>
    <w:rsid w:val="26757088"/>
    <w:rsid w:val="2679224D"/>
    <w:rsid w:val="2685457C"/>
    <w:rsid w:val="26AB6C61"/>
    <w:rsid w:val="274E4C3A"/>
    <w:rsid w:val="27AE7DC5"/>
    <w:rsid w:val="27B014FB"/>
    <w:rsid w:val="27B7721B"/>
    <w:rsid w:val="27DC0EF0"/>
    <w:rsid w:val="28057251"/>
    <w:rsid w:val="28415CFF"/>
    <w:rsid w:val="28806311"/>
    <w:rsid w:val="28842D05"/>
    <w:rsid w:val="289B5C76"/>
    <w:rsid w:val="28BA0523"/>
    <w:rsid w:val="29067219"/>
    <w:rsid w:val="292F1558"/>
    <w:rsid w:val="2936565E"/>
    <w:rsid w:val="29423CF0"/>
    <w:rsid w:val="2967270C"/>
    <w:rsid w:val="29895F94"/>
    <w:rsid w:val="2A1A6B53"/>
    <w:rsid w:val="2A366FDC"/>
    <w:rsid w:val="2A78455D"/>
    <w:rsid w:val="2ADF7793"/>
    <w:rsid w:val="2B084850"/>
    <w:rsid w:val="2B1A4277"/>
    <w:rsid w:val="2B301CDE"/>
    <w:rsid w:val="2B5A5687"/>
    <w:rsid w:val="2B5B1C1C"/>
    <w:rsid w:val="2B66061D"/>
    <w:rsid w:val="2B8D0B16"/>
    <w:rsid w:val="2BA33930"/>
    <w:rsid w:val="2BB1380B"/>
    <w:rsid w:val="2BF53976"/>
    <w:rsid w:val="2C7A34BE"/>
    <w:rsid w:val="2CA97202"/>
    <w:rsid w:val="2CD21C8D"/>
    <w:rsid w:val="2D265CD2"/>
    <w:rsid w:val="2D3B0951"/>
    <w:rsid w:val="2D542218"/>
    <w:rsid w:val="2D6F142E"/>
    <w:rsid w:val="2D700744"/>
    <w:rsid w:val="2D7C103D"/>
    <w:rsid w:val="2D976CA0"/>
    <w:rsid w:val="2DD16428"/>
    <w:rsid w:val="2DF87731"/>
    <w:rsid w:val="2E4126A6"/>
    <w:rsid w:val="2E4F5B50"/>
    <w:rsid w:val="2E6B579C"/>
    <w:rsid w:val="2EF34668"/>
    <w:rsid w:val="2F1767C8"/>
    <w:rsid w:val="2F1B101C"/>
    <w:rsid w:val="2F205BEC"/>
    <w:rsid w:val="2F3E626E"/>
    <w:rsid w:val="2F643D84"/>
    <w:rsid w:val="30287059"/>
    <w:rsid w:val="30E3486F"/>
    <w:rsid w:val="30FC313A"/>
    <w:rsid w:val="31032429"/>
    <w:rsid w:val="310A775F"/>
    <w:rsid w:val="31963E43"/>
    <w:rsid w:val="31F52909"/>
    <w:rsid w:val="327D3EAA"/>
    <w:rsid w:val="32F31EE9"/>
    <w:rsid w:val="32FF2D81"/>
    <w:rsid w:val="333F32D6"/>
    <w:rsid w:val="336B7128"/>
    <w:rsid w:val="33995853"/>
    <w:rsid w:val="33C41738"/>
    <w:rsid w:val="33DF5D5C"/>
    <w:rsid w:val="34272921"/>
    <w:rsid w:val="343F64F5"/>
    <w:rsid w:val="34627B06"/>
    <w:rsid w:val="348B6190"/>
    <w:rsid w:val="34C07283"/>
    <w:rsid w:val="34DB7CDA"/>
    <w:rsid w:val="351651AB"/>
    <w:rsid w:val="35374962"/>
    <w:rsid w:val="354457DF"/>
    <w:rsid w:val="35846D28"/>
    <w:rsid w:val="35967D96"/>
    <w:rsid w:val="35C221A7"/>
    <w:rsid w:val="35C9139F"/>
    <w:rsid w:val="364929EF"/>
    <w:rsid w:val="36B4667E"/>
    <w:rsid w:val="36CE4401"/>
    <w:rsid w:val="36E50EDC"/>
    <w:rsid w:val="36F2185E"/>
    <w:rsid w:val="36FE6502"/>
    <w:rsid w:val="37303391"/>
    <w:rsid w:val="378337C7"/>
    <w:rsid w:val="37A12327"/>
    <w:rsid w:val="37EB0C04"/>
    <w:rsid w:val="38DC75EA"/>
    <w:rsid w:val="38FE5EE0"/>
    <w:rsid w:val="3973451D"/>
    <w:rsid w:val="39DE1208"/>
    <w:rsid w:val="39FD55F0"/>
    <w:rsid w:val="3A484943"/>
    <w:rsid w:val="3A902ABA"/>
    <w:rsid w:val="3ABA0A55"/>
    <w:rsid w:val="3B46358E"/>
    <w:rsid w:val="3B875B3B"/>
    <w:rsid w:val="3C101256"/>
    <w:rsid w:val="3C114769"/>
    <w:rsid w:val="3C353FFF"/>
    <w:rsid w:val="3C560168"/>
    <w:rsid w:val="3D585410"/>
    <w:rsid w:val="3D737F4D"/>
    <w:rsid w:val="3DD72EBF"/>
    <w:rsid w:val="3E2E75DA"/>
    <w:rsid w:val="3E334B64"/>
    <w:rsid w:val="3E792DE9"/>
    <w:rsid w:val="3EC9171E"/>
    <w:rsid w:val="3ECA1AB5"/>
    <w:rsid w:val="3F904B00"/>
    <w:rsid w:val="3FD234D7"/>
    <w:rsid w:val="3FD54B73"/>
    <w:rsid w:val="40594902"/>
    <w:rsid w:val="40715303"/>
    <w:rsid w:val="410A0566"/>
    <w:rsid w:val="412D4094"/>
    <w:rsid w:val="4136218B"/>
    <w:rsid w:val="418564BE"/>
    <w:rsid w:val="421A1183"/>
    <w:rsid w:val="424B20A7"/>
    <w:rsid w:val="427A6457"/>
    <w:rsid w:val="42A8601B"/>
    <w:rsid w:val="42AB6592"/>
    <w:rsid w:val="42C56676"/>
    <w:rsid w:val="432F4D6E"/>
    <w:rsid w:val="434B7D86"/>
    <w:rsid w:val="4353172D"/>
    <w:rsid w:val="43A91005"/>
    <w:rsid w:val="43A91D17"/>
    <w:rsid w:val="441C3860"/>
    <w:rsid w:val="44795C00"/>
    <w:rsid w:val="448A67EA"/>
    <w:rsid w:val="44D20002"/>
    <w:rsid w:val="44D91D7D"/>
    <w:rsid w:val="451E1E9C"/>
    <w:rsid w:val="45746217"/>
    <w:rsid w:val="45B019C3"/>
    <w:rsid w:val="45F62BF6"/>
    <w:rsid w:val="460119E3"/>
    <w:rsid w:val="46113579"/>
    <w:rsid w:val="46DB1B32"/>
    <w:rsid w:val="46E57545"/>
    <w:rsid w:val="472F7337"/>
    <w:rsid w:val="474900F4"/>
    <w:rsid w:val="4756188C"/>
    <w:rsid w:val="47AF5511"/>
    <w:rsid w:val="47B31460"/>
    <w:rsid w:val="47C94337"/>
    <w:rsid w:val="482D5B46"/>
    <w:rsid w:val="489F15DC"/>
    <w:rsid w:val="48C93252"/>
    <w:rsid w:val="48D70AC4"/>
    <w:rsid w:val="4938493F"/>
    <w:rsid w:val="493B0E6A"/>
    <w:rsid w:val="498C5F95"/>
    <w:rsid w:val="4A026925"/>
    <w:rsid w:val="4A1A042A"/>
    <w:rsid w:val="4A4402EA"/>
    <w:rsid w:val="4A532532"/>
    <w:rsid w:val="4A7F4EDC"/>
    <w:rsid w:val="4B1C7EA1"/>
    <w:rsid w:val="4B343417"/>
    <w:rsid w:val="4B780CA1"/>
    <w:rsid w:val="4B9D74E7"/>
    <w:rsid w:val="4BA62997"/>
    <w:rsid w:val="4BCC7A4C"/>
    <w:rsid w:val="4BE3791F"/>
    <w:rsid w:val="4BEC3451"/>
    <w:rsid w:val="4C0816DD"/>
    <w:rsid w:val="4C086C60"/>
    <w:rsid w:val="4C4533D3"/>
    <w:rsid w:val="4C5A010B"/>
    <w:rsid w:val="4C831C67"/>
    <w:rsid w:val="4C9F3B6B"/>
    <w:rsid w:val="4CA342A4"/>
    <w:rsid w:val="4CEF02CB"/>
    <w:rsid w:val="4CF10E33"/>
    <w:rsid w:val="4CFF36E3"/>
    <w:rsid w:val="4D646177"/>
    <w:rsid w:val="4D8359C5"/>
    <w:rsid w:val="4DEA570F"/>
    <w:rsid w:val="4DFE7850"/>
    <w:rsid w:val="4E265615"/>
    <w:rsid w:val="4E3613E0"/>
    <w:rsid w:val="4E786E50"/>
    <w:rsid w:val="4EAC2662"/>
    <w:rsid w:val="4EAD65AF"/>
    <w:rsid w:val="4F354008"/>
    <w:rsid w:val="4F38338E"/>
    <w:rsid w:val="4F41535D"/>
    <w:rsid w:val="4F4A5AF0"/>
    <w:rsid w:val="4FA607F9"/>
    <w:rsid w:val="4FD53A4A"/>
    <w:rsid w:val="50202FE9"/>
    <w:rsid w:val="50524BCD"/>
    <w:rsid w:val="5059261B"/>
    <w:rsid w:val="507462EE"/>
    <w:rsid w:val="508D57A9"/>
    <w:rsid w:val="50D95F27"/>
    <w:rsid w:val="5104088C"/>
    <w:rsid w:val="52365EFC"/>
    <w:rsid w:val="524313F2"/>
    <w:rsid w:val="52743218"/>
    <w:rsid w:val="52C903A2"/>
    <w:rsid w:val="52D6538B"/>
    <w:rsid w:val="530B65E6"/>
    <w:rsid w:val="536006B5"/>
    <w:rsid w:val="53811331"/>
    <w:rsid w:val="538B3D65"/>
    <w:rsid w:val="53CC01A9"/>
    <w:rsid w:val="53E31585"/>
    <w:rsid w:val="54182253"/>
    <w:rsid w:val="541E7A72"/>
    <w:rsid w:val="54B34B5C"/>
    <w:rsid w:val="54C82C66"/>
    <w:rsid w:val="54D35D3A"/>
    <w:rsid w:val="54E7004C"/>
    <w:rsid w:val="54E72F25"/>
    <w:rsid w:val="55001026"/>
    <w:rsid w:val="550C6D24"/>
    <w:rsid w:val="557820F8"/>
    <w:rsid w:val="55AF3A12"/>
    <w:rsid w:val="55E23459"/>
    <w:rsid w:val="561721DA"/>
    <w:rsid w:val="56266A03"/>
    <w:rsid w:val="564A01B0"/>
    <w:rsid w:val="567D6962"/>
    <w:rsid w:val="56C854BA"/>
    <w:rsid w:val="56FD692B"/>
    <w:rsid w:val="572662B2"/>
    <w:rsid w:val="576D5B9A"/>
    <w:rsid w:val="57A91188"/>
    <w:rsid w:val="57C5697A"/>
    <w:rsid w:val="584B638F"/>
    <w:rsid w:val="584D5C0F"/>
    <w:rsid w:val="590D703F"/>
    <w:rsid w:val="59165E7E"/>
    <w:rsid w:val="5934736C"/>
    <w:rsid w:val="59522C50"/>
    <w:rsid w:val="59911D0F"/>
    <w:rsid w:val="59A53627"/>
    <w:rsid w:val="59A67CEE"/>
    <w:rsid w:val="59D6591F"/>
    <w:rsid w:val="59D70B85"/>
    <w:rsid w:val="59FF4C46"/>
    <w:rsid w:val="5A0355B4"/>
    <w:rsid w:val="5A821453"/>
    <w:rsid w:val="5A8B529D"/>
    <w:rsid w:val="5ABD4DED"/>
    <w:rsid w:val="5AD462CC"/>
    <w:rsid w:val="5AE543F1"/>
    <w:rsid w:val="5AED57CE"/>
    <w:rsid w:val="5AEE5FC3"/>
    <w:rsid w:val="5AF44695"/>
    <w:rsid w:val="5B1E0C03"/>
    <w:rsid w:val="5B5F5E34"/>
    <w:rsid w:val="5BBB60B4"/>
    <w:rsid w:val="5C5519EF"/>
    <w:rsid w:val="5CA37D0B"/>
    <w:rsid w:val="5CCE73D5"/>
    <w:rsid w:val="5D152B38"/>
    <w:rsid w:val="5D337DD2"/>
    <w:rsid w:val="5D5202CE"/>
    <w:rsid w:val="5D5255BE"/>
    <w:rsid w:val="5D5A55EC"/>
    <w:rsid w:val="5D90707A"/>
    <w:rsid w:val="5E1975C7"/>
    <w:rsid w:val="5E2000CA"/>
    <w:rsid w:val="5E505D45"/>
    <w:rsid w:val="5E70321E"/>
    <w:rsid w:val="5EE06E99"/>
    <w:rsid w:val="5EE86CE1"/>
    <w:rsid w:val="5EF21BD5"/>
    <w:rsid w:val="5F2C1187"/>
    <w:rsid w:val="5F3349E1"/>
    <w:rsid w:val="5F704A6C"/>
    <w:rsid w:val="5FA77705"/>
    <w:rsid w:val="600619F9"/>
    <w:rsid w:val="602822C5"/>
    <w:rsid w:val="60AD2B95"/>
    <w:rsid w:val="60B04DB7"/>
    <w:rsid w:val="60C33960"/>
    <w:rsid w:val="613E4B1C"/>
    <w:rsid w:val="61AD447C"/>
    <w:rsid w:val="62054BA9"/>
    <w:rsid w:val="621A3341"/>
    <w:rsid w:val="627756F1"/>
    <w:rsid w:val="627E5E04"/>
    <w:rsid w:val="629B111B"/>
    <w:rsid w:val="62B167F0"/>
    <w:rsid w:val="62BB3E42"/>
    <w:rsid w:val="62DC71A0"/>
    <w:rsid w:val="630D4348"/>
    <w:rsid w:val="631E5BCB"/>
    <w:rsid w:val="632772FA"/>
    <w:rsid w:val="63D408E6"/>
    <w:rsid w:val="63E847CD"/>
    <w:rsid w:val="63F14426"/>
    <w:rsid w:val="64071B34"/>
    <w:rsid w:val="64593726"/>
    <w:rsid w:val="64746E8B"/>
    <w:rsid w:val="647A02C0"/>
    <w:rsid w:val="663C477F"/>
    <w:rsid w:val="66B60825"/>
    <w:rsid w:val="66DE28D4"/>
    <w:rsid w:val="66F31641"/>
    <w:rsid w:val="67020134"/>
    <w:rsid w:val="670F48F2"/>
    <w:rsid w:val="67CF3143"/>
    <w:rsid w:val="681E6B3C"/>
    <w:rsid w:val="68326690"/>
    <w:rsid w:val="68971CFF"/>
    <w:rsid w:val="68C463FF"/>
    <w:rsid w:val="68D04908"/>
    <w:rsid w:val="68E45EDD"/>
    <w:rsid w:val="6912411C"/>
    <w:rsid w:val="69560F4E"/>
    <w:rsid w:val="6A1940F6"/>
    <w:rsid w:val="6A1E4A17"/>
    <w:rsid w:val="6A5C073C"/>
    <w:rsid w:val="6A916EAF"/>
    <w:rsid w:val="6A98647F"/>
    <w:rsid w:val="6AA006BD"/>
    <w:rsid w:val="6AC74F07"/>
    <w:rsid w:val="6AFE7225"/>
    <w:rsid w:val="6B7C3F8D"/>
    <w:rsid w:val="6B976749"/>
    <w:rsid w:val="6BA25AB2"/>
    <w:rsid w:val="6BA55CB0"/>
    <w:rsid w:val="6BAC7D2A"/>
    <w:rsid w:val="6BDE151C"/>
    <w:rsid w:val="6BFD36B9"/>
    <w:rsid w:val="6BFE7C35"/>
    <w:rsid w:val="6C1614D7"/>
    <w:rsid w:val="6C1F4019"/>
    <w:rsid w:val="6CBB57CD"/>
    <w:rsid w:val="6CC20401"/>
    <w:rsid w:val="6CE93C01"/>
    <w:rsid w:val="6CE95DC4"/>
    <w:rsid w:val="6D921CFC"/>
    <w:rsid w:val="6E295DFA"/>
    <w:rsid w:val="6E682D9E"/>
    <w:rsid w:val="6ED35AAF"/>
    <w:rsid w:val="6EE63A4B"/>
    <w:rsid w:val="6EF26071"/>
    <w:rsid w:val="6EF33942"/>
    <w:rsid w:val="6F1D44AF"/>
    <w:rsid w:val="6F23398E"/>
    <w:rsid w:val="6F436F82"/>
    <w:rsid w:val="6FCB6F32"/>
    <w:rsid w:val="7011799E"/>
    <w:rsid w:val="70272D70"/>
    <w:rsid w:val="706A776F"/>
    <w:rsid w:val="706C1F0D"/>
    <w:rsid w:val="70CB23B4"/>
    <w:rsid w:val="70D90227"/>
    <w:rsid w:val="70E8128D"/>
    <w:rsid w:val="71263B17"/>
    <w:rsid w:val="71385751"/>
    <w:rsid w:val="7153333E"/>
    <w:rsid w:val="715C632C"/>
    <w:rsid w:val="71A144A5"/>
    <w:rsid w:val="71E37B6B"/>
    <w:rsid w:val="72025A2A"/>
    <w:rsid w:val="7220098A"/>
    <w:rsid w:val="72365D53"/>
    <w:rsid w:val="724704CD"/>
    <w:rsid w:val="72B72539"/>
    <w:rsid w:val="7336477D"/>
    <w:rsid w:val="735863F6"/>
    <w:rsid w:val="73700C3C"/>
    <w:rsid w:val="73AD7D5A"/>
    <w:rsid w:val="73BD3489"/>
    <w:rsid w:val="73E65BBD"/>
    <w:rsid w:val="74001C73"/>
    <w:rsid w:val="744B4B8D"/>
    <w:rsid w:val="744E2E2A"/>
    <w:rsid w:val="745F537D"/>
    <w:rsid w:val="747D46DB"/>
    <w:rsid w:val="74AA57CB"/>
    <w:rsid w:val="74D80507"/>
    <w:rsid w:val="74ED17DE"/>
    <w:rsid w:val="750A75A5"/>
    <w:rsid w:val="751B2E68"/>
    <w:rsid w:val="75452EDD"/>
    <w:rsid w:val="75862EFC"/>
    <w:rsid w:val="75AE23CF"/>
    <w:rsid w:val="75DD37D4"/>
    <w:rsid w:val="76271A19"/>
    <w:rsid w:val="763513B3"/>
    <w:rsid w:val="76430FEF"/>
    <w:rsid w:val="7655460C"/>
    <w:rsid w:val="76772ED8"/>
    <w:rsid w:val="768941B3"/>
    <w:rsid w:val="768B23B9"/>
    <w:rsid w:val="76B511C0"/>
    <w:rsid w:val="76D01E33"/>
    <w:rsid w:val="76FB5F04"/>
    <w:rsid w:val="772E5658"/>
    <w:rsid w:val="77C51D9B"/>
    <w:rsid w:val="77ED4340"/>
    <w:rsid w:val="78667C13"/>
    <w:rsid w:val="78722CF1"/>
    <w:rsid w:val="788C543B"/>
    <w:rsid w:val="7897216C"/>
    <w:rsid w:val="78A25230"/>
    <w:rsid w:val="78A67CE5"/>
    <w:rsid w:val="78AF6B81"/>
    <w:rsid w:val="78D51DA0"/>
    <w:rsid w:val="78E50F6B"/>
    <w:rsid w:val="7916675E"/>
    <w:rsid w:val="79366B25"/>
    <w:rsid w:val="7950050C"/>
    <w:rsid w:val="79676184"/>
    <w:rsid w:val="7A1D3668"/>
    <w:rsid w:val="7A580BC7"/>
    <w:rsid w:val="7A611114"/>
    <w:rsid w:val="7A613B93"/>
    <w:rsid w:val="7A6405CE"/>
    <w:rsid w:val="7ABB10CF"/>
    <w:rsid w:val="7B111A8B"/>
    <w:rsid w:val="7B151A3C"/>
    <w:rsid w:val="7B7645B7"/>
    <w:rsid w:val="7BB57E61"/>
    <w:rsid w:val="7C042577"/>
    <w:rsid w:val="7C1963C3"/>
    <w:rsid w:val="7C486C9D"/>
    <w:rsid w:val="7C551E1F"/>
    <w:rsid w:val="7C5F082F"/>
    <w:rsid w:val="7C7F1FB0"/>
    <w:rsid w:val="7CF66A6B"/>
    <w:rsid w:val="7D463248"/>
    <w:rsid w:val="7D5F59C0"/>
    <w:rsid w:val="7E446582"/>
    <w:rsid w:val="7EED54F3"/>
    <w:rsid w:val="7F0604BD"/>
    <w:rsid w:val="7F0A0511"/>
    <w:rsid w:val="7F202757"/>
    <w:rsid w:val="7F5E74EB"/>
    <w:rsid w:val="7F717182"/>
    <w:rsid w:val="7F7F2EA9"/>
    <w:rsid w:val="7FD51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楷体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3">
    <w:name w:val="header"/>
    <w:qFormat/>
    <w:uiPriority w:val="0"/>
    <w:pPr>
      <w:widowControl w:val="0"/>
      <w:tabs>
        <w:tab w:val="center" w:pos="4153"/>
        <w:tab w:val="right" w:pos="8306"/>
      </w:tabs>
      <w:snapToGrid w:val="0"/>
      <w:jc w:val="both"/>
    </w:pPr>
    <w:rPr>
      <w:rFonts w:ascii="Times New Roman" w:hAnsi="Times New Roman" w:eastAsia="宋体" w:cs="Times New Roman"/>
      <w:kern w:val="2"/>
      <w:sz w:val="18"/>
      <w:lang w:val="en-US" w:eastAsia="zh-CN" w:bidi="ar-SA"/>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style51"/>
    <w:qFormat/>
    <w:uiPriority w:val="0"/>
    <w:rPr>
      <w:rFonts w:ascii="Times New Roman" w:hAnsi="Times New Roman" w:eastAsia="宋体" w:cs="Times New Roman"/>
      <w:color w:val="000000"/>
      <w:sz w:val="18"/>
      <w:szCs w:val="18"/>
      <w:u w:val="none"/>
      <w:lang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2020-04-15T10:07:00Z</dcterms:created>
  <dc:creator>admin</dc:creator>
  <cp:lastModifiedBy>Admin</cp:lastModifiedBy>
  <cp:lastPrinted>2020-10-26T06:50:00Z</cp:lastPrinted>
  <dcterms:modified xsi:type="dcterms:W3CDTF">2020-10-27T08:49:50Z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