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bookmarkStart w:id="1" w:name="_Toc15378441"/>
      <w:bookmarkStart w:id="2" w:name="_Toc15377425"/>
      <w:bookmarkStart w:id="3" w:name="_Toc15396475"/>
      <w:bookmarkStart w:id="4" w:name="_Toc15377193"/>
      <w:bookmarkStart w:id="5" w:name="_Toc15396597"/>
      <w:r>
        <w:rPr>
          <w:rFonts w:hint="eastAsia" w:ascii="方正小标宋简体" w:hAnsi="方正小标宋简体" w:eastAsia="方正小标宋简体" w:cs="方正小标宋简体"/>
          <w:color w:val="auto"/>
          <w:sz w:val="52"/>
          <w:szCs w:val="52"/>
          <w:highlight w:val="none"/>
          <w:lang w:val="en-US" w:eastAsia="zh-CN"/>
        </w:rPr>
        <w:t>2021年度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color w:val="auto"/>
          <w:sz w:val="52"/>
          <w:szCs w:val="52"/>
          <w:highlight w:val="none"/>
        </w:rPr>
        <w:t>四川省</w:t>
      </w:r>
      <w:bookmarkEnd w:id="0"/>
      <w:bookmarkStart w:id="11" w:name="_Toc15306268"/>
      <w:r>
        <w:rPr>
          <w:rFonts w:hint="eastAsia" w:ascii="方正小标宋简体" w:hAnsi="方正小标宋简体" w:eastAsia="方正小标宋简体" w:cs="方正小标宋简体"/>
          <w:color w:val="auto"/>
          <w:sz w:val="52"/>
          <w:szCs w:val="52"/>
          <w:highlight w:val="none"/>
          <w:lang w:val="en-US" w:eastAsia="zh-CN"/>
        </w:rPr>
        <w:t>少数民族古籍整理办公室</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单位决算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1"/>
        <w:pageBreakBefore w:val="0"/>
        <w:kinsoku/>
        <w:wordWrap/>
        <w:overflowPunct/>
        <w:topLinePunct w:val="0"/>
        <w:bidi w:val="0"/>
        <w:adjustRightInd w:val="0"/>
        <w:snapToGrid w:val="0"/>
        <w:spacing w:before="0" w:line="440" w:lineRule="exact"/>
        <w:jc w:val="left"/>
        <w:rPr>
          <w:rFonts w:cstheme="minorBidi"/>
          <w:color w:val="auto"/>
          <w:sz w:val="24"/>
          <w:szCs w:val="24"/>
          <w:highlight w:val="none"/>
        </w:rPr>
      </w:pPr>
      <w:bookmarkStart w:id="12" w:name="_Toc15377196"/>
      <w:bookmarkStart w:id="13" w:name="_Toc15396599"/>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4</w:t>
      </w:r>
    </w:p>
    <w:p>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4</w:t>
      </w:r>
    </w:p>
    <w:p>
      <w:pPr>
        <w:pStyle w:val="12"/>
        <w:adjustRightInd w:val="0"/>
        <w:snapToGrid w:val="0"/>
        <w:spacing w:line="440" w:lineRule="exact"/>
        <w:jc w:val="left"/>
        <w:rPr>
          <w:rFonts w:hint="eastAsia" w:cs="Times New Roman"/>
          <w:color w:val="auto"/>
          <w:sz w:val="24"/>
          <w:szCs w:val="24"/>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w:t>
      </w:r>
    </w:p>
    <w:p>
      <w:pPr>
        <w:pStyle w:val="12"/>
        <w:adjustRightInd w:val="0"/>
        <w:snapToGrid w:val="0"/>
        <w:spacing w:line="440" w:lineRule="exact"/>
        <w:jc w:val="left"/>
        <w:rPr>
          <w:rFonts w:hint="eastAsia"/>
          <w:lang w:val="en-US" w:eastAsia="zh-CN"/>
        </w:rPr>
      </w:pPr>
      <w:r>
        <w:rPr>
          <w:rFonts w:hint="eastAsia"/>
          <w:color w:val="auto"/>
          <w:sz w:val="24"/>
          <w:highlight w:val="none"/>
          <w:lang w:val="en-US" w:eastAsia="zh-CN"/>
        </w:rPr>
        <w:t>三、机构设置情况</w:t>
      </w:r>
      <w:r>
        <w:rPr>
          <w:rFonts w:hint="default"/>
          <w:color w:val="auto"/>
          <w:sz w:val="24"/>
          <w:highlight w:val="none"/>
          <w:lang w:val="en-US" w:eastAsia="zh-CN"/>
        </w:rPr>
        <w:t>.....................................................................................</w:t>
      </w:r>
      <w:r>
        <w:rPr>
          <w:rFonts w:hint="eastAsia"/>
          <w:color w:val="auto"/>
          <w:sz w:val="24"/>
          <w:highlight w:val="none"/>
          <w:lang w:val="en-US" w:eastAsia="zh-CN"/>
        </w:rPr>
        <w:t>5</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6</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6</w:t>
      </w:r>
    </w:p>
    <w:p>
      <w:pPr>
        <w:pStyle w:val="11"/>
        <w:pageBreakBefore w:val="0"/>
        <w:kinsoku/>
        <w:wordWrap/>
        <w:overflowPunct/>
        <w:topLinePunct w:val="0"/>
        <w:bidi w:val="0"/>
        <w:adjustRightInd w:val="0"/>
        <w:snapToGrid w:val="0"/>
        <w:spacing w:before="0" w:line="440" w:lineRule="exact"/>
        <w:ind w:left="420" w:leftChars="20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二、收入决算情况说明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6</w:t>
      </w:r>
    </w:p>
    <w:p>
      <w:pPr>
        <w:pStyle w:val="11"/>
        <w:pageBreakBefore w:val="0"/>
        <w:kinsoku/>
        <w:wordWrap/>
        <w:overflowPunct/>
        <w:topLinePunct w:val="0"/>
        <w:bidi w:val="0"/>
        <w:adjustRightInd w:val="0"/>
        <w:snapToGrid w:val="0"/>
        <w:spacing w:before="0" w:line="440" w:lineRule="exact"/>
        <w:ind w:left="0" w:leftChars="0" w:firstLine="420" w:firstLineChars="17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三、支出决算情况说明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7</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四、财政拨款收入支出决算总体情况说明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五、一般公共预算财政拨款支出决算情况说明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w:t>
      </w:r>
    </w:p>
    <w:p>
      <w:pPr>
        <w:pStyle w:val="12"/>
        <w:pageBreakBefore w:val="0"/>
        <w:kinsoku/>
        <w:wordWrap/>
        <w:overflowPunct/>
        <w:topLinePunct w:val="0"/>
        <w:bidi w:val="0"/>
        <w:adjustRightInd w:val="0"/>
        <w:snapToGrid w:val="0"/>
        <w:spacing w:line="440" w:lineRule="exact"/>
        <w:jc w:val="left"/>
        <w:rPr>
          <w:rFonts w:hint="eastAsia" w:cs="Times New Roman"/>
          <w:color w:val="auto"/>
          <w:sz w:val="24"/>
          <w:szCs w:val="24"/>
          <w:lang w:val="en-US" w:eastAsia="zh-CN"/>
        </w:rPr>
      </w:pPr>
      <w:r>
        <w:rPr>
          <w:rFonts w:hint="eastAsia" w:asciiTheme="minorEastAsia" w:hAnsiTheme="minorEastAsia" w:eastAsiaTheme="minorEastAsia" w:cstheme="minorEastAsia"/>
          <w:color w:val="auto"/>
          <w:sz w:val="24"/>
          <w:szCs w:val="24"/>
          <w:highlight w:val="none"/>
        </w:rPr>
        <w:t>六、一般公共预算财政拨款基本支出决算情况说明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11</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三公”经费财政拨款支出决算情况说明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12</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八、政府性基金预算支出决算情况说明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13</w:t>
      </w:r>
    </w:p>
    <w:p>
      <w:pPr>
        <w:pStyle w:val="12"/>
        <w:pageBreakBefore w:val="0"/>
        <w:kinsoku/>
        <w:wordWrap/>
        <w:overflowPunct/>
        <w:topLinePunct w:val="0"/>
        <w:bidi w:val="0"/>
        <w:adjustRightInd w:val="0"/>
        <w:snapToGrid w:val="0"/>
        <w:spacing w:line="440" w:lineRule="exact"/>
        <w:ind w:lef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九、</w:t>
      </w:r>
      <w:r>
        <w:rPr>
          <w:rFonts w:hint="eastAsia" w:asciiTheme="minorEastAsia" w:hAnsiTheme="minorEastAsia" w:eastAsiaTheme="minorEastAsia" w:cstheme="minorEastAsia"/>
          <w:color w:val="auto"/>
          <w:sz w:val="24"/>
          <w:szCs w:val="24"/>
          <w:highlight w:val="none"/>
          <w:lang w:eastAsia="zh-CN"/>
        </w:rPr>
        <w:t>国</w:t>
      </w:r>
      <w:r>
        <w:rPr>
          <w:rFonts w:hint="eastAsia" w:asciiTheme="minorEastAsia" w:hAnsiTheme="minorEastAsia" w:eastAsiaTheme="minorEastAsia" w:cstheme="minorEastAsia"/>
          <w:color w:val="auto"/>
          <w:sz w:val="24"/>
          <w:szCs w:val="24"/>
          <w:highlight w:val="none"/>
        </w:rPr>
        <w:t>有资本经营预算支出决算情况说明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13</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szCs w:val="24"/>
          <w:highlight w:val="none"/>
        </w:rPr>
      </w:pPr>
      <w:r>
        <w:rPr>
          <w:rStyle w:val="15"/>
          <w:rFonts w:hint="eastAsia" w:asciiTheme="minorEastAsia" w:hAnsiTheme="minorEastAsia" w:eastAsiaTheme="minorEastAsia" w:cstheme="minorEastAsia"/>
          <w:color w:val="auto"/>
          <w:sz w:val="24"/>
          <w:szCs w:val="24"/>
          <w:highlight w:val="none"/>
          <w:u w:val="none"/>
          <w:lang w:eastAsia="zh-CN"/>
        </w:rPr>
        <w:t>十</w:t>
      </w:r>
      <w:r>
        <w:rPr>
          <w:rStyle w:val="15"/>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rPr>
        <w:t>其他重要事项的情况说明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13</w:t>
      </w:r>
    </w:p>
    <w:p>
      <w:pPr>
        <w:pStyle w:val="11"/>
        <w:adjustRightInd w:val="0"/>
        <w:snapToGrid w:val="0"/>
        <w:spacing w:before="0" w:line="440" w:lineRule="exact"/>
        <w:jc w:val="left"/>
        <w:rPr>
          <w:rFonts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15</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szCs w:val="24"/>
          <w:lang w:val="en-US" w:eastAsia="zh-CN"/>
        </w:rPr>
        <w:t>........</w:t>
      </w:r>
      <w:r>
        <w:rPr>
          <w:rFonts w:hint="eastAsia" w:ascii="Times New Roman" w:hAnsi="Times New Roman" w:eastAsia="宋体" w:cs="Times New Roman"/>
          <w:color w:val="auto"/>
          <w:kern w:val="2"/>
          <w:sz w:val="24"/>
          <w:szCs w:val="24"/>
          <w:lang w:val="en-US" w:eastAsia="zh-CN" w:bidi="ar-SA"/>
        </w:rPr>
        <w:t>18</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pageBreakBefore w:val="0"/>
        <w:kinsoku/>
        <w:wordWrap/>
        <w:overflowPunct/>
        <w:topLinePunct w:val="0"/>
        <w:bidi w:val="0"/>
        <w:adjustRightInd w:val="0"/>
        <w:snapToGrid w:val="0"/>
        <w:spacing w:line="440" w:lineRule="exact"/>
        <w:jc w:val="left"/>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rPr>
        <w:t>一、</w:t>
      </w:r>
      <w:r>
        <w:rPr>
          <w:rFonts w:hint="default" w:ascii="Times New Roman" w:hAnsi="Times New Roman" w:cs="Times New Roman"/>
          <w:color w:val="auto"/>
          <w:sz w:val="24"/>
          <w:highlight w:val="none"/>
        </w:rPr>
        <w:t>收入支出决算总表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二、收入决算表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三、支出决算表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四、财政拨款收入支出决算总表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五、财政拨款支出决算明细表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六、一般公共预算财政拨款支出决算表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七、一般公共预算财政拨款支出决算明细表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eastAsia" w:cs="Times New Roman"/>
          <w:color w:val="auto"/>
          <w:sz w:val="24"/>
          <w:szCs w:val="24"/>
          <w:lang w:val="en-US" w:eastAsia="zh-CN"/>
        </w:rPr>
      </w:pPr>
      <w:r>
        <w:rPr>
          <w:rFonts w:hint="default" w:ascii="Times New Roman" w:hAnsi="Times New Roman" w:cs="Times New Roman" w:eastAsiaTheme="minorEastAsia"/>
          <w:color w:val="auto"/>
          <w:sz w:val="24"/>
          <w:highlight w:val="none"/>
        </w:rPr>
        <w:t>八、一般公共预算财政拨款基本支出决算表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九、一般公共预算财政拨款项目支出决算表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十、一般公共预算财政拨款“三公”经费支出决算表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十一、政府性基金预算财政拨款收入支出决算表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十二、政府性基金预算财政拨款“三公”经费支出决算表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十三、国有资本经营预算</w:t>
      </w:r>
      <w:r>
        <w:rPr>
          <w:rFonts w:hint="default" w:ascii="Times New Roman" w:hAnsi="Times New Roman" w:cs="Times New Roman" w:eastAsiaTheme="minorEastAsia"/>
          <w:color w:val="auto"/>
          <w:sz w:val="24"/>
          <w:highlight w:val="none"/>
          <w:lang w:eastAsia="zh-CN"/>
        </w:rPr>
        <w:t>财政拨款收入</w:t>
      </w:r>
      <w:r>
        <w:rPr>
          <w:rFonts w:hint="default" w:ascii="Times New Roman" w:hAnsi="Times New Roman" w:cs="Times New Roman" w:eastAsiaTheme="minorEastAsia"/>
          <w:color w:val="auto"/>
          <w:sz w:val="24"/>
          <w:highlight w:val="none"/>
        </w:rPr>
        <w:t>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十四、国有资本经营预算财政拨款支出决算表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26</w:t>
      </w:r>
    </w:p>
    <w:p>
      <w:pPr>
        <w:pStyle w:val="3"/>
        <w:jc w:val="both"/>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rPr>
          <w:rFonts w:hint="eastAsia"/>
        </w:rPr>
      </w:pPr>
    </w:p>
    <w:p>
      <w:pPr>
        <w:pStyle w:val="3"/>
        <w:jc w:val="both"/>
        <w:rPr>
          <w:rFonts w:hint="eastAsia" w:ascii="黑体" w:hAnsi="黑体" w:eastAsia="黑体"/>
          <w:b w:val="0"/>
          <w:color w:val="auto"/>
          <w:highlight w:val="none"/>
        </w:rPr>
      </w:pPr>
    </w:p>
    <w:p>
      <w:pPr>
        <w:pStyle w:val="3"/>
        <w:numPr>
          <w:ilvl w:val="0"/>
          <w:numId w:val="1"/>
        </w:numPr>
        <w:jc w:val="center"/>
        <w:rPr>
          <w:rStyle w:val="26"/>
          <w:rFonts w:hint="eastAsia" w:ascii="黑体" w:hAnsi="黑体" w:eastAsia="黑体"/>
          <w:b w:val="0"/>
          <w:bCs w:val="0"/>
          <w:color w:val="auto"/>
          <w:highlight w:val="none"/>
        </w:rPr>
      </w:pP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pageBreakBefore w:val="0"/>
        <w:numPr>
          <w:ilvl w:val="0"/>
          <w:numId w:val="0"/>
        </w:numPr>
        <w:kinsoku/>
        <w:wordWrap/>
        <w:overflowPunct/>
        <w:topLinePunct w:val="0"/>
        <w:autoSpaceDE/>
        <w:autoSpaceDN/>
        <w:bidi w:val="0"/>
        <w:adjustRightInd/>
        <w:snapToGrid/>
        <w:spacing w:line="600" w:lineRule="exact"/>
        <w:textAlignment w:val="auto"/>
      </w:pPr>
      <w:bookmarkStart w:id="79" w:name="_GoBack"/>
    </w:p>
    <w:p>
      <w:pPr>
        <w:pStyle w:val="4"/>
        <w:keepNext/>
        <w:keepLines/>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1"/>
        <w:rPr>
          <w:rStyle w:val="27"/>
          <w:rFonts w:hint="eastAsia" w:ascii="黑体" w:hAnsi="黑体" w:eastAsia="黑体"/>
          <w:b w:val="0"/>
          <w:bCs w:val="0"/>
          <w:color w:val="auto"/>
          <w:highlight w:val="none"/>
          <w:lang w:eastAsia="zh-CN"/>
        </w:rPr>
      </w:pPr>
      <w:bookmarkStart w:id="14" w:name="_Toc15396600"/>
      <w:bookmarkStart w:id="15" w:name="_Toc15377197"/>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基本职能是组织、协调、指导全省少数民族古籍的抢救、搜集、整理、出版和研究工作。</w:t>
      </w:r>
    </w:p>
    <w:p>
      <w:pPr>
        <w:pageBreakBefore w:val="0"/>
        <w:numPr>
          <w:ilvl w:val="0"/>
          <w:numId w:val="0"/>
        </w:numPr>
        <w:kinsoku/>
        <w:wordWrap/>
        <w:overflowPunct/>
        <w:topLinePunct w:val="0"/>
        <w:autoSpaceDE/>
        <w:autoSpaceDN/>
        <w:bidi w:val="0"/>
        <w:adjustRightInd/>
        <w:snapToGrid/>
        <w:spacing w:line="600" w:lineRule="exact"/>
        <w:textAlignment w:val="auto"/>
        <w:rPr>
          <w:rFonts w:hint="eastAsia"/>
        </w:rPr>
      </w:pPr>
    </w:p>
    <w:p>
      <w:pPr>
        <w:pStyle w:val="4"/>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楷体_GBK" w:hAnsi="方正楷体_GBK" w:eastAsia="方正楷体_GBK" w:cs="方正楷体_GBK"/>
          <w:b w:val="0"/>
          <w:i w:val="0"/>
          <w:caps w:val="0"/>
          <w:color w:val="auto"/>
          <w:spacing w:val="0"/>
          <w:w w:val="100"/>
          <w:sz w:val="32"/>
          <w:szCs w:val="32"/>
          <w:lang w:val="en-US" w:eastAsia="zh-CN"/>
        </w:rPr>
      </w:pPr>
      <w:r>
        <w:rPr>
          <w:rFonts w:hint="eastAsia" w:ascii="仿宋_GB2312" w:hAnsi="仿宋_GB2312" w:eastAsia="仿宋_GB2312" w:cs="仿宋_GB2312"/>
          <w:color w:val="000000"/>
          <w:sz w:val="32"/>
          <w:szCs w:val="32"/>
          <w:lang w:val="en-US" w:eastAsia="zh-CN"/>
        </w:rPr>
        <w:t>一是抓住四川省古籍保护研究利用工程三年（2022-2024年）行动计划的有利时机，做好全省少数民族古籍普查工作。在较短时间内完成了藏文、彝文、羌族古籍普查标准规范的制定，绘制好“施工图”，举办了普查工作实操培训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做好《中国少数民族文物图谱·四川省卷》编纂工作。积极推进我省少数民族文物遴选工作，委托四川博物院课题组赴相关市（州）开展调研和遴选不可移动、可移动文物工作，组织专业的拍摄技术人员进行文物拍摄。逐一遴选文物，形成包括图片和基础文字介绍的文物条目。</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000000"/>
          <w:kern w:val="2"/>
          <w:sz w:val="32"/>
          <w:szCs w:val="32"/>
          <w:lang w:eastAsia="zh-CN"/>
        </w:rPr>
      </w:pPr>
      <w:r>
        <w:rPr>
          <w:rFonts w:hint="eastAsia" w:ascii="仿宋_GB2312" w:hAnsi="仿宋_GB2312" w:eastAsia="仿宋_GB2312" w:cs="仿宋_GB2312"/>
          <w:b w:val="0"/>
          <w:bCs w:val="0"/>
          <w:color w:val="000000"/>
          <w:kern w:val="2"/>
          <w:sz w:val="32"/>
          <w:szCs w:val="32"/>
          <w:lang w:val="en-US" w:eastAsia="zh-CN"/>
        </w:rPr>
        <w:t>三是</w:t>
      </w:r>
      <w:r>
        <w:rPr>
          <w:rFonts w:hint="eastAsia" w:ascii="仿宋_GB2312" w:hAnsi="仿宋_GB2312" w:eastAsia="仿宋_GB2312" w:cs="仿宋_GB2312"/>
          <w:b w:val="0"/>
          <w:bCs w:val="0"/>
          <w:color w:val="000000"/>
          <w:kern w:val="2"/>
          <w:sz w:val="32"/>
          <w:szCs w:val="32"/>
          <w:lang w:eastAsia="zh-CN"/>
        </w:rPr>
        <w:t>做好“十四五”我省少数民族古籍重点项目规划制定，不断推进我省少数民族古籍工作高质量发展。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color w:val="000000"/>
          <w:sz w:val="32"/>
          <w:szCs w:val="32"/>
          <w:lang w:val="en-US" w:eastAsia="zh-CN"/>
        </w:rPr>
        <w:t>认真开展党史学习教育，切实加强政治建设和党风廉政建设，用党建引领业务工作。加强自身建设，改进作风，廉洁从政。</w:t>
      </w:r>
    </w:p>
    <w:p>
      <w:pPr>
        <w:pStyle w:val="2"/>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val="en-US" w:eastAsia="zh-CN"/>
        </w:rPr>
      </w:pPr>
    </w:p>
    <w:p>
      <w:pPr>
        <w:pStyle w:val="4"/>
        <w:pageBreakBefore w:val="0"/>
        <w:widowControl w:val="0"/>
        <w:numPr>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三、机构设置情况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本单位无内设机构。</w:t>
      </w:r>
    </w:p>
    <w:p>
      <w:pPr>
        <w:pageBreakBefore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kinsoku/>
        <w:wordWrap/>
        <w:overflowPunct/>
        <w:topLinePunct w:val="0"/>
        <w:autoSpaceDE/>
        <w:autoSpaceDN/>
        <w:bidi w:val="0"/>
        <w:adjustRightInd/>
        <w:snapToGrid/>
        <w:spacing w:line="600" w:lineRule="exact"/>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bookmarkEnd w:id="79"/>
    <w:p>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3"/>
        </w:numPr>
        <w:spacing w:line="600" w:lineRule="exact"/>
        <w:ind w:firstLineChars="0"/>
        <w:outlineLvl w:val="1"/>
        <w:rPr>
          <w:rStyle w:val="27"/>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_GB2312" w:hAnsi="仿宋" w:eastAsia="仿宋_GB2312"/>
          <w:sz w:val="32"/>
          <w:szCs w:val="32"/>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105.20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37.57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lang w:val="en-US" w:eastAsia="zh-CN"/>
        </w:rPr>
        <w:t>单位人员增加，人员经费增加，新增文物保护项目经费。</w:t>
      </w:r>
    </w:p>
    <w:p>
      <w:pPr>
        <w:pStyle w:val="2"/>
        <w:rPr>
          <w:rFonts w:ascii="仿宋_GB2312" w:eastAsia="仿宋_GB2312"/>
          <w:color w:val="auto"/>
          <w:sz w:val="32"/>
          <w:szCs w:val="32"/>
          <w:highlight w:val="none"/>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170815</wp:posOffset>
            </wp:positionH>
            <wp:positionV relativeFrom="paragraph">
              <wp:posOffset>151765</wp:posOffset>
            </wp:positionV>
            <wp:extent cx="4401185" cy="2705735"/>
            <wp:effectExtent l="4445" t="4445" r="1397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numPr>
          <w:ilvl w:val="0"/>
          <w:numId w:val="3"/>
        </w:numPr>
        <w:spacing w:line="600" w:lineRule="exact"/>
        <w:ind w:firstLineChars="0"/>
        <w:outlineLvl w:val="1"/>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_GB2312" w:eastAsia="仿宋_GB2312"/>
          <w:color w:val="auto"/>
          <w:sz w:val="32"/>
          <w:szCs w:val="32"/>
          <w:highlight w:val="none"/>
        </w:rPr>
      </w:pPr>
      <w:r>
        <w:rPr>
          <w:rFonts w:hint="default" w:ascii="Times New Roman" w:hAnsi="Times New Roman"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column">
              <wp:posOffset>218440</wp:posOffset>
            </wp:positionH>
            <wp:positionV relativeFrom="paragraph">
              <wp:posOffset>146685</wp:posOffset>
            </wp:positionV>
            <wp:extent cx="4349115" cy="2573020"/>
            <wp:effectExtent l="4445" t="4445" r="8890"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5"/>
        <w:numPr>
          <w:ilvl w:val="0"/>
          <w:numId w:val="0"/>
        </w:numPr>
        <w:spacing w:line="600" w:lineRule="exact"/>
        <w:ind w:left="640" w:leftChars="0"/>
        <w:outlineLvl w:val="1"/>
        <w:rPr>
          <w:rStyle w:val="27"/>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210.10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54.54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175.11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45.46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273685</wp:posOffset>
            </wp:positionH>
            <wp:positionV relativeFrom="paragraph">
              <wp:posOffset>212090</wp:posOffset>
            </wp:positionV>
            <wp:extent cx="4722495" cy="2682875"/>
            <wp:effectExtent l="4445" t="4445" r="16510" b="177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spacing w:line="600" w:lineRule="exact"/>
        <w:ind w:firstLine="643" w:firstLineChars="200"/>
        <w:rPr>
          <w:rFonts w:ascii="仿宋" w:hAnsi="仿宋" w:eastAsia="仿宋"/>
          <w:b/>
          <w:color w:val="auto"/>
          <w:sz w:val="32"/>
          <w:szCs w:val="32"/>
          <w:highlight w:val="none"/>
        </w:rPr>
      </w:pP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368935</wp:posOffset>
            </wp:positionH>
            <wp:positionV relativeFrom="paragraph">
              <wp:posOffset>1828165</wp:posOffset>
            </wp:positionV>
            <wp:extent cx="4003040" cy="2748915"/>
            <wp:effectExtent l="4445" t="5080" r="12065" b="825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105.20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37.57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lang w:val="en-US" w:eastAsia="zh-CN"/>
        </w:rPr>
        <w:t>单位人员增加，人员经费增加，新增文物保护项目经费。</w:t>
      </w:r>
    </w:p>
    <w:p>
      <w:pPr>
        <w:spacing w:line="600" w:lineRule="exact"/>
        <w:ind w:firstLine="640" w:firstLineChars="200"/>
        <w:outlineLvl w:val="1"/>
        <w:rPr>
          <w:rFonts w:hint="eastAsia" w:ascii="黑体" w:hAnsi="黑体" w:eastAsia="黑体"/>
          <w:color w:val="auto"/>
          <w:sz w:val="32"/>
          <w:szCs w:val="32"/>
          <w:highlight w:val="none"/>
        </w:rPr>
      </w:pPr>
      <w:bookmarkStart w:id="26" w:name="_Toc15377209"/>
      <w:bookmarkStart w:id="27" w:name="_Toc15396607"/>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106.54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38.23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lang w:val="en-US" w:eastAsia="zh-CN"/>
        </w:rPr>
        <w:t>单位人员增加，人员经费增加，新增文物保护项目经费。</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outlineLvl w:val="2"/>
        <w:rPr>
          <w:rFonts w:hint="eastAsia" w:ascii="仿宋" w:hAnsi="仿宋" w:eastAsia="仿宋"/>
          <w:b/>
          <w:color w:val="auto"/>
          <w:sz w:val="32"/>
          <w:szCs w:val="32"/>
          <w:highlight w:val="none"/>
        </w:rPr>
      </w:pPr>
      <w:bookmarkStart w:id="29" w:name="_Toc15377211"/>
      <w:r>
        <w:rPr>
          <w:rFonts w:hint="default" w:ascii="Times New Roman" w:hAnsi="Times New Roman" w:eastAsia="仿宋_GB2312"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591820</wp:posOffset>
            </wp:positionH>
            <wp:positionV relativeFrom="paragraph">
              <wp:posOffset>-11430</wp:posOffset>
            </wp:positionV>
            <wp:extent cx="3858260" cy="2858770"/>
            <wp:effectExtent l="4445" t="5080" r="23495" b="1270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385.21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267.59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5.88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w:t>
      </w:r>
      <w:r>
        <w:rPr>
          <w:rFonts w:hint="eastAsia" w:ascii="仿宋" w:hAnsi="仿宋" w:eastAsia="仿宋"/>
          <w:color w:val="auto"/>
          <w:sz w:val="32"/>
          <w:szCs w:val="32"/>
          <w:highlight w:val="none"/>
          <w:lang w:val="en-US" w:eastAsia="zh-CN"/>
        </w:rPr>
        <w:t>支出48.39万元，占12.56%</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17.96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9.85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2.56</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35.54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rPr>
          <w:rFonts w:hint="default" w:ascii="Times New Roman" w:hAnsi="Times New Roman" w:eastAsia="仿宋_GB2312"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162560</wp:posOffset>
            </wp:positionH>
            <wp:positionV relativeFrom="paragraph">
              <wp:posOffset>319405</wp:posOffset>
            </wp:positionV>
            <wp:extent cx="4464050" cy="2506345"/>
            <wp:effectExtent l="4445" t="5080" r="8255" b="222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385.21万元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92.86</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w:t>
      </w:r>
      <w:r>
        <w:rPr>
          <w:rStyle w:val="14"/>
          <w:rFonts w:hint="eastAsia" w:ascii="仿宋" w:hAnsi="仿宋" w:eastAsia="仿宋"/>
          <w:bCs/>
          <w:color w:val="auto"/>
          <w:sz w:val="32"/>
          <w:szCs w:val="32"/>
          <w:highlight w:val="none"/>
        </w:rPr>
        <w:t>一般公共服务（类）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000000"/>
          <w:sz w:val="32"/>
          <w:szCs w:val="32"/>
        </w:rPr>
        <w:t>（款）</w:t>
      </w:r>
      <w:r>
        <w:rPr>
          <w:rStyle w:val="14"/>
          <w:rFonts w:hint="default" w:ascii="Times New Roman" w:hAnsi="Times New Roman" w:eastAsia="仿宋_GB2312" w:cs="Times New Roman"/>
          <w:bCs/>
          <w:color w:val="000000"/>
          <w:sz w:val="32"/>
          <w:szCs w:val="32"/>
          <w:lang w:val="en-US" w:eastAsia="zh-CN"/>
        </w:rPr>
        <w:t>行政运行</w:t>
      </w:r>
      <w:r>
        <w:rPr>
          <w:rStyle w:val="14"/>
          <w:rFonts w:hint="default" w:ascii="Times New Roman" w:hAnsi="Times New Roman" w:eastAsia="仿宋_GB2312" w:cs="Times New Roman"/>
          <w:bCs/>
          <w:color w:val="000000"/>
          <w:sz w:val="32"/>
          <w:szCs w:val="32"/>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136.01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86.79</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Fonts w:hint="default" w:ascii="Times New Roman" w:hAnsi="Times New Roman" w:eastAsia="仿宋_GB2312" w:cs="Times New Roman"/>
          <w:color w:val="000000"/>
          <w:sz w:val="32"/>
          <w:szCs w:val="32"/>
          <w:lang w:val="en-US" w:eastAsia="zh-CN"/>
        </w:rPr>
        <w:t>受疫情影响，</w:t>
      </w:r>
      <w:r>
        <w:rPr>
          <w:rFonts w:hint="eastAsia" w:eastAsia="仿宋_GB2312" w:cs="Times New Roman"/>
          <w:color w:val="000000"/>
          <w:sz w:val="32"/>
          <w:szCs w:val="32"/>
          <w:lang w:val="en-US" w:eastAsia="zh-CN"/>
        </w:rPr>
        <w:t>部分公用经费结余</w:t>
      </w:r>
      <w:r>
        <w:rPr>
          <w:rStyle w:val="14"/>
          <w:rFonts w:hint="eastAsia" w:ascii="仿宋" w:hAnsi="仿宋" w:eastAsia="仿宋"/>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cs="Times New Roman"/>
          <w:color w:val="000000"/>
          <w:sz w:val="32"/>
          <w:szCs w:val="32"/>
          <w:lang w:val="en-US" w:eastAsia="zh-CN"/>
        </w:rPr>
      </w:pPr>
      <w:r>
        <w:rPr>
          <w:rStyle w:val="14"/>
          <w:rFonts w:hint="eastAsia" w:eastAsia="仿宋_GB2312" w:cs="Times New Roman"/>
          <w:bCs/>
          <w:color w:val="000000"/>
          <w:sz w:val="32"/>
          <w:szCs w:val="32"/>
          <w:lang w:val="en-US" w:eastAsia="zh-CN"/>
        </w:rPr>
        <w:t>2.</w:t>
      </w:r>
      <w:r>
        <w:rPr>
          <w:rStyle w:val="14"/>
          <w:rFonts w:hint="default" w:ascii="Times New Roman" w:hAnsi="Times New Roman" w:eastAsia="仿宋_GB2312" w:cs="Times New Roman"/>
          <w:bCs/>
          <w:color w:val="000000"/>
          <w:sz w:val="32"/>
          <w:szCs w:val="32"/>
        </w:rPr>
        <w:t>一般公共服务（类）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000000"/>
          <w:sz w:val="32"/>
          <w:szCs w:val="32"/>
        </w:rPr>
        <w:t>（款）</w:t>
      </w:r>
      <w:r>
        <w:rPr>
          <w:rStyle w:val="14"/>
          <w:rFonts w:hint="default" w:ascii="Times New Roman" w:hAnsi="Times New Roman" w:eastAsia="仿宋_GB2312" w:cs="Times New Roman"/>
          <w:bCs/>
          <w:color w:val="000000"/>
          <w:sz w:val="32"/>
          <w:szCs w:val="32"/>
          <w:lang w:val="en-US" w:eastAsia="zh-CN"/>
        </w:rPr>
        <w:t>一般行政管理事务</w:t>
      </w:r>
      <w:r>
        <w:rPr>
          <w:rStyle w:val="14"/>
          <w:rFonts w:hint="default" w:ascii="Times New Roman" w:hAnsi="Times New Roman" w:eastAsia="仿宋_GB2312" w:cs="Times New Roman"/>
          <w:bCs/>
          <w:color w:val="000000"/>
          <w:sz w:val="32"/>
          <w:szCs w:val="32"/>
        </w:rPr>
        <w:t>（项）:</w:t>
      </w:r>
      <w:r>
        <w:rPr>
          <w:rStyle w:val="14"/>
          <w:rFonts w:hint="default" w:ascii="Times New Roman" w:hAnsi="Times New Roman" w:eastAsia="仿宋_GB2312" w:cs="Times New Roman"/>
          <w:b w:val="0"/>
          <w:bCs/>
          <w:color w:val="000000"/>
          <w:sz w:val="32"/>
          <w:szCs w:val="32"/>
        </w:rPr>
        <w:t xml:space="preserve">  支出决算为</w:t>
      </w:r>
      <w:r>
        <w:rPr>
          <w:rStyle w:val="14"/>
          <w:rFonts w:hint="eastAsia" w:eastAsia="仿宋_GB2312" w:cs="Times New Roman"/>
          <w:b w:val="0"/>
          <w:bCs/>
          <w:color w:val="000000"/>
          <w:sz w:val="32"/>
          <w:szCs w:val="32"/>
          <w:lang w:val="en-US" w:eastAsia="zh-CN"/>
        </w:rPr>
        <w:t>24.57</w:t>
      </w:r>
      <w:r>
        <w:rPr>
          <w:rStyle w:val="14"/>
          <w:rFonts w:hint="default" w:ascii="Times New Roman" w:hAnsi="Times New Roman" w:eastAsia="仿宋_GB2312" w:cs="Times New Roman"/>
          <w:b w:val="0"/>
          <w:bCs/>
          <w:color w:val="000000"/>
          <w:sz w:val="32"/>
          <w:szCs w:val="32"/>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98.87</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Fonts w:hint="default" w:ascii="Times New Roman" w:hAnsi="Times New Roman" w:eastAsia="仿宋_GB2312" w:cs="Times New Roman"/>
          <w:color w:val="000000"/>
          <w:sz w:val="32"/>
          <w:szCs w:val="32"/>
          <w:lang w:val="en-US" w:eastAsia="zh-CN"/>
        </w:rPr>
        <w:t>受疫情影响，</w:t>
      </w:r>
      <w:r>
        <w:rPr>
          <w:rFonts w:hint="eastAsia" w:eastAsia="仿宋_GB2312" w:cs="Times New Roman"/>
          <w:color w:val="000000"/>
          <w:sz w:val="32"/>
          <w:szCs w:val="32"/>
          <w:lang w:val="en-US" w:eastAsia="zh-CN"/>
        </w:rPr>
        <w:t>部分工作支出减少。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lang w:val="en-US"/>
        </w:rPr>
      </w:pPr>
      <w:r>
        <w:rPr>
          <w:rStyle w:val="14"/>
          <w:rFonts w:hint="default" w:ascii="Times New Roman" w:hAnsi="Times New Roman" w:eastAsia="仿宋_GB2312" w:cs="Times New Roman"/>
          <w:bCs/>
          <w:color w:val="000000"/>
          <w:sz w:val="32"/>
          <w:szCs w:val="32"/>
        </w:rPr>
        <w:t>3.</w:t>
      </w:r>
      <w:r>
        <w:rPr>
          <w:rStyle w:val="14"/>
          <w:rFonts w:hint="default" w:ascii="Times New Roman" w:hAnsi="Times New Roman" w:eastAsia="仿宋_GB2312" w:cs="Times New Roman"/>
          <w:b/>
          <w:bCs w:val="0"/>
          <w:color w:val="auto"/>
          <w:sz w:val="32"/>
          <w:szCs w:val="32"/>
        </w:rPr>
        <w:t>一般</w:t>
      </w:r>
      <w:r>
        <w:rPr>
          <w:rStyle w:val="14"/>
          <w:rFonts w:hint="default" w:ascii="Times New Roman" w:hAnsi="Times New Roman" w:eastAsia="仿宋_GB2312" w:cs="Times New Roman"/>
          <w:bCs/>
          <w:color w:val="auto"/>
          <w:sz w:val="32"/>
          <w:szCs w:val="32"/>
        </w:rPr>
        <w:t>公共服务</w:t>
      </w:r>
      <w:r>
        <w:rPr>
          <w:rStyle w:val="14"/>
          <w:rFonts w:hint="default" w:ascii="Times New Roman" w:hAnsi="Times New Roman" w:eastAsia="仿宋_GB2312" w:cs="Times New Roman"/>
          <w:bCs/>
          <w:color w:val="auto"/>
          <w:sz w:val="32"/>
          <w:szCs w:val="32"/>
          <w:lang w:eastAsia="zh-CN"/>
        </w:rPr>
        <w:t>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其他民族事务支出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000000"/>
          <w:sz w:val="32"/>
          <w:szCs w:val="32"/>
        </w:rPr>
        <w:t>支出决算为</w:t>
      </w:r>
      <w:r>
        <w:rPr>
          <w:rStyle w:val="14"/>
          <w:rFonts w:hint="eastAsia" w:eastAsia="仿宋_GB2312" w:cs="Times New Roman"/>
          <w:b w:val="0"/>
          <w:bCs/>
          <w:color w:val="000000"/>
          <w:sz w:val="32"/>
          <w:szCs w:val="32"/>
          <w:lang w:val="en-US" w:eastAsia="zh-CN"/>
        </w:rPr>
        <w:t>107</w:t>
      </w:r>
      <w:r>
        <w:rPr>
          <w:rStyle w:val="14"/>
          <w:rFonts w:hint="default" w:ascii="Times New Roman" w:hAnsi="Times New Roman" w:eastAsia="仿宋_GB2312" w:cs="Times New Roman"/>
          <w:b w:val="0"/>
          <w:bCs/>
          <w:color w:val="000000"/>
          <w:sz w:val="32"/>
          <w:szCs w:val="32"/>
        </w:rPr>
        <w:t>万元，完成预算</w:t>
      </w:r>
      <w:r>
        <w:rPr>
          <w:rStyle w:val="14"/>
          <w:rFonts w:hint="eastAsia" w:eastAsia="仿宋_GB2312" w:cs="Times New Roman"/>
          <w:b w:val="0"/>
          <w:bCs/>
          <w:color w:val="000000"/>
          <w:sz w:val="32"/>
          <w:szCs w:val="32"/>
          <w:lang w:val="en-US" w:eastAsia="zh-CN"/>
        </w:rPr>
        <w:t>96.40</w:t>
      </w:r>
      <w:r>
        <w:rPr>
          <w:rStyle w:val="14"/>
          <w:rFonts w:hint="default" w:ascii="Times New Roman" w:hAnsi="Times New Roman" w:eastAsia="仿宋_GB2312" w:cs="Times New Roman"/>
          <w:b w:val="0"/>
          <w:bCs/>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受疫情影响，项目支出减少</w:t>
      </w:r>
      <w:r>
        <w:rPr>
          <w:rStyle w:val="14"/>
          <w:rFonts w:hint="default" w:ascii="Times New Roman" w:hAnsi="Times New Roman" w:eastAsia="仿宋_GB2312" w:cs="Times New Roman"/>
          <w:b w:val="0"/>
          <w:bCs/>
          <w:color w:val="000000"/>
          <w:sz w:val="32"/>
          <w:szCs w:val="32"/>
        </w:rPr>
        <w:t>。</w:t>
      </w:r>
    </w:p>
    <w:p>
      <w:pPr>
        <w:numPr>
          <w:ilvl w:val="0"/>
          <w:numId w:val="0"/>
        </w:numPr>
        <w:spacing w:line="60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eastAsia" w:eastAsia="仿宋_GB2312" w:cs="Times New Roman"/>
          <w:bCs/>
          <w:color w:val="auto"/>
          <w:sz w:val="32"/>
          <w:szCs w:val="32"/>
          <w:lang w:val="en-US" w:eastAsia="zh-CN"/>
        </w:rPr>
        <w:t>4.</w:t>
      </w:r>
      <w:r>
        <w:rPr>
          <w:rStyle w:val="14"/>
          <w:rFonts w:hint="default" w:ascii="Times New Roman" w:hAnsi="Times New Roman" w:eastAsia="仿宋_GB2312" w:cs="Times New Roman"/>
          <w:bCs/>
          <w:color w:val="auto"/>
          <w:sz w:val="32"/>
          <w:szCs w:val="32"/>
        </w:rPr>
        <w:t>教育</w:t>
      </w:r>
      <w:r>
        <w:rPr>
          <w:rStyle w:val="14"/>
          <w:rFonts w:hint="default" w:ascii="Times New Roman" w:hAnsi="Times New Roman" w:eastAsia="仿宋_GB2312" w:cs="Times New Roman"/>
          <w:bCs/>
          <w:color w:val="auto"/>
          <w:sz w:val="32"/>
          <w:szCs w:val="32"/>
          <w:lang w:eastAsia="zh-CN"/>
        </w:rPr>
        <w:t>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进修及培训</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培训支出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eastAsia" w:eastAsia="仿宋_GB2312" w:cs="Times New Roman"/>
          <w:b w:val="0"/>
          <w:bCs/>
          <w:color w:val="auto"/>
          <w:sz w:val="32"/>
          <w:szCs w:val="32"/>
          <w:lang w:val="en-US" w:eastAsia="zh-CN"/>
        </w:rPr>
        <w:t>5.88</w:t>
      </w:r>
      <w:r>
        <w:rPr>
          <w:rStyle w:val="14"/>
          <w:rFonts w:hint="default" w:ascii="Times New Roman" w:hAnsi="Times New Roman" w:eastAsia="仿宋_GB2312" w:cs="Times New Roman"/>
          <w:b w:val="0"/>
          <w:bCs/>
          <w:color w:val="auto"/>
          <w:sz w:val="32"/>
          <w:szCs w:val="32"/>
        </w:rPr>
        <w:t>万元，完成预算</w:t>
      </w:r>
      <w:r>
        <w:rPr>
          <w:rStyle w:val="14"/>
          <w:rFonts w:hint="eastAsia" w:eastAsia="仿宋_GB2312" w:cs="Times New Roman"/>
          <w:b w:val="0"/>
          <w:bCs/>
          <w:color w:val="auto"/>
          <w:sz w:val="32"/>
          <w:szCs w:val="32"/>
          <w:lang w:val="en-US" w:eastAsia="zh-CN"/>
        </w:rPr>
        <w:t>98</w:t>
      </w:r>
      <w:r>
        <w:rPr>
          <w:rStyle w:val="14"/>
          <w:rFonts w:hint="default" w:ascii="Times New Roman" w:hAnsi="Times New Roman" w:eastAsia="仿宋_GB2312" w:cs="Times New Roman"/>
          <w:b w:val="0"/>
          <w:bCs/>
          <w:color w:val="auto"/>
          <w:sz w:val="32"/>
          <w:szCs w:val="32"/>
        </w:rPr>
        <w:t>%，决算数小于预算数的主要原因是</w:t>
      </w:r>
      <w:r>
        <w:rPr>
          <w:rStyle w:val="14"/>
          <w:rFonts w:hint="default" w:ascii="Times New Roman" w:hAnsi="Times New Roman" w:eastAsia="仿宋_GB2312" w:cs="Times New Roman"/>
          <w:b w:val="0"/>
          <w:bCs/>
          <w:color w:val="auto"/>
          <w:sz w:val="32"/>
          <w:szCs w:val="32"/>
          <w:lang w:val="en-US" w:eastAsia="zh-CN"/>
        </w:rPr>
        <w:t>按照</w:t>
      </w:r>
      <w:r>
        <w:rPr>
          <w:rStyle w:val="14"/>
          <w:rFonts w:hint="eastAsia" w:ascii="Times New Roman" w:hAnsi="Times New Roman" w:eastAsia="仿宋_GB2312" w:cs="Times New Roman"/>
          <w:b w:val="0"/>
          <w:bCs/>
          <w:color w:val="auto"/>
          <w:sz w:val="32"/>
          <w:szCs w:val="32"/>
          <w:lang w:val="en-US" w:eastAsia="zh-CN"/>
        </w:rPr>
        <w:t>厉行节约要求</w:t>
      </w:r>
      <w:r>
        <w:rPr>
          <w:rStyle w:val="14"/>
          <w:rFonts w:hint="eastAsia" w:eastAsia="仿宋_GB2312" w:cs="Times New Roman"/>
          <w:b w:val="0"/>
          <w:bCs/>
          <w:color w:val="auto"/>
          <w:sz w:val="32"/>
          <w:szCs w:val="32"/>
          <w:lang w:val="en-US" w:eastAsia="zh-CN"/>
        </w:rPr>
        <w:t>，</w:t>
      </w:r>
      <w:r>
        <w:rPr>
          <w:rStyle w:val="14"/>
          <w:rFonts w:hint="default" w:ascii="Times New Roman" w:hAnsi="Times New Roman" w:eastAsia="仿宋_GB2312" w:cs="Times New Roman"/>
          <w:b w:val="0"/>
          <w:bCs/>
          <w:color w:val="auto"/>
          <w:sz w:val="32"/>
          <w:szCs w:val="32"/>
          <w:lang w:val="en-US" w:eastAsia="zh-CN"/>
        </w:rPr>
        <w:t>压减培训费</w:t>
      </w:r>
      <w:r>
        <w:rPr>
          <w:rStyle w:val="14"/>
          <w:rFonts w:hint="default" w:ascii="Times New Roman" w:hAnsi="Times New Roman" w:eastAsia="仿宋_GB2312" w:cs="Times New Roman"/>
          <w:b w:val="0"/>
          <w:bCs/>
          <w:color w:val="auto"/>
          <w:sz w:val="32"/>
          <w:szCs w:val="32"/>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hint="default" w:ascii="Times New Roman" w:hAnsi="Times New Roman" w:eastAsia="仿宋_GB2312" w:cs="Times New Roman"/>
          <w:bCs/>
          <w:color w:val="auto"/>
          <w:sz w:val="32"/>
          <w:szCs w:val="32"/>
          <w:lang w:val="en-US" w:eastAsia="zh-CN"/>
        </w:rPr>
        <w:t>文化旅游体育与传媒支出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文物</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文物保护</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48.39</w:t>
      </w:r>
      <w:r>
        <w:rPr>
          <w:rStyle w:val="14"/>
          <w:rFonts w:hint="default" w:ascii="Times New Roman" w:hAnsi="Times New Roman" w:eastAsia="仿宋_GB2312" w:cs="Times New Roman"/>
          <w:b w:val="0"/>
          <w:bCs/>
          <w:color w:val="auto"/>
          <w:sz w:val="32"/>
          <w:szCs w:val="32"/>
        </w:rPr>
        <w:t>万元，完成预算</w:t>
      </w:r>
      <w:r>
        <w:rPr>
          <w:rStyle w:val="14"/>
          <w:rFonts w:hint="eastAsia" w:ascii="Times New Roman" w:hAnsi="Times New Roman" w:eastAsia="仿宋_GB2312" w:cs="Times New Roman"/>
          <w:b w:val="0"/>
          <w:bCs/>
          <w:color w:val="auto"/>
          <w:sz w:val="32"/>
          <w:szCs w:val="32"/>
          <w:lang w:val="en-US" w:eastAsia="zh-CN"/>
        </w:rPr>
        <w:t>92</w:t>
      </w:r>
      <w:r>
        <w:rPr>
          <w:rStyle w:val="14"/>
          <w:rFonts w:hint="default" w:ascii="Times New Roman" w:hAnsi="Times New Roman" w:eastAsia="仿宋_GB2312" w:cs="Times New Roman"/>
          <w:b w:val="0"/>
          <w:bCs/>
          <w:color w:val="auto"/>
          <w:sz w:val="32"/>
          <w:szCs w:val="32"/>
        </w:rPr>
        <w:t>%。决算数小于预算数的主要原因是</w:t>
      </w:r>
      <w:r>
        <w:rPr>
          <w:rStyle w:val="14"/>
          <w:rFonts w:hint="eastAsia" w:eastAsia="仿宋_GB2312" w:cs="Times New Roman"/>
          <w:b w:val="0"/>
          <w:bCs/>
          <w:color w:val="auto"/>
          <w:sz w:val="32"/>
          <w:szCs w:val="32"/>
          <w:lang w:val="en-US" w:eastAsia="zh-CN"/>
        </w:rPr>
        <w:t>部分工作跨年实施。</w:t>
      </w:r>
    </w:p>
    <w:p>
      <w:pPr>
        <w:spacing w:line="600" w:lineRule="exact"/>
        <w:ind w:firstLine="643" w:firstLineChars="200"/>
        <w:rPr>
          <w:rStyle w:val="14"/>
          <w:rFonts w:hint="eastAsia" w:eastAsia="仿宋_GB2312" w:cs="Times New Roman"/>
          <w:b w:val="0"/>
          <w:bCs/>
          <w:color w:val="auto"/>
          <w:sz w:val="32"/>
          <w:szCs w:val="32"/>
          <w:lang w:val="en-US" w:eastAsia="zh-CN"/>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行政</w:t>
      </w:r>
      <w:r>
        <w:rPr>
          <w:rStyle w:val="14"/>
          <w:rFonts w:hint="default" w:ascii="Times New Roman" w:hAnsi="Times New Roman" w:eastAsia="仿宋_GB2312" w:cs="Times New Roman"/>
          <w:bCs/>
          <w:color w:val="auto"/>
          <w:sz w:val="32"/>
          <w:szCs w:val="32"/>
          <w:lang w:eastAsia="zh-CN"/>
        </w:rPr>
        <w:t>单位离退休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auto"/>
          <w:sz w:val="32"/>
          <w:szCs w:val="32"/>
          <w:lang w:eastAsia="zh-CN"/>
        </w:rPr>
        <w:t>）</w:t>
      </w:r>
      <w:r>
        <w:rPr>
          <w:rStyle w:val="14"/>
          <w:rFonts w:hint="default" w:ascii="Times New Roman" w:hAnsi="Times New Roman" w:eastAsia="仿宋_GB2312" w:cs="Times New Roman"/>
          <w:bCs/>
          <w:color w:val="auto"/>
          <w:sz w:val="32"/>
          <w:szCs w:val="32"/>
          <w:lang w:val="en-US" w:eastAsia="zh-CN"/>
        </w:rPr>
        <w:t xml:space="preserve"> ：</w:t>
      </w:r>
      <w:r>
        <w:rPr>
          <w:rStyle w:val="14"/>
          <w:rFonts w:hint="default" w:ascii="Times New Roman" w:hAnsi="Times New Roman" w:eastAsia="仿宋_GB2312" w:cs="Times New Roman"/>
          <w:b w:val="0"/>
          <w:bCs w:val="0"/>
          <w:color w:val="auto"/>
          <w:sz w:val="32"/>
          <w:szCs w:val="32"/>
        </w:rPr>
        <w:t>支出</w:t>
      </w:r>
      <w:r>
        <w:rPr>
          <w:rStyle w:val="14"/>
          <w:rFonts w:hint="default" w:ascii="Times New Roman" w:hAnsi="Times New Roman" w:eastAsia="仿宋_GB2312" w:cs="Times New Roman"/>
          <w:b w:val="0"/>
          <w:bCs/>
          <w:color w:val="000000"/>
          <w:sz w:val="32"/>
          <w:szCs w:val="32"/>
        </w:rPr>
        <w:t>决算为</w:t>
      </w:r>
      <w:r>
        <w:rPr>
          <w:rStyle w:val="14"/>
          <w:rFonts w:hint="eastAsia" w:eastAsia="仿宋_GB2312" w:cs="Times New Roman"/>
          <w:b w:val="0"/>
          <w:bCs/>
          <w:color w:val="000000"/>
          <w:sz w:val="32"/>
          <w:szCs w:val="32"/>
          <w:lang w:val="en-US" w:eastAsia="zh-CN"/>
        </w:rPr>
        <w:t>7.24</w:t>
      </w:r>
      <w:r>
        <w:rPr>
          <w:rStyle w:val="14"/>
          <w:rFonts w:hint="default" w:ascii="Times New Roman" w:hAnsi="Times New Roman" w:eastAsia="仿宋_GB2312" w:cs="Times New Roman"/>
          <w:b w:val="0"/>
          <w:bCs/>
          <w:color w:val="000000"/>
          <w:sz w:val="32"/>
          <w:szCs w:val="32"/>
        </w:rPr>
        <w:t>万元，</w:t>
      </w:r>
      <w:r>
        <w:rPr>
          <w:rStyle w:val="14"/>
          <w:rFonts w:hint="default" w:ascii="Times New Roman" w:hAnsi="Times New Roman" w:eastAsia="仿宋_GB2312" w:cs="Times New Roman"/>
          <w:b w:val="0"/>
          <w:bCs/>
          <w:color w:val="auto"/>
          <w:sz w:val="32"/>
          <w:szCs w:val="32"/>
        </w:rPr>
        <w:t>完成预算</w:t>
      </w:r>
      <w:r>
        <w:rPr>
          <w:rStyle w:val="14"/>
          <w:rFonts w:hint="eastAsia"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r>
        <w:rPr>
          <w:rStyle w:val="14"/>
          <w:rFonts w:hint="eastAsia"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000000"/>
          <w:sz w:val="32"/>
          <w:szCs w:val="32"/>
        </w:rPr>
      </w:pPr>
      <w:r>
        <w:rPr>
          <w:rStyle w:val="14"/>
          <w:rFonts w:hint="eastAsia" w:eastAsia="仿宋_GB2312" w:cs="Times New Roman"/>
          <w:bCs/>
          <w:color w:val="auto"/>
          <w:sz w:val="32"/>
          <w:szCs w:val="32"/>
          <w:lang w:val="en-US" w:eastAsia="zh-CN"/>
        </w:rPr>
        <w:t>7.</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机关事业单位基本养老保险缴费支出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eastAsia" w:eastAsia="仿宋_GB2312" w:cs="Times New Roman"/>
          <w:b w:val="0"/>
          <w:bCs/>
          <w:color w:val="auto"/>
          <w:sz w:val="32"/>
          <w:szCs w:val="32"/>
          <w:lang w:val="en-US" w:eastAsia="zh-CN"/>
        </w:rPr>
        <w:t>10.72</w:t>
      </w:r>
      <w:r>
        <w:rPr>
          <w:rStyle w:val="14"/>
          <w:rFonts w:hint="default" w:ascii="Times New Roman" w:hAnsi="Times New Roman" w:eastAsia="仿宋_GB2312" w:cs="Times New Roman"/>
          <w:b w:val="0"/>
          <w:bCs/>
          <w:color w:val="auto"/>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pStyle w:val="17"/>
        <w:ind w:firstLine="643" w:firstLineChars="200"/>
        <w:rPr>
          <w:rStyle w:val="14"/>
          <w:rFonts w:hint="default" w:ascii="Times New Roman" w:hAnsi="Times New Roman" w:eastAsia="仿宋_GB2312" w:cs="Times New Roman"/>
          <w:b w:val="0"/>
          <w:bCs/>
          <w:color w:val="000000"/>
          <w:sz w:val="32"/>
          <w:szCs w:val="32"/>
        </w:rPr>
      </w:pPr>
      <w:r>
        <w:rPr>
          <w:rStyle w:val="14"/>
          <w:rFonts w:hint="eastAsia" w:ascii="Times New Roman" w:hAnsi="Times New Roman" w:eastAsia="仿宋_GB2312" w:cs="Times New Roman"/>
          <w:bCs/>
          <w:color w:val="auto"/>
          <w:sz w:val="32"/>
          <w:szCs w:val="32"/>
          <w:lang w:val="en-US" w:eastAsia="zh-CN"/>
        </w:rPr>
        <w:t>8.</w:t>
      </w:r>
      <w:r>
        <w:rPr>
          <w:rStyle w:val="14"/>
          <w:rFonts w:hint="default" w:ascii="Times New Roman" w:hAnsi="Times New Roman" w:eastAsia="仿宋_GB2312" w:cs="Times New Roman"/>
          <w:bCs/>
          <w:color w:val="auto"/>
          <w:sz w:val="32"/>
          <w:szCs w:val="32"/>
          <w:lang w:eastAsia="zh-CN"/>
        </w:rPr>
        <w:t>医疗健康支出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行政单位医疗</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000000"/>
          <w:sz w:val="32"/>
          <w:szCs w:val="32"/>
        </w:rPr>
        <w:t>:</w:t>
      </w:r>
      <w:r>
        <w:rPr>
          <w:rStyle w:val="14"/>
          <w:rFonts w:hint="default" w:ascii="Times New Roman" w:hAnsi="Times New Roman" w:eastAsia="仿宋_GB2312" w:cs="Times New Roman"/>
          <w:b w:val="0"/>
          <w:bCs/>
          <w:color w:val="000000"/>
          <w:sz w:val="32"/>
          <w:szCs w:val="32"/>
        </w:rPr>
        <w:t>支出决算为</w:t>
      </w:r>
      <w:r>
        <w:rPr>
          <w:rStyle w:val="14"/>
          <w:rFonts w:hint="eastAsia" w:ascii="Times New Roman" w:hAnsi="Times New Roman" w:eastAsia="仿宋_GB2312" w:cs="Times New Roman"/>
          <w:b w:val="0"/>
          <w:bCs/>
          <w:color w:val="000000"/>
          <w:sz w:val="32"/>
          <w:szCs w:val="32"/>
          <w:lang w:val="en-US" w:eastAsia="zh-CN"/>
        </w:rPr>
        <w:t>8.01</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000000"/>
          <w:sz w:val="32"/>
          <w:szCs w:val="32"/>
        </w:rPr>
      </w:pPr>
      <w:r>
        <w:rPr>
          <w:rStyle w:val="14"/>
          <w:rFonts w:hint="eastAsia" w:eastAsia="仿宋_GB2312" w:cs="Times New Roman"/>
          <w:bCs/>
          <w:color w:val="auto"/>
          <w:sz w:val="32"/>
          <w:szCs w:val="32"/>
          <w:lang w:val="en-US" w:eastAsia="zh-CN"/>
        </w:rPr>
        <w:t>9.</w:t>
      </w:r>
      <w:r>
        <w:rPr>
          <w:rStyle w:val="14"/>
          <w:rFonts w:hint="default" w:ascii="Times New Roman" w:hAnsi="Times New Roman" w:eastAsia="仿宋_GB2312" w:cs="Times New Roman"/>
          <w:bCs/>
          <w:color w:val="auto"/>
          <w:sz w:val="32"/>
          <w:szCs w:val="32"/>
          <w:lang w:eastAsia="zh-CN"/>
        </w:rPr>
        <w:t>医疗健康支出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公务员医疗补助</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000000"/>
          <w:sz w:val="32"/>
          <w:szCs w:val="32"/>
        </w:rPr>
        <w:t>:</w:t>
      </w:r>
      <w:r>
        <w:rPr>
          <w:rStyle w:val="14"/>
          <w:rFonts w:hint="default" w:ascii="Times New Roman" w:hAnsi="Times New Roman" w:eastAsia="仿宋_GB2312" w:cs="Times New Roman"/>
          <w:b w:val="0"/>
          <w:bCs/>
          <w:color w:val="000000"/>
          <w:sz w:val="32"/>
          <w:szCs w:val="32"/>
        </w:rPr>
        <w:t>支出决算为</w:t>
      </w:r>
      <w:r>
        <w:rPr>
          <w:rStyle w:val="14"/>
          <w:rFonts w:hint="default" w:ascii="Times New Roman" w:hAnsi="Times New Roman" w:eastAsia="仿宋_GB2312" w:cs="Times New Roman"/>
          <w:b w:val="0"/>
          <w:bCs/>
          <w:color w:val="000000"/>
          <w:sz w:val="32"/>
          <w:szCs w:val="32"/>
          <w:lang w:val="en-US" w:eastAsia="zh-CN"/>
        </w:rPr>
        <w:t>1.</w:t>
      </w:r>
      <w:r>
        <w:rPr>
          <w:rStyle w:val="14"/>
          <w:rFonts w:hint="eastAsia" w:eastAsia="仿宋_GB2312" w:cs="Times New Roman"/>
          <w:b w:val="0"/>
          <w:bCs/>
          <w:color w:val="000000"/>
          <w:sz w:val="32"/>
          <w:szCs w:val="32"/>
          <w:lang w:val="en-US" w:eastAsia="zh-CN"/>
        </w:rPr>
        <w:t>84</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ind w:firstLine="643" w:firstLineChars="200"/>
        <w:rPr>
          <w:rStyle w:val="14"/>
          <w:rFonts w:hint="default" w:ascii="Times New Roman" w:hAnsi="Times New Roman" w:eastAsia="仿宋_GB2312" w:cs="Times New Roman"/>
          <w:b w:val="0"/>
          <w:bCs/>
          <w:color w:val="auto"/>
          <w:sz w:val="32"/>
          <w:szCs w:val="32"/>
        </w:rPr>
      </w:pPr>
      <w:r>
        <w:rPr>
          <w:rStyle w:val="14"/>
          <w:rFonts w:hint="eastAsia" w:eastAsia="仿宋_GB2312" w:cs="Times New Roman"/>
          <w:bCs/>
          <w:color w:val="auto"/>
          <w:sz w:val="32"/>
          <w:szCs w:val="32"/>
          <w:lang w:val="en-US" w:eastAsia="zh-CN"/>
        </w:rPr>
        <w:t>10.</w:t>
      </w:r>
      <w:r>
        <w:rPr>
          <w:rStyle w:val="14"/>
          <w:rFonts w:hint="default" w:ascii="Times New Roman" w:hAnsi="Times New Roman" w:eastAsia="仿宋_GB2312" w:cs="Times New Roman"/>
          <w:bCs/>
          <w:color w:val="auto"/>
          <w:sz w:val="32"/>
          <w:szCs w:val="32"/>
          <w:lang w:eastAsia="zh-CN"/>
        </w:rPr>
        <w:t>住房保障支出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住房改革支出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住房公积金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eastAsia" w:eastAsia="仿宋_GB2312" w:cs="Times New Roman"/>
          <w:b w:val="0"/>
          <w:bCs/>
          <w:color w:val="auto"/>
          <w:sz w:val="32"/>
          <w:szCs w:val="32"/>
          <w:lang w:val="en-US" w:eastAsia="zh-CN"/>
        </w:rPr>
        <w:t>10.27</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
          <w:bCs w:val="0"/>
          <w:color w:val="000000"/>
          <w:sz w:val="32"/>
          <w:szCs w:val="32"/>
          <w:lang w:val="en-US" w:eastAsia="zh-CN"/>
        </w:rPr>
        <w:t>1</w:t>
      </w:r>
      <w:r>
        <w:rPr>
          <w:rStyle w:val="14"/>
          <w:rFonts w:hint="eastAsia" w:eastAsia="仿宋_GB2312" w:cs="Times New Roman"/>
          <w:b/>
          <w:bCs w:val="0"/>
          <w:color w:val="000000"/>
          <w:sz w:val="32"/>
          <w:szCs w:val="32"/>
          <w:lang w:val="en-US" w:eastAsia="zh-CN"/>
        </w:rPr>
        <w:t>1</w:t>
      </w:r>
      <w:r>
        <w:rPr>
          <w:rStyle w:val="14"/>
          <w:rFonts w:hint="default" w:ascii="Times New Roman" w:hAnsi="Times New Roman" w:eastAsia="仿宋_GB2312" w:cs="Times New Roman"/>
          <w:b/>
          <w:bCs w:val="0"/>
          <w:color w:val="000000"/>
          <w:sz w:val="32"/>
          <w:szCs w:val="32"/>
          <w:lang w:val="en-US" w:eastAsia="zh-CN"/>
        </w:rPr>
        <w:t>.</w:t>
      </w:r>
      <w:r>
        <w:rPr>
          <w:rStyle w:val="14"/>
          <w:rFonts w:hint="default" w:ascii="Times New Roman" w:hAnsi="Times New Roman" w:eastAsia="仿宋_GB2312" w:cs="Times New Roman"/>
          <w:bCs/>
          <w:color w:val="auto"/>
          <w:sz w:val="32"/>
          <w:szCs w:val="32"/>
          <w:lang w:eastAsia="zh-CN"/>
        </w:rPr>
        <w:t>住房保障支出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住房改革支出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购房补贴</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25</w:t>
      </w:r>
      <w:r>
        <w:rPr>
          <w:rStyle w:val="14"/>
          <w:rFonts w:hint="eastAsia" w:eastAsia="仿宋_GB2312" w:cs="Times New Roman"/>
          <w:b w:val="0"/>
          <w:bCs/>
          <w:color w:val="auto"/>
          <w:sz w:val="32"/>
          <w:szCs w:val="32"/>
          <w:lang w:val="en-US" w:eastAsia="zh-CN"/>
        </w:rPr>
        <w:t>.27</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pStyle w:val="17"/>
      </w:pP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210.10</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174.47</w:t>
      </w:r>
      <w:r>
        <w:rPr>
          <w:rFonts w:hint="eastAsia" w:ascii="仿宋" w:hAnsi="仿宋" w:eastAsia="仿宋"/>
          <w:color w:val="auto"/>
          <w:sz w:val="32"/>
          <w:szCs w:val="32"/>
          <w:highlight w:val="none"/>
        </w:rPr>
        <w:t>万元，主要包括：</w:t>
      </w:r>
      <w:r>
        <w:rPr>
          <w:rFonts w:hint="default" w:ascii="Times New Roman" w:hAnsi="Times New Roman" w:eastAsia="仿宋_GB2312" w:cs="Times New Roman"/>
          <w:color w:val="000000"/>
          <w:sz w:val="32"/>
          <w:szCs w:val="32"/>
        </w:rPr>
        <w:t>基本工资、津贴补贴、奖金、机关事业单位基本养老保险缴费、其他工资福利支出、医疗费补助、奖励金、住房公积金、其他对个人和家庭的补助支出。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35.61</w:t>
      </w:r>
      <w:r>
        <w:rPr>
          <w:rFonts w:hint="eastAsia" w:ascii="仿宋" w:hAnsi="仿宋" w:eastAsia="仿宋"/>
          <w:color w:val="auto"/>
          <w:sz w:val="32"/>
          <w:szCs w:val="32"/>
          <w:highlight w:val="none"/>
        </w:rPr>
        <w:t>万元，主要包括：</w:t>
      </w:r>
      <w:r>
        <w:rPr>
          <w:rFonts w:hint="default" w:ascii="Times New Roman" w:hAnsi="Times New Roman" w:eastAsia="仿宋_GB2312" w:cs="Times New Roman"/>
          <w:color w:val="000000"/>
          <w:sz w:val="32"/>
          <w:szCs w:val="32"/>
        </w:rPr>
        <w:t>办公费、水费、电费、邮电费、差旅费、维修（护）费、会议费、培训费、公务接待费、劳务费、委托业务费、工会经费、福利费、公务用车运行维护费、其他交通费、其他商品和服务支出。</w:t>
      </w:r>
    </w:p>
    <w:p>
      <w:pPr>
        <w:pStyle w:val="17"/>
      </w:pPr>
    </w:p>
    <w:p>
      <w:pPr>
        <w:spacing w:line="600" w:lineRule="exact"/>
        <w:ind w:firstLine="640"/>
        <w:outlineLvl w:val="1"/>
        <w:rPr>
          <w:rStyle w:val="27"/>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default"/>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default" w:ascii="Times New Roman" w:hAnsi="Times New Roman" w:eastAsia="仿宋_GB2312" w:cs="Times New Roman"/>
          <w:color w:val="000000"/>
          <w:sz w:val="32"/>
          <w:szCs w:val="32"/>
          <w:lang w:val="en-US" w:eastAsia="zh-CN"/>
        </w:rPr>
        <w:t>受疫情影响，未进行公务接待等</w:t>
      </w:r>
      <w:r>
        <w:rPr>
          <w:rFonts w:hint="default" w:ascii="Times New Roman" w:hAnsi="Times New Roman" w:eastAsia="仿宋_GB2312" w:cs="Times New Roman"/>
          <w:color w:val="000000"/>
          <w:sz w:val="32"/>
          <w:szCs w:val="32"/>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hint="default" w:ascii="Times New Roman" w:hAnsi="Times New Roman" w:eastAsia="仿宋" w:cs="Times New Roman"/>
          <w:color w:val="auto"/>
          <w:sz w:val="32"/>
          <w:szCs w:val="32"/>
          <w:lang w:eastAsia="zh-CN"/>
        </w:rPr>
        <w:drawing>
          <wp:anchor distT="0" distB="0" distL="114300" distR="114300" simplePos="0" relativeHeight="251672576" behindDoc="0" locked="0" layoutInCell="1" allowOverlap="1">
            <wp:simplePos x="0" y="0"/>
            <wp:positionH relativeFrom="column">
              <wp:posOffset>519430</wp:posOffset>
            </wp:positionH>
            <wp:positionV relativeFrom="paragraph">
              <wp:posOffset>1572260</wp:posOffset>
            </wp:positionV>
            <wp:extent cx="4521200" cy="2136140"/>
            <wp:effectExtent l="4445" t="4445" r="8255" b="1206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p>
    <w:p>
      <w:pPr>
        <w:numPr>
          <w:ilvl w:val="0"/>
          <w:numId w:val="0"/>
        </w:numPr>
        <w:spacing w:line="600" w:lineRule="exact"/>
        <w:ind w:firstLine="643" w:firstLineChars="200"/>
        <w:rPr>
          <w:rFonts w:hint="default" w:ascii="Times New Roman" w:hAnsi="Times New Roman" w:eastAsia="仿宋_GB2312" w:cs="Times New Roman"/>
          <w:color w:val="auto"/>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default" w:ascii="Times New Roman" w:hAnsi="Times New Roman" w:eastAsia="仿宋_GB2312" w:cs="Times New Roman"/>
          <w:color w:val="auto"/>
          <w:sz w:val="32"/>
          <w:szCs w:val="32"/>
        </w:rPr>
        <w:t>因公出国（境）支出决算</w:t>
      </w:r>
      <w:r>
        <w:rPr>
          <w:rFonts w:hint="eastAsia"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持平</w:t>
      </w:r>
      <w:r>
        <w:rPr>
          <w:rFonts w:hint="default" w:ascii="Times New Roman" w:hAnsi="Times New Roman" w:eastAsia="仿宋_GB2312" w:cs="Times New Roman"/>
          <w:color w:val="auto"/>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持平</w:t>
      </w:r>
      <w:r>
        <w:rPr>
          <w:rFonts w:hint="default" w:ascii="Times New Roman" w:hAnsi="Times New Roman" w:eastAsia="仿宋_GB2312" w:cs="Times New Roman"/>
          <w:color w:val="auto"/>
          <w:sz w:val="32"/>
          <w:szCs w:val="32"/>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000000"/>
          <w:sz w:val="32"/>
          <w:szCs w:val="32"/>
          <w:lang w:val="en-US" w:eastAsia="zh-CN"/>
        </w:rPr>
        <w:t>四川省少数民族古籍整理办公室</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35.62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33.81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Times New Roman" w:hAnsi="Times New Roman" w:eastAsia="仿宋_GB2312" w:cs="Times New Roman"/>
          <w:color w:val="auto"/>
          <w:sz w:val="32"/>
          <w:szCs w:val="32"/>
          <w:highlight w:val="none"/>
          <w:lang w:val="en-US" w:eastAsia="zh-CN"/>
        </w:rPr>
        <w:t>新增人员对应公务交通补贴及公用经费增加</w:t>
      </w:r>
      <w:r>
        <w:rPr>
          <w:rFonts w:hint="eastAsia" w:eastAsia="仿宋_GB2312" w:cs="Times New Roman"/>
          <w:color w:val="auto"/>
          <w:sz w:val="32"/>
          <w:szCs w:val="32"/>
          <w:highlight w:val="none"/>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000000"/>
          <w:sz w:val="32"/>
          <w:szCs w:val="32"/>
          <w:lang w:val="en-US" w:eastAsia="zh-CN"/>
        </w:rPr>
        <w:t>四川省少数民族古籍整理办公室</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default" w:ascii="Times New Roman" w:hAnsi="Times New Roman" w:eastAsia="仿宋_GB2312" w:cs="Times New Roman"/>
          <w:color w:val="000000"/>
          <w:sz w:val="32"/>
          <w:szCs w:val="32"/>
          <w:lang w:val="en-US" w:eastAsia="zh-CN"/>
        </w:rPr>
        <w:t>四川省少数民族古籍整理办公室</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古籍出版经费</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6"/>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auto"/>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default" w:ascii="Times New Roman" w:hAnsi="Times New Roman" w:eastAsia="仿宋_GB2312" w:cs="Times New Roman"/>
          <w:color w:val="auto"/>
          <w:kern w:val="0"/>
          <w:sz w:val="32"/>
          <w:szCs w:val="32"/>
          <w:lang w:val="en-US" w:eastAsia="zh-CN" w:bidi="ar-SA"/>
        </w:rPr>
        <w:t>一般公共服务支出（类）民族事务（款）行政运行（项）:</w:t>
      </w:r>
      <w:r>
        <w:rPr>
          <w:rFonts w:hint="default" w:ascii="Times New Roman" w:hAnsi="Times New Roman" w:eastAsia="仿宋_GB2312" w:cs="Times New Roman"/>
          <w:color w:val="auto"/>
          <w:sz w:val="32"/>
          <w:szCs w:val="32"/>
        </w:rPr>
        <w:t>指反映行政单位 (包括实行公务员管理的事业单位) 的基本支出。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w:t>
      </w:r>
      <w:r>
        <w:rPr>
          <w:rFonts w:hint="default" w:ascii="Times New Roman" w:hAnsi="Times New Roman" w:eastAsia="仿宋_GB2312" w:cs="Times New Roman"/>
          <w:color w:val="auto"/>
          <w:sz w:val="32"/>
          <w:szCs w:val="32"/>
          <w:lang w:eastAsia="zh-CN"/>
        </w:rPr>
        <w:t>一般行政管理事务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反映行政单位 (包括实行公务员 管理的事业单位)未单独设置项级科目的其他项目支出。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（类）民族事务（款）其他民族事务支出（项）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反映除上述项目以外其他用于民族事务方面的支出。</w:t>
      </w:r>
    </w:p>
    <w:p>
      <w:pPr>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（类）进修及培训（款）培训支出（项）</w:t>
      </w:r>
      <w:r>
        <w:rPr>
          <w:rFonts w:hint="default" w:ascii="Times New Roman" w:hAnsi="Times New Roman" w:eastAsia="仿宋_GB2312" w:cs="Times New Roman"/>
          <w:color w:val="auto"/>
          <w:sz w:val="32"/>
          <w:szCs w:val="32"/>
          <w:lang w:eastAsia="zh-CN"/>
        </w:rPr>
        <w:t>：反映各部门安排的用于培训的支出。教育部门的师资培训，党校、行政学院等专业干部教育机构的支出，以及退役士兵、转业士官的培训支出，不在本科目反映。</w:t>
      </w:r>
    </w:p>
    <w:p>
      <w:pPr>
        <w:pStyle w:val="17"/>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8.</w:t>
      </w:r>
      <w:r>
        <w:rPr>
          <w:rFonts w:hint="default" w:ascii="Times New Roman" w:hAnsi="Times New Roman" w:eastAsia="仿宋_GB2312" w:cs="Times New Roman"/>
          <w:color w:val="auto"/>
          <w:kern w:val="2"/>
          <w:sz w:val="32"/>
          <w:szCs w:val="32"/>
          <w:lang w:val="en-US" w:eastAsia="zh-CN" w:bidi="ar-SA"/>
        </w:rPr>
        <w:t>文化旅游体育与传媒支出（类）文物（款）文物保护（项）</w:t>
      </w:r>
      <w:r>
        <w:rPr>
          <w:rFonts w:hint="eastAsia" w:ascii="Times New Roman" w:hAnsi="Times New Roman" w:eastAsia="仿宋_GB2312" w:cs="Times New Roman"/>
          <w:color w:val="auto"/>
          <w:kern w:val="2"/>
          <w:sz w:val="32"/>
          <w:szCs w:val="32"/>
          <w:lang w:val="en-US" w:eastAsia="zh-CN" w:bidi="ar-SA"/>
        </w:rPr>
        <w:t>：反映考古发掘及文物保护方面的支出。</w:t>
      </w:r>
    </w:p>
    <w:p>
      <w:pPr>
        <w:ind w:firstLine="640" w:firstLineChars="200"/>
        <w:rPr>
          <w:rFonts w:hint="default" w:ascii="Times New Roman" w:hAnsi="Times New Roman" w:eastAsia="仿宋_GB2312" w:cs="Times New Roman"/>
          <w:b w:val="0"/>
          <w:bCs w:val="0"/>
          <w:color w:val="auto"/>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default" w:ascii="Times New Roman" w:hAnsi="Times New Roman" w:eastAsia="仿宋_GB2312" w:cs="Times New Roman"/>
          <w:b w:val="0"/>
          <w:bCs w:val="0"/>
          <w:color w:val="auto"/>
          <w:sz w:val="32"/>
          <w:szCs w:val="32"/>
        </w:rPr>
        <w:t>社会保障和就业支出（类）</w:t>
      </w:r>
      <w:r>
        <w:rPr>
          <w:rStyle w:val="14"/>
          <w:rFonts w:hint="default" w:ascii="Times New Roman" w:hAnsi="Times New Roman" w:eastAsia="仿宋_GB2312" w:cs="Times New Roman"/>
          <w:b w:val="0"/>
          <w:bCs w:val="0"/>
          <w:color w:val="auto"/>
          <w:sz w:val="32"/>
          <w:szCs w:val="32"/>
          <w:lang w:eastAsia="zh-CN"/>
        </w:rPr>
        <w:t>行政事业单位</w:t>
      </w:r>
      <w:r>
        <w:rPr>
          <w:rStyle w:val="14"/>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（款）行政单位离退休（项）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反映未实行归口管理的行政单位(包括实行公务员管理事业单位)开支的离退休支出。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default" w:ascii="Times New Roman" w:hAnsi="Times New Roman" w:eastAsia="仿宋_GB2312" w:cs="Times New Roman"/>
          <w:b w:val="0"/>
          <w:bCs w:val="0"/>
          <w:color w:val="auto"/>
          <w:sz w:val="32"/>
          <w:szCs w:val="32"/>
        </w:rPr>
        <w:t>社会保障和就业支出（类）</w:t>
      </w:r>
      <w:r>
        <w:rPr>
          <w:rStyle w:val="14"/>
          <w:rFonts w:hint="default" w:ascii="Times New Roman" w:hAnsi="Times New Roman" w:eastAsia="仿宋_GB2312" w:cs="Times New Roman"/>
          <w:b w:val="0"/>
          <w:bCs w:val="0"/>
          <w:color w:val="auto"/>
          <w:sz w:val="32"/>
          <w:szCs w:val="32"/>
          <w:lang w:eastAsia="zh-CN"/>
        </w:rPr>
        <w:t>行政事业单位</w:t>
      </w:r>
      <w:r>
        <w:rPr>
          <w:rStyle w:val="14"/>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Times New Roman" w:eastAsia="仿宋_GB2312" w:cs="Times New Roman"/>
          <w:color w:val="000000"/>
          <w:sz w:val="32"/>
          <w:szCs w:val="32"/>
          <w:lang w:val="en-US" w:eastAsia="zh-CN"/>
        </w:rPr>
        <w:t>1</w:t>
      </w:r>
      <w:r>
        <w:rPr>
          <w:rFonts w:hint="eastAsia" w:ascii="仿宋_GB2312"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lang w:val="en-US" w:eastAsia="zh-CN"/>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支出（类）行政事业单位医疗（款）行政单位医疗（项）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反映财政部门集中安排的行政单位基本医疗保险缴费经费，未参加医疗保险的行政单位的公费医疗经费，按国家规定享受离休人员、红军老战土待遇人员的医疗经费。</w:t>
      </w:r>
    </w:p>
    <w:p>
      <w:pPr>
        <w:ind w:firstLine="640" w:firstLineChars="200"/>
        <w:rPr>
          <w:rFonts w:hint="default" w:ascii="Times New Roman" w:hAnsi="Times New Roman" w:eastAsia="仿宋_GB2312" w:cs="Times New Roman"/>
          <w:color w:val="auto"/>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ind w:firstLine="640" w:firstLineChars="200"/>
        <w:rPr>
          <w:rFonts w:hint="default" w:ascii="Times New Roman" w:hAnsi="Times New Roman" w:eastAsia="仿宋_GB2312" w:cs="Times New Roman"/>
          <w:color w:val="auto"/>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支出（类）行政事业单位医疗（款）公务员医疗补助（项）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反映财政部门集中安排的公务员医疗补助经费。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Style w:val="14"/>
          <w:rFonts w:hint="default" w:ascii="Times New Roman" w:hAnsi="Times New Roman" w:eastAsia="仿宋_GB2312" w:cs="Times New Roman"/>
          <w:b w:val="0"/>
          <w:bCs w:val="0"/>
          <w:color w:val="auto"/>
          <w:sz w:val="32"/>
          <w:szCs w:val="32"/>
          <w:lang w:eastAsia="zh-CN"/>
        </w:rPr>
        <w:t>住房保障支出</w:t>
      </w:r>
      <w:r>
        <w:rPr>
          <w:rStyle w:val="14"/>
          <w:rFonts w:hint="default" w:ascii="Times New Roman" w:hAnsi="Times New Roman" w:eastAsia="仿宋_GB2312" w:cs="Times New Roman"/>
          <w:b w:val="0"/>
          <w:bCs w:val="0"/>
          <w:color w:val="auto"/>
          <w:sz w:val="32"/>
          <w:szCs w:val="32"/>
        </w:rPr>
        <w:t>（类）</w:t>
      </w:r>
      <w:r>
        <w:rPr>
          <w:rStyle w:val="14"/>
          <w:rFonts w:hint="default" w:ascii="Times New Roman" w:hAnsi="Times New Roman" w:eastAsia="仿宋_GB2312" w:cs="Times New Roman"/>
          <w:b w:val="0"/>
          <w:bCs w:val="0"/>
          <w:color w:val="auto"/>
          <w:sz w:val="32"/>
          <w:szCs w:val="32"/>
          <w:lang w:eastAsia="zh-CN"/>
        </w:rPr>
        <w:t>住房改革支出</w:t>
      </w:r>
      <w:r>
        <w:rPr>
          <w:rStyle w:val="14"/>
          <w:rFonts w:hint="default" w:ascii="Times New Roman" w:hAnsi="Times New Roman" w:eastAsia="仿宋_GB2312" w:cs="Times New Roman"/>
          <w:b w:val="0"/>
          <w:bCs w:val="0"/>
          <w:color w:val="auto"/>
          <w:sz w:val="32"/>
          <w:szCs w:val="32"/>
        </w:rPr>
        <w:t>（款）</w:t>
      </w:r>
      <w:r>
        <w:rPr>
          <w:rStyle w:val="14"/>
          <w:rFonts w:hint="default" w:ascii="Times New Roman" w:hAnsi="Times New Roman" w:eastAsia="仿宋_GB2312" w:cs="Times New Roman"/>
          <w:b w:val="0"/>
          <w:bCs w:val="0"/>
          <w:color w:val="auto"/>
          <w:sz w:val="32"/>
          <w:szCs w:val="32"/>
          <w:lang w:val="en-US" w:eastAsia="zh-CN"/>
        </w:rPr>
        <w:t>购房补贴</w:t>
      </w:r>
      <w:r>
        <w:rPr>
          <w:rStyle w:val="14"/>
          <w:rFonts w:hint="default" w:ascii="Times New Roman" w:hAnsi="Times New Roman" w:eastAsia="仿宋_GB2312" w:cs="Times New Roman"/>
          <w:b w:val="0"/>
          <w:bCs w:val="0"/>
          <w:color w:val="auto"/>
          <w:sz w:val="32"/>
          <w:szCs w:val="32"/>
        </w:rPr>
        <w:t>（项）</w:t>
      </w:r>
      <w:r>
        <w:rPr>
          <w:rStyle w:val="14"/>
          <w:rFonts w:hint="default" w:ascii="Times New Roman" w:hAnsi="Times New Roman" w:eastAsia="仿宋_GB2312" w:cs="Times New Roman"/>
          <w:b w:val="0"/>
          <w:bCs w:val="0"/>
          <w:color w:val="auto"/>
          <w:sz w:val="32"/>
          <w:szCs w:val="32"/>
          <w:lang w:eastAsia="zh-CN"/>
        </w:rPr>
        <w:t>：</w:t>
      </w:r>
      <w:r>
        <w:rPr>
          <w:rStyle w:val="14"/>
          <w:rFonts w:hint="default" w:ascii="Times New Roman" w:hAnsi="Times New Roman" w:eastAsia="仿宋_GB2312" w:cs="Times New Roman"/>
          <w:b w:val="0"/>
          <w:bCs w:val="0"/>
          <w:color w:val="auto"/>
          <w:sz w:val="32"/>
          <w:szCs w:val="32"/>
          <w:lang w:val="en-US" w:eastAsia="zh-CN"/>
        </w:rPr>
        <w:t>反映按房改政策规定，行政事业单位向符合条件职工（含离退休人员）、军队（含武警）向转役复员离退休人员发放的用于购买住房的补贴。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pPr>
        <w:spacing w:line="600" w:lineRule="exact"/>
        <w:jc w:val="center"/>
        <w:outlineLvl w:val="0"/>
        <w:rPr>
          <w:rFonts w:hint="eastAsia" w:ascii="黑体" w:hAnsi="黑体" w:eastAsia="黑体"/>
          <w:color w:val="auto"/>
          <w:sz w:val="44"/>
          <w:szCs w:val="44"/>
          <w:highlight w:val="none"/>
        </w:rPr>
      </w:pPr>
      <w:bookmarkStart w:id="53" w:name="_Toc15396618"/>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古籍整理经费</w:t>
      </w:r>
      <w:r>
        <w:rPr>
          <w:rFonts w:hint="eastAsia" w:ascii="楷体" w:hAnsi="楷体" w:eastAsia="楷体" w:cs="楷体"/>
          <w:sz w:val="32"/>
          <w:szCs w:val="32"/>
        </w:rPr>
        <w:t>项目）</w:t>
      </w:r>
    </w:p>
    <w:p>
      <w:pPr>
        <w:keepLines w:val="0"/>
        <w:adjustRightInd w:val="0"/>
        <w:snapToGrid w:val="0"/>
        <w:spacing w:line="600" w:lineRule="exact"/>
        <w:ind w:firstLine="720"/>
        <w:rPr>
          <w:rFonts w:hint="default" w:ascii="Times New Roman" w:hAnsi="Times New Roman" w:eastAsia="仿宋_GB2312" w:cs="Times New Roman"/>
        </w:rPr>
      </w:pPr>
    </w:p>
    <w:p>
      <w:pPr>
        <w:keepLines w:val="0"/>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按照《财政厅关于开展2022年部门、政策和项目支出绩效评价工作的通知》（川财绩﹝2022﹞5号）</w:t>
      </w:r>
      <w:r>
        <w:rPr>
          <w:rFonts w:hint="default" w:ascii="Times New Roman" w:hAnsi="Times New Roman" w:eastAsia="仿宋_GB2312" w:cs="Times New Roman"/>
          <w:color w:val="auto"/>
          <w:sz w:val="32"/>
          <w:szCs w:val="32"/>
        </w:rPr>
        <w:t>有关要求，为进一步加强和规范专项资金管理，切实提高财政资金使用效益，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我委对202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年“古籍</w:t>
      </w:r>
      <w:r>
        <w:rPr>
          <w:rFonts w:hint="eastAsia" w:eastAsia="仿宋_GB2312" w:cs="Times New Roman"/>
          <w:color w:val="auto"/>
          <w:sz w:val="32"/>
          <w:szCs w:val="32"/>
          <w:lang w:val="en-US" w:eastAsia="zh-CN"/>
        </w:rPr>
        <w:t>整理</w:t>
      </w:r>
      <w:r>
        <w:rPr>
          <w:rFonts w:hint="default" w:ascii="Times New Roman" w:hAnsi="Times New Roman" w:eastAsia="仿宋_GB2312" w:cs="Times New Roman"/>
          <w:color w:val="auto"/>
          <w:sz w:val="32"/>
          <w:szCs w:val="32"/>
          <w:lang w:val="en-US" w:eastAsia="zh-CN"/>
        </w:rPr>
        <w:t>经费”项目开展了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color w:val="auto"/>
          <w:sz w:val="32"/>
          <w:szCs w:val="32"/>
          <w:lang w:eastAsia="zh-CN"/>
        </w:rPr>
      </w:pPr>
      <w:bookmarkStart w:id="54" w:name="_Toc13724"/>
      <w:bookmarkStart w:id="55" w:name="_Toc11193"/>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基本情况</w:t>
      </w:r>
      <w:bookmarkEnd w:id="54"/>
      <w:bookmarkEnd w:id="55"/>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rPr>
        <w:t>（一）</w:t>
      </w:r>
      <w:r>
        <w:rPr>
          <w:rFonts w:hint="default" w:ascii="Times New Roman" w:hAnsi="Times New Roman" w:eastAsia="仿宋_GB2312" w:cs="Times New Roman"/>
          <w:b/>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keepLines w:val="0"/>
        <w:adjustRightInd w:val="0"/>
        <w:snapToGrid w:val="0"/>
        <w:spacing w:line="600" w:lineRule="exact"/>
        <w:ind w:firstLine="7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四川省少数民族古籍整理办公室</w:t>
      </w:r>
      <w:r>
        <w:rPr>
          <w:rFonts w:hint="default" w:ascii="Times New Roman" w:hAnsi="Times New Roman" w:eastAsia="仿宋_GB2312" w:cs="Times New Roman"/>
          <w:color w:val="auto"/>
          <w:sz w:val="32"/>
          <w:szCs w:val="32"/>
          <w:lang w:val="en-US" w:eastAsia="zh-CN"/>
        </w:rPr>
        <w:t>隶属于四川省民族宗教事务委员会，系参照公务员管理事业单位。主要职能是组织、协调、指导全省少数民族古籍的抢救、搜集、整理、出版和研究工作。202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年末，古籍办参公编制6人，在职人员</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人，其中超编</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人为军转安置干部人员。</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2.项目设立基本情况</w:t>
      </w:r>
    </w:p>
    <w:p>
      <w:pPr>
        <w:keepLines w:val="0"/>
        <w:adjustRightInd w:val="0"/>
        <w:snapToGrid w:val="0"/>
        <w:spacing w:line="600" w:lineRule="exact"/>
        <w:ind w:firstLine="7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民族地区历来具有十分重要的战略地位。是全国第二大藏区、最大的彝族聚居区、唯一的羌族聚居区。肩负着维护民族团结和祖国统一的特殊任务。四川民族地区东通成都平原，北连甘肃、青海，西靠西藏，南邻云南，地处青藏高原东南隅，云贵高原西北缘和四川盆地的过渡地带，是内地通往边疆地区特别是西藏的重要通道，自古就是“民族走廊”，有“稳藏必先安康”的重要战略地位。四川同时又是一个多民族、多语种的大省，少数民族古籍资源十分丰富，是全国民族古籍抢救、整理的重点省份。据不完全统计，现存于四川地区的各类少数民族古籍</w:t>
      </w:r>
      <w:r>
        <w:rPr>
          <w:rFonts w:hint="eastAsia" w:eastAsia="仿宋_GB2312" w:cs="Times New Roman"/>
          <w:color w:val="auto"/>
          <w:sz w:val="32"/>
          <w:szCs w:val="32"/>
          <w:lang w:val="en-US" w:eastAsia="zh-CN"/>
        </w:rPr>
        <w:t>50.5</w:t>
      </w:r>
      <w:r>
        <w:rPr>
          <w:rFonts w:hint="default" w:ascii="Times New Roman" w:hAnsi="Times New Roman" w:eastAsia="仿宋_GB2312" w:cs="Times New Roman"/>
          <w:color w:val="auto"/>
          <w:sz w:val="32"/>
          <w:szCs w:val="32"/>
          <w:lang w:val="en-US" w:eastAsia="zh-CN"/>
        </w:rPr>
        <w:t>万余册（函），其中藏文</w:t>
      </w:r>
      <w:r>
        <w:rPr>
          <w:rFonts w:hint="eastAsia" w:eastAsia="仿宋_GB2312" w:cs="Times New Roman"/>
          <w:color w:val="auto"/>
          <w:sz w:val="32"/>
          <w:szCs w:val="32"/>
          <w:lang w:val="en-US" w:eastAsia="zh-CN"/>
        </w:rPr>
        <w:t>34.5</w:t>
      </w:r>
      <w:r>
        <w:rPr>
          <w:rFonts w:hint="default" w:ascii="Times New Roman" w:hAnsi="Times New Roman" w:eastAsia="仿宋_GB2312" w:cs="Times New Roman"/>
          <w:color w:val="auto"/>
          <w:sz w:val="32"/>
          <w:szCs w:val="32"/>
          <w:lang w:val="en-US" w:eastAsia="zh-CN"/>
        </w:rPr>
        <w:t>万册（函）、彝文</w:t>
      </w:r>
      <w:r>
        <w:rPr>
          <w:rFonts w:hint="eastAsia"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 xml:space="preserve">万册（函）、其他少数民族古籍1万余册（函），流散于民间的非物质文化遗产口碑更是难以胜计。数量巨大、种类繁多、内容丰富的少数民族古籍，决定了我省民族古籍工作重要地位，责任和任务繁重。 </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党中央、国务院有关抢救、整理、出版少数民族古籍的指示精神，我省于1984年成立了四川省少数民族古籍整理办公室，行政领导隶属于省民委（现省民族宗教委），专门负责全省少数民族古籍抢救、整理的政策研究、规划制定、组织、协调、指导以及服务工作，并接受国家民委全国少数民族古籍整理研究室的工作指导。工作机构建立后，首先启动和开展了全省少数民族古籍普查实施工作，组织人力、物力、财力，积极开展调查摸底、详细清点、编目整理工作，深度了解和准确把握了本地区少数民族古籍存量、流传和销蚀情况，做到底数清、情况明，为全省少数民族古籍详规制定和形成全省统一的少数民族古籍简目奠定了坚实基础。为切实保障全省少数民族古籍抢救、整理、翻译、录入、排版、校对和出版工作，设立了“古籍出版经费”项目，并作为常年项目予以保留。</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val="zh-CN" w:eastAsia="zh-CN"/>
        </w:rPr>
        <w:t>）项目绩效目标</w:t>
      </w:r>
      <w:r>
        <w:rPr>
          <w:rFonts w:hint="default" w:ascii="Times New Roman" w:hAnsi="Times New Roman" w:eastAsia="仿宋_GB2312" w:cs="Times New Roman"/>
          <w:b/>
          <w:color w:val="auto"/>
          <w:sz w:val="32"/>
          <w:szCs w:val="32"/>
          <w:lang w:val="en-US" w:eastAsia="zh-CN"/>
        </w:rPr>
        <w:t>设置情况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按照绩效目标设置的要求，古籍办具体细化量化了三级指标，共计设置绩效目标16项。其中：数量指标6项，用于量化</w:t>
      </w:r>
      <w:r>
        <w:rPr>
          <w:rFonts w:hint="eastAsia" w:eastAsia="仿宋_GB2312" w:cs="Times New Roman"/>
          <w:color w:val="auto"/>
          <w:sz w:val="32"/>
          <w:szCs w:val="32"/>
          <w:lang w:val="en-US" w:eastAsia="zh-CN"/>
        </w:rPr>
        <w:t>《中国少数民族文物图谱</w:t>
      </w:r>
      <w:r>
        <w:rPr>
          <w:rFonts w:hint="eastAsia" w:ascii="汉仪大黑简" w:hAnsi="汉仪大黑简" w:eastAsia="汉仪大黑简" w:cs="汉仪大黑简"/>
          <w:color w:val="auto"/>
          <w:sz w:val="32"/>
          <w:szCs w:val="32"/>
          <w:lang w:val="en-US" w:eastAsia="zh-CN"/>
        </w:rPr>
        <w:t>·</w:t>
      </w:r>
      <w:r>
        <w:rPr>
          <w:rFonts w:hint="eastAsia" w:eastAsia="仿宋_GB2312" w:cs="Times New Roman"/>
          <w:color w:val="auto"/>
          <w:sz w:val="32"/>
          <w:szCs w:val="32"/>
          <w:lang w:val="en-US" w:eastAsia="zh-CN"/>
        </w:rPr>
        <w:t>四川省卷》</w:t>
      </w:r>
      <w:r>
        <w:rPr>
          <w:rFonts w:hint="default" w:ascii="Times New Roman" w:hAnsi="Times New Roman" w:eastAsia="仿宋_GB2312" w:cs="Times New Roman"/>
          <w:color w:val="auto"/>
          <w:sz w:val="32"/>
          <w:szCs w:val="32"/>
          <w:lang w:val="en-US" w:eastAsia="zh-CN"/>
        </w:rPr>
        <w:t>《中国羌族资料汇编》《岷江流域回族琵琶弹唱》《凉山彝族古彝语词典》的搜集、整理、翻译、录入、排版、校对和出版工作相关情况；质量指标1项，用于衡量分阶段完成</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套古籍的搜集、整理、翻译、录入、排版、校对和出版工作的质量；时效指标1项，用于量化全年古籍整理等工作按期完成率；成本指标3项，用于量化完成6套古籍整理等相关工作的劳务费、委托费、其他交通费用的成本；经济效益指标1项，用于衡量资金使用效果；社会效益指标1项，用于衡量分阶段完成民族古籍的搜集、整理、翻译、录入、排版、校对和出版工作产生的社会效益；生态效益指标1项，用于量化古籍出版使用环保纸张的效果；可持续影响指标1项，用于衡量古籍产生的宣传效益；满意度指标1项，用于量化服务对象的满意度水平。</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val="zh-CN" w:eastAsia="zh-CN"/>
        </w:rPr>
        <w:t>）资金投入</w:t>
      </w:r>
      <w:r>
        <w:rPr>
          <w:rFonts w:hint="default" w:ascii="Times New Roman" w:hAnsi="Times New Roman" w:eastAsia="仿宋_GB2312" w:cs="Times New Roman"/>
          <w:b/>
          <w:color w:val="auto"/>
          <w:sz w:val="32"/>
          <w:szCs w:val="32"/>
          <w:lang w:val="en-US" w:eastAsia="zh-CN"/>
        </w:rPr>
        <w:t>及项目实施</w:t>
      </w:r>
      <w:r>
        <w:rPr>
          <w:rFonts w:hint="default" w:ascii="Times New Roman" w:hAnsi="Times New Roman" w:eastAsia="仿宋_GB2312" w:cs="Times New Roman"/>
          <w:b/>
          <w:color w:val="auto"/>
          <w:sz w:val="32"/>
          <w:szCs w:val="32"/>
          <w:lang w:val="zh-CN" w:eastAsia="zh-CN"/>
        </w:rPr>
        <w:t>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“古籍办古籍</w:t>
      </w:r>
      <w:r>
        <w:rPr>
          <w:rFonts w:hint="eastAsia" w:eastAsia="仿宋_GB2312" w:cs="Times New Roman"/>
          <w:color w:val="auto"/>
          <w:sz w:val="32"/>
          <w:szCs w:val="32"/>
          <w:lang w:val="en-US" w:eastAsia="zh-CN"/>
        </w:rPr>
        <w:t>整理</w:t>
      </w:r>
      <w:r>
        <w:rPr>
          <w:rFonts w:hint="default" w:ascii="Times New Roman" w:hAnsi="Times New Roman" w:eastAsia="仿宋_GB2312" w:cs="Times New Roman"/>
          <w:color w:val="auto"/>
          <w:sz w:val="32"/>
          <w:szCs w:val="32"/>
          <w:lang w:val="en-US" w:eastAsia="zh-CN"/>
        </w:rPr>
        <w:t>经费”项目总预算</w:t>
      </w:r>
      <w:r>
        <w:rPr>
          <w:rFonts w:hint="eastAsia"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其中：劳务费</w:t>
      </w: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万元，委托业务费</w:t>
      </w:r>
      <w:r>
        <w:rPr>
          <w:rFonts w:hint="eastAsia" w:eastAsia="仿宋_GB2312" w:cs="Times New Roman"/>
          <w:color w:val="auto"/>
          <w:sz w:val="32"/>
          <w:szCs w:val="32"/>
          <w:lang w:val="en-US" w:eastAsia="zh-CN"/>
        </w:rPr>
        <w:t>57</w:t>
      </w:r>
      <w:r>
        <w:rPr>
          <w:rFonts w:hint="default" w:ascii="Times New Roman" w:hAnsi="Times New Roman" w:eastAsia="仿宋_GB2312" w:cs="Times New Roman"/>
          <w:color w:val="auto"/>
          <w:sz w:val="32"/>
          <w:szCs w:val="32"/>
          <w:lang w:val="en-US" w:eastAsia="zh-CN"/>
        </w:rPr>
        <w:t>万元，办公经费5万元。根据项目预算绩效管理要求，古籍办</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项目资金的主要用途为：</w:t>
      </w:r>
      <w:r>
        <w:rPr>
          <w:rFonts w:hint="default" w:ascii="Times New Roman" w:hAnsi="Times New Roman" w:eastAsia="仿宋_GB2312" w:cs="Times New Roman"/>
          <w:color w:val="auto"/>
          <w:sz w:val="32"/>
          <w:szCs w:val="32"/>
          <w:lang w:val="en-US" w:eastAsia="zh-CN"/>
        </w:rPr>
        <w:t>一是保障</w:t>
      </w:r>
      <w:r>
        <w:rPr>
          <w:rFonts w:hint="eastAsia" w:eastAsia="仿宋_GB2312" w:cs="Times New Roman"/>
          <w:color w:val="auto"/>
          <w:sz w:val="32"/>
          <w:szCs w:val="32"/>
          <w:lang w:val="en-US" w:eastAsia="zh-CN"/>
        </w:rPr>
        <w:t>《中国少数民族文物图谱</w:t>
      </w:r>
      <w:r>
        <w:rPr>
          <w:rFonts w:hint="eastAsia" w:ascii="汉仪大黑简" w:hAnsi="汉仪大黑简" w:eastAsia="汉仪大黑简" w:cs="汉仪大黑简"/>
          <w:color w:val="auto"/>
          <w:sz w:val="32"/>
          <w:szCs w:val="32"/>
          <w:lang w:val="en-US" w:eastAsia="zh-CN"/>
        </w:rPr>
        <w:t>·</w:t>
      </w:r>
      <w:r>
        <w:rPr>
          <w:rFonts w:hint="eastAsia" w:eastAsia="仿宋_GB2312" w:cs="Times New Roman"/>
          <w:color w:val="auto"/>
          <w:sz w:val="32"/>
          <w:szCs w:val="32"/>
          <w:lang w:val="en-US" w:eastAsia="zh-CN"/>
        </w:rPr>
        <w:t>四川省卷》</w:t>
      </w:r>
      <w:r>
        <w:rPr>
          <w:rFonts w:hint="default" w:ascii="Times New Roman" w:hAnsi="Times New Roman" w:eastAsia="仿宋_GB2312" w:cs="Times New Roman"/>
          <w:color w:val="auto"/>
          <w:sz w:val="32"/>
          <w:szCs w:val="32"/>
          <w:lang w:val="en-US" w:eastAsia="zh-CN"/>
        </w:rPr>
        <w:t>《中国羌族资料汇编》《岷江流域回族琵琶弹唱》《凉山彝族古彝语词典》当年的搜集、整理、翻译、录入、排版、校对和出版工作的完成；二是保障古籍办古籍整理，按时发放和缴纳聘用人员的工资及社会保险，按期发放审定费等；三是保障古籍项目搜集、整理的其他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全年，项目支出共计</w:t>
      </w:r>
      <w:r>
        <w:rPr>
          <w:rFonts w:hint="eastAsia" w:eastAsia="仿宋_GB2312" w:cs="Times New Roman"/>
          <w:color w:val="auto"/>
          <w:sz w:val="32"/>
          <w:szCs w:val="32"/>
          <w:lang w:val="en-US" w:eastAsia="zh-CN"/>
        </w:rPr>
        <w:t>76.644537</w:t>
      </w:r>
      <w:r>
        <w:rPr>
          <w:rFonts w:hint="default" w:ascii="Times New Roman" w:hAnsi="Times New Roman" w:eastAsia="仿宋_GB2312" w:cs="Times New Roman"/>
          <w:color w:val="auto"/>
          <w:sz w:val="32"/>
          <w:szCs w:val="32"/>
          <w:lang w:val="en-US" w:eastAsia="zh-CN"/>
        </w:rPr>
        <w:t>万元，预算执行率为</w:t>
      </w:r>
      <w:r>
        <w:rPr>
          <w:rFonts w:hint="eastAsia" w:eastAsia="仿宋_GB2312" w:cs="Times New Roman"/>
          <w:color w:val="auto"/>
          <w:sz w:val="32"/>
          <w:szCs w:val="32"/>
          <w:lang w:val="en-US" w:eastAsia="zh-CN"/>
        </w:rPr>
        <w:t>95.8</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56" w:name="_Toc22699"/>
      <w:bookmarkStart w:id="57" w:name="_Toc4490"/>
      <w:r>
        <w:rPr>
          <w:rFonts w:hint="default" w:ascii="Times New Roman" w:hAnsi="Times New Roman" w:eastAsia="黑体" w:cs="Times New Roman"/>
          <w:color w:val="auto"/>
          <w:sz w:val="32"/>
          <w:szCs w:val="32"/>
          <w:lang w:eastAsia="zh-CN"/>
        </w:rPr>
        <w:t>二、评价工作开展情况</w:t>
      </w:r>
      <w:bookmarkEnd w:id="56"/>
      <w:bookmarkEnd w:id="57"/>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（一）评价组织情况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本次绩效评价按照前期准备、</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自评、</w:t>
      </w:r>
      <w:r>
        <w:rPr>
          <w:rFonts w:hint="default" w:ascii="Times New Roman" w:hAnsi="Times New Roman" w:eastAsia="仿宋_GB2312" w:cs="Times New Roman"/>
          <w:color w:val="auto"/>
          <w:sz w:val="32"/>
          <w:szCs w:val="32"/>
          <w:lang w:val="en-US" w:eastAsia="zh-CN"/>
        </w:rPr>
        <w:t>部门复评、</w:t>
      </w:r>
      <w:r>
        <w:rPr>
          <w:rFonts w:hint="default" w:ascii="Times New Roman" w:hAnsi="Times New Roman" w:eastAsia="仿宋_GB2312" w:cs="Times New Roman"/>
          <w:color w:val="auto"/>
          <w:sz w:val="32"/>
          <w:szCs w:val="32"/>
        </w:rPr>
        <w:t>报告撰写</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个阶段，组织实施项目绩效评价工作。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（二）评价指标体系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color w:val="auto"/>
          <w:sz w:val="32"/>
          <w:szCs w:val="32"/>
          <w:lang w:val="en-US" w:eastAsia="zh-CN"/>
        </w:rPr>
        <w:t>根据绩效评价工作部署要求，省民族宗教委细化制定了《省民族宗教委202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（三）评价方法和评价标准等内容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整理汇总出刊情况</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评价指标及评价标准的基础上，查看</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实施及运行情况，收集相关数据资料，通过汇总整理，通过定量和定性分析，形成评价结论并形成绩效评价自评报告。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58" w:name="_Toc22324"/>
      <w:bookmarkStart w:id="59" w:name="_Toc9015"/>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综合</w:t>
      </w:r>
      <w:r>
        <w:rPr>
          <w:rFonts w:hint="default" w:ascii="Times New Roman" w:hAnsi="Times New Roman" w:eastAsia="黑体" w:cs="Times New Roman"/>
          <w:color w:val="auto"/>
          <w:sz w:val="32"/>
          <w:szCs w:val="32"/>
        </w:rPr>
        <w:t>评价结论</w:t>
      </w:r>
      <w:r>
        <w:rPr>
          <w:rFonts w:hint="default" w:ascii="Times New Roman" w:hAnsi="Times New Roman" w:eastAsia="黑体" w:cs="Times New Roman"/>
          <w:color w:val="auto"/>
          <w:sz w:val="32"/>
          <w:szCs w:val="32"/>
          <w:lang w:eastAsia="zh-CN"/>
        </w:rPr>
        <w:t>（附评分表）</w:t>
      </w:r>
      <w:bookmarkEnd w:id="58"/>
      <w:bookmarkEnd w:id="59"/>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按照《省民族宗教委202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年度部门预算项目支出绩效评价指标体系》，单位自评得分</w:t>
      </w:r>
      <w:r>
        <w:rPr>
          <w:rFonts w:hint="eastAsia" w:ascii="Times New Roman" w:hAnsi="Times New Roman" w:eastAsia="仿宋_GB2312" w:cs="Times New Roman"/>
          <w:b w:val="0"/>
          <w:bCs w:val="0"/>
          <w:color w:val="auto"/>
          <w:sz w:val="32"/>
          <w:szCs w:val="32"/>
          <w:lang w:val="en-US" w:eastAsia="zh-CN"/>
        </w:rPr>
        <w:t>88</w:t>
      </w:r>
      <w:r>
        <w:rPr>
          <w:rFonts w:hint="default" w:ascii="Times New Roman" w:hAnsi="Times New Roman" w:eastAsia="仿宋_GB2312" w:cs="Times New Roman"/>
          <w:b w:val="0"/>
          <w:bCs w:val="0"/>
          <w:color w:val="auto"/>
          <w:sz w:val="32"/>
          <w:szCs w:val="32"/>
          <w:lang w:val="en-US" w:eastAsia="zh-CN"/>
        </w:rPr>
        <w:t>分，部门考核自评质量得分10分，总计得分为</w:t>
      </w:r>
      <w:r>
        <w:rPr>
          <w:rFonts w:hint="eastAsia" w:ascii="Times New Roman" w:hAnsi="Times New Roman" w:eastAsia="仿宋_GB2312" w:cs="Times New Roman"/>
          <w:b w:val="0"/>
          <w:bCs w:val="0"/>
          <w:color w:val="auto"/>
          <w:sz w:val="32"/>
          <w:szCs w:val="32"/>
          <w:lang w:val="en-US" w:eastAsia="zh-CN"/>
        </w:rPr>
        <w:t>98</w:t>
      </w:r>
      <w:r>
        <w:rPr>
          <w:rFonts w:hint="default" w:ascii="Times New Roman" w:hAnsi="Times New Roman" w:eastAsia="仿宋_GB2312" w:cs="Times New Roman"/>
          <w:b w:val="0"/>
          <w:bCs w:val="0"/>
          <w:color w:val="auto"/>
          <w:sz w:val="32"/>
          <w:szCs w:val="32"/>
          <w:lang w:val="en-US" w:eastAsia="zh-CN"/>
        </w:rPr>
        <w:t>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color w:val="auto"/>
          <w:sz w:val="32"/>
          <w:szCs w:val="32"/>
          <w:lang w:eastAsia="zh-CN"/>
        </w:rPr>
      </w:pPr>
      <w:bookmarkStart w:id="60" w:name="_Toc29501"/>
      <w:bookmarkStart w:id="61" w:name="_Toc5099"/>
      <w:r>
        <w:rPr>
          <w:rFonts w:hint="default" w:ascii="Times New Roman" w:hAnsi="Times New Roman" w:eastAsia="黑体" w:cs="Times New Roman"/>
          <w:b w:val="0"/>
          <w:bCs/>
          <w:color w:val="auto"/>
          <w:sz w:val="32"/>
          <w:szCs w:val="32"/>
          <w:lang w:eastAsia="zh-CN"/>
        </w:rPr>
        <w:t>四、绩效评价分析</w:t>
      </w:r>
      <w:bookmarkEnd w:id="60"/>
      <w:bookmarkEnd w:id="61"/>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1.决策依据充分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根据《国家民委办公厅 国家文物局办公室关于做好〈中国少数民族文物图谱〉编纂出版工作的通知》</w:t>
      </w:r>
      <w:r>
        <w:rPr>
          <w:rFonts w:hint="default" w:ascii="Times New Roman" w:hAnsi="Times New Roman" w:eastAsia="仿宋_GB2312" w:cs="Times New Roman"/>
          <w:color w:val="auto"/>
          <w:sz w:val="32"/>
          <w:szCs w:val="32"/>
          <w:lang w:val="en-US" w:eastAsia="zh-CN"/>
        </w:rPr>
        <w:t>（民</w:t>
      </w:r>
      <w:r>
        <w:rPr>
          <w:rFonts w:hint="eastAsia" w:eastAsia="仿宋_GB2312" w:cs="Times New Roman"/>
          <w:color w:val="auto"/>
          <w:sz w:val="32"/>
          <w:szCs w:val="32"/>
          <w:lang w:val="en-US" w:eastAsia="zh-CN"/>
        </w:rPr>
        <w:t>办发</w:t>
      </w:r>
      <w:r>
        <w:rPr>
          <w:rFonts w:hint="default" w:ascii="Times New Roman" w:hAnsi="Times New Roman" w:eastAsia="仿宋_GB2312" w:cs="Times New Roman"/>
          <w:color w:val="auto"/>
          <w:sz w:val="32"/>
          <w:szCs w:val="32"/>
          <w:lang w:val="en-US" w:eastAsia="zh-CN"/>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73</w:t>
      </w:r>
      <w:r>
        <w:rPr>
          <w:rFonts w:hint="default" w:ascii="Times New Roman" w:hAnsi="Times New Roman" w:eastAsia="仿宋_GB2312" w:cs="Times New Roman"/>
          <w:color w:val="auto"/>
          <w:sz w:val="32"/>
          <w:szCs w:val="32"/>
          <w:lang w:val="en-US" w:eastAsia="zh-CN"/>
        </w:rPr>
        <w:t>号）</w:t>
      </w:r>
      <w:r>
        <w:rPr>
          <w:rFonts w:hint="eastAsia" w:eastAsia="仿宋_GB2312" w:cs="Times New Roman"/>
          <w:color w:val="auto"/>
          <w:sz w:val="32"/>
          <w:szCs w:val="32"/>
          <w:lang w:val="en-US" w:eastAsia="zh-CN"/>
        </w:rPr>
        <w:t>要求，启动并组织开展《中国少数民族文物图谱</w:t>
      </w:r>
      <w:r>
        <w:rPr>
          <w:rFonts w:hint="eastAsia" w:ascii="汉仪大黑简" w:hAnsi="汉仪大黑简" w:eastAsia="汉仪大黑简" w:cs="汉仪大黑简"/>
          <w:color w:val="auto"/>
          <w:sz w:val="32"/>
          <w:szCs w:val="32"/>
          <w:lang w:val="en-US" w:eastAsia="zh-CN"/>
        </w:rPr>
        <w:t>·</w:t>
      </w:r>
      <w:r>
        <w:rPr>
          <w:rFonts w:hint="eastAsia" w:eastAsia="仿宋_GB2312" w:cs="Times New Roman"/>
          <w:color w:val="auto"/>
          <w:sz w:val="32"/>
          <w:szCs w:val="32"/>
          <w:lang w:val="en-US" w:eastAsia="zh-CN"/>
        </w:rPr>
        <w:t>四川省卷》搜集、整理、翻译、录入、排版、校对工作；</w:t>
      </w:r>
      <w:r>
        <w:rPr>
          <w:rFonts w:hint="default" w:ascii="Times New Roman" w:hAnsi="Times New Roman" w:eastAsia="仿宋_GB2312" w:cs="Times New Roman"/>
          <w:color w:val="auto"/>
          <w:sz w:val="32"/>
          <w:szCs w:val="32"/>
          <w:lang w:val="en-US" w:eastAsia="zh-CN"/>
        </w:rPr>
        <w:t>根据《四川省民族宗教事务委员会关于印发全省少数民族古籍重点项目出版规划（2016——2020年）的通知》（川民宗委〔2016〕116号）要求，进行《中国羌族资料汇编》《岷江流域回族琵琶弹唱》《凉山彝族古彝语词典》的搜集、整理、翻译、录入、排版、校对和出版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2.决策程序严谨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召开办务会决定项目初稿，报委领导或委党组决定项目定稿并按照预算编制要求，于年初预算编制时，填报了《部门预算项目立项审核表》，报经委计财处审定。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3.成本核算科学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相关经费预算，严格按照相关业务成本进行测算，坚持“厉行节约”，确保财政资金使用绩效。</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项目支出均按照有关规章制度和项目实施完成情况进行支付。专项经费使用由办公室为主管理，各部门协助，严格按照委相关财务管理制度执行，并按要求完善记录，确保专款专用。</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项目产出情况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有效保障了编外职工的工资</w:t>
      </w:r>
      <w:r>
        <w:rPr>
          <w:rFonts w:hint="default" w:ascii="Times New Roman" w:hAnsi="Times New Roman"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lang w:eastAsia="zh-CN"/>
        </w:rPr>
        <w:t>及社会保险缴纳</w:t>
      </w:r>
      <w:r>
        <w:rPr>
          <w:rFonts w:hint="default" w:ascii="Times New Roman" w:hAnsi="Times New Roman" w:eastAsia="仿宋_GB2312" w:cs="Times New Roman"/>
          <w:color w:val="auto"/>
          <w:sz w:val="32"/>
          <w:szCs w:val="32"/>
          <w:lang w:val="en-US" w:eastAsia="zh-CN"/>
        </w:rPr>
        <w:t>、古籍整理的评定费、古籍调研的租车费等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按时按量完成了</w:t>
      </w:r>
      <w:r>
        <w:rPr>
          <w:rFonts w:hint="eastAsia" w:eastAsia="仿宋_GB2312" w:cs="Times New Roman"/>
          <w:color w:val="auto"/>
          <w:sz w:val="32"/>
          <w:szCs w:val="32"/>
          <w:lang w:val="en-US" w:eastAsia="zh-CN"/>
        </w:rPr>
        <w:t>《中国少数民族文物图谱</w:t>
      </w:r>
      <w:r>
        <w:rPr>
          <w:rFonts w:hint="eastAsia" w:ascii="汉仪大黑简" w:hAnsi="汉仪大黑简" w:eastAsia="汉仪大黑简" w:cs="汉仪大黑简"/>
          <w:color w:val="auto"/>
          <w:sz w:val="32"/>
          <w:szCs w:val="32"/>
          <w:lang w:val="en-US" w:eastAsia="zh-CN"/>
        </w:rPr>
        <w:t>·</w:t>
      </w:r>
      <w:r>
        <w:rPr>
          <w:rFonts w:hint="eastAsia" w:eastAsia="仿宋_GB2312" w:cs="Times New Roman"/>
          <w:color w:val="auto"/>
          <w:sz w:val="32"/>
          <w:szCs w:val="32"/>
          <w:lang w:val="en-US" w:eastAsia="zh-CN"/>
        </w:rPr>
        <w:t>四川省卷》</w:t>
      </w:r>
      <w:r>
        <w:rPr>
          <w:rFonts w:hint="default" w:ascii="Times New Roman" w:hAnsi="Times New Roman" w:eastAsia="仿宋_GB2312" w:cs="Times New Roman"/>
          <w:color w:val="auto"/>
          <w:sz w:val="32"/>
          <w:szCs w:val="32"/>
          <w:lang w:val="en-US" w:eastAsia="zh-CN"/>
        </w:rPr>
        <w:t>《中国羌族资料汇编》《岷江流域回族琵琶弹唱》《凉山彝族古彝语词典》当年的搜集、整理、翻译、录入、排版、校对和出版工作。</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left="0" w:leftChars="0"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1.顺利完成了</w:t>
      </w:r>
      <w:r>
        <w:rPr>
          <w:rFonts w:hint="eastAsia" w:eastAsia="仿宋_GB2312" w:cs="Times New Roman"/>
          <w:color w:val="auto"/>
          <w:sz w:val="32"/>
          <w:szCs w:val="32"/>
          <w:lang w:val="en-US" w:eastAsia="zh-CN"/>
        </w:rPr>
        <w:t>《中国少数民族文物图谱</w:t>
      </w:r>
      <w:r>
        <w:rPr>
          <w:rFonts w:hint="eastAsia" w:ascii="汉仪大黑简" w:hAnsi="汉仪大黑简" w:eastAsia="汉仪大黑简" w:cs="汉仪大黑简"/>
          <w:color w:val="auto"/>
          <w:sz w:val="32"/>
          <w:szCs w:val="32"/>
          <w:lang w:val="en-US" w:eastAsia="zh-CN"/>
        </w:rPr>
        <w:t>·</w:t>
      </w:r>
      <w:r>
        <w:rPr>
          <w:rFonts w:hint="eastAsia" w:eastAsia="仿宋_GB2312" w:cs="Times New Roman"/>
          <w:color w:val="auto"/>
          <w:sz w:val="32"/>
          <w:szCs w:val="32"/>
          <w:lang w:val="en-US" w:eastAsia="zh-CN"/>
        </w:rPr>
        <w:t>四川省卷》</w:t>
      </w:r>
      <w:r>
        <w:rPr>
          <w:rFonts w:hint="default" w:ascii="Times New Roman" w:hAnsi="Times New Roman" w:eastAsia="仿宋_GB2312" w:cs="Times New Roman"/>
          <w:b w:val="0"/>
          <w:bCs/>
          <w:color w:val="auto"/>
          <w:sz w:val="32"/>
          <w:szCs w:val="32"/>
          <w:lang w:val="en-US" w:eastAsia="zh-CN"/>
        </w:rPr>
        <w:t>项目启动工作，</w:t>
      </w:r>
      <w:r>
        <w:rPr>
          <w:rFonts w:hint="eastAsia" w:eastAsia="仿宋_GB2312" w:cs="Times New Roman"/>
          <w:b w:val="0"/>
          <w:bCs/>
          <w:color w:val="auto"/>
          <w:sz w:val="32"/>
          <w:szCs w:val="32"/>
          <w:lang w:val="en-US" w:eastAsia="zh-CN"/>
        </w:rPr>
        <w:t>组建了编纂委员会和专家委员会。组建了由四川博物院为主体的项目</w:t>
      </w:r>
      <w:r>
        <w:rPr>
          <w:rFonts w:hint="default" w:ascii="Times New Roman" w:hAnsi="Times New Roman" w:eastAsia="仿宋_GB2312" w:cs="Times New Roman"/>
          <w:b w:val="0"/>
          <w:bCs/>
          <w:color w:val="auto"/>
          <w:sz w:val="32"/>
          <w:szCs w:val="32"/>
          <w:lang w:val="en-US" w:eastAsia="zh-CN"/>
        </w:rPr>
        <w:t>课题组</w:t>
      </w:r>
      <w:r>
        <w:rPr>
          <w:rFonts w:hint="eastAsia" w:eastAsia="仿宋_GB2312" w:cs="Times New Roman"/>
          <w:b w:val="0"/>
          <w:bCs/>
          <w:color w:val="auto"/>
          <w:sz w:val="32"/>
          <w:szCs w:val="32"/>
          <w:lang w:val="en-US" w:eastAsia="zh-CN"/>
        </w:rPr>
        <w:t>，按照总编委会要求，顺利完成了2021年度备选文物目录收集遴选工作，初选文物条目680条</w:t>
      </w:r>
      <w:r>
        <w:rPr>
          <w:rFonts w:hint="default" w:ascii="Times New Roman" w:hAnsi="Times New Roman" w:eastAsia="仿宋_GB2312"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eastAsia="仿宋_GB2312" w:cs="Times New Roman"/>
          <w:b w:val="0"/>
          <w:bCs/>
          <w:color w:val="auto"/>
          <w:sz w:val="32"/>
          <w:szCs w:val="32"/>
          <w:lang w:val="en-US" w:eastAsia="zh-CN"/>
        </w:rPr>
        <w:t>完成了2021年度</w:t>
      </w:r>
      <w:r>
        <w:rPr>
          <w:rFonts w:hint="default" w:ascii="Times New Roman" w:hAnsi="Times New Roman" w:eastAsia="仿宋_GB2312" w:cs="Times New Roman"/>
          <w:color w:val="auto"/>
          <w:sz w:val="32"/>
          <w:szCs w:val="32"/>
          <w:lang w:val="en-US" w:eastAsia="zh-CN"/>
        </w:rPr>
        <w:t>《中国羌族资料汇编》</w:t>
      </w:r>
      <w:r>
        <w:rPr>
          <w:rFonts w:hint="default" w:ascii="Times New Roman" w:hAnsi="Times New Roman" w:eastAsia="仿宋_GB2312" w:cs="Times New Roman"/>
          <w:b w:val="0"/>
          <w:bCs/>
          <w:color w:val="auto"/>
          <w:sz w:val="32"/>
          <w:szCs w:val="32"/>
          <w:lang w:val="en-US" w:eastAsia="zh-CN"/>
        </w:rPr>
        <w:t>项目搜集、整理、对勘、录入、校对和编辑工作，共计</w:t>
      </w:r>
      <w:r>
        <w:rPr>
          <w:rFonts w:hint="eastAsia" w:eastAsia="仿宋_GB2312" w:cs="Times New Roman"/>
          <w:b w:val="0"/>
          <w:bCs/>
          <w:color w:val="auto"/>
          <w:sz w:val="32"/>
          <w:szCs w:val="32"/>
          <w:lang w:val="en-US" w:eastAsia="zh-CN"/>
        </w:rPr>
        <w:t>17</w:t>
      </w:r>
      <w:r>
        <w:rPr>
          <w:rFonts w:hint="default" w:ascii="Times New Roman" w:hAnsi="Times New Roman" w:eastAsia="仿宋_GB2312" w:cs="Times New Roman"/>
          <w:b w:val="0"/>
          <w:bCs/>
          <w:color w:val="auto"/>
          <w:sz w:val="32"/>
          <w:szCs w:val="32"/>
          <w:lang w:val="en-US" w:eastAsia="zh-CN"/>
        </w:rPr>
        <w:t>0</w:t>
      </w:r>
      <w:r>
        <w:rPr>
          <w:rFonts w:hint="eastAsia" w:eastAsia="仿宋_GB2312" w:cs="Times New Roman"/>
          <w:b w:val="0"/>
          <w:bCs/>
          <w:color w:val="auto"/>
          <w:sz w:val="32"/>
          <w:szCs w:val="32"/>
          <w:lang w:val="en-US" w:eastAsia="zh-CN"/>
        </w:rPr>
        <w:t>多</w:t>
      </w:r>
      <w:r>
        <w:rPr>
          <w:rFonts w:hint="default" w:ascii="Times New Roman" w:hAnsi="Times New Roman" w:eastAsia="仿宋_GB2312" w:cs="Times New Roman"/>
          <w:b w:val="0"/>
          <w:bCs/>
          <w:color w:val="auto"/>
          <w:sz w:val="32"/>
          <w:szCs w:val="32"/>
          <w:lang w:val="en-US" w:eastAsia="zh-CN"/>
        </w:rPr>
        <w:t>万字。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eastAsia="仿宋_GB2312" w:cs="Times New Roman"/>
          <w:b w:val="0"/>
          <w:bCs/>
          <w:color w:val="auto"/>
          <w:sz w:val="32"/>
          <w:szCs w:val="32"/>
          <w:lang w:val="en-US" w:eastAsia="zh-CN"/>
        </w:rPr>
        <w:t>完成了2021年度</w:t>
      </w:r>
      <w:r>
        <w:rPr>
          <w:rFonts w:hint="default" w:ascii="Times New Roman" w:hAnsi="Times New Roman" w:eastAsia="仿宋_GB2312" w:cs="Times New Roman"/>
          <w:color w:val="auto"/>
          <w:sz w:val="32"/>
          <w:szCs w:val="32"/>
          <w:lang w:val="en-US" w:eastAsia="zh-CN"/>
        </w:rPr>
        <w:t>《岷江流域回族琵琶弹唱》</w:t>
      </w:r>
      <w:r>
        <w:rPr>
          <w:rFonts w:hint="eastAsia" w:eastAsia="仿宋_GB2312" w:cs="Times New Roman"/>
          <w:b w:val="0"/>
          <w:bCs/>
          <w:color w:val="auto"/>
          <w:sz w:val="32"/>
          <w:szCs w:val="32"/>
          <w:lang w:val="en-US" w:eastAsia="zh-CN"/>
        </w:rPr>
        <w:t>项目</w:t>
      </w:r>
      <w:r>
        <w:rPr>
          <w:rFonts w:hint="default" w:ascii="Times New Roman" w:hAnsi="Times New Roman" w:eastAsia="仿宋_GB2312" w:cs="Times New Roman"/>
          <w:b w:val="0"/>
          <w:bCs/>
          <w:color w:val="auto"/>
          <w:sz w:val="32"/>
          <w:szCs w:val="32"/>
          <w:lang w:val="en-US" w:eastAsia="zh-CN"/>
        </w:rPr>
        <w:t>搜集、整理、</w:t>
      </w:r>
      <w:r>
        <w:rPr>
          <w:rFonts w:hint="eastAsia" w:eastAsia="仿宋_GB2312" w:cs="Times New Roman"/>
          <w:b w:val="0"/>
          <w:bCs/>
          <w:color w:val="auto"/>
          <w:sz w:val="32"/>
          <w:szCs w:val="32"/>
          <w:lang w:val="en-US" w:eastAsia="zh-CN"/>
        </w:rPr>
        <w:t>编曲</w:t>
      </w:r>
      <w:r>
        <w:rPr>
          <w:rFonts w:hint="default" w:ascii="Times New Roman" w:hAnsi="Times New Roman" w:eastAsia="仿宋_GB2312" w:cs="Times New Roman"/>
          <w:b w:val="0"/>
          <w:bCs/>
          <w:color w:val="auto"/>
          <w:sz w:val="32"/>
          <w:szCs w:val="32"/>
          <w:lang w:val="en-US" w:eastAsia="zh-CN"/>
        </w:rPr>
        <w:t>工作，</w:t>
      </w:r>
      <w:r>
        <w:rPr>
          <w:rFonts w:hint="eastAsia" w:eastAsia="仿宋_GB2312" w:cs="Times New Roman"/>
          <w:b w:val="0"/>
          <w:bCs/>
          <w:color w:val="auto"/>
          <w:sz w:val="32"/>
          <w:szCs w:val="32"/>
          <w:lang w:val="en-US" w:eastAsia="zh-CN"/>
        </w:rPr>
        <w:t>共计搜集整理曲目52首</w:t>
      </w:r>
      <w:r>
        <w:rPr>
          <w:rFonts w:hint="default" w:ascii="Times New Roman" w:hAnsi="Times New Roman" w:eastAsia="仿宋_GB2312" w:cs="Times New Roman"/>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w:t>
      </w:r>
      <w:r>
        <w:rPr>
          <w:rFonts w:hint="eastAsia" w:eastAsia="仿宋_GB2312" w:cs="Times New Roman"/>
          <w:b w:val="0"/>
          <w:bCs/>
          <w:color w:val="auto"/>
          <w:sz w:val="32"/>
          <w:szCs w:val="32"/>
          <w:lang w:val="en-US" w:eastAsia="zh-CN"/>
        </w:rPr>
        <w:t>完成了</w:t>
      </w:r>
      <w:r>
        <w:rPr>
          <w:rFonts w:hint="default" w:ascii="Times New Roman" w:hAnsi="Times New Roman" w:eastAsia="仿宋_GB2312" w:cs="Times New Roman"/>
          <w:b w:val="0"/>
          <w:bCs/>
          <w:color w:val="auto"/>
          <w:sz w:val="32"/>
          <w:szCs w:val="32"/>
          <w:lang w:val="en-US" w:eastAsia="zh-CN"/>
        </w:rPr>
        <w:t>《凉山彝族古彝语词典》</w:t>
      </w:r>
      <w:r>
        <w:rPr>
          <w:rFonts w:hint="eastAsia" w:eastAsia="仿宋_GB2312" w:cs="Times New Roman"/>
          <w:b w:val="0"/>
          <w:bCs/>
          <w:color w:val="auto"/>
          <w:sz w:val="32"/>
          <w:szCs w:val="32"/>
          <w:lang w:val="en-US" w:eastAsia="zh-CN"/>
        </w:rPr>
        <w:t>项目2021年度词条搜集整理工作，共整理词条1298；召开了专家审定会，完成了全书总稿的修订工作，修订后，共收录词条6458条，44万字</w:t>
      </w:r>
      <w:r>
        <w:rPr>
          <w:rFonts w:hint="default" w:ascii="Times New Roman" w:hAnsi="Times New Roman" w:eastAsia="仿宋_GB2312" w:cs="Times New Roman"/>
          <w:b w:val="0"/>
          <w:bCs/>
          <w:color w:val="auto"/>
          <w:sz w:val="32"/>
          <w:szCs w:val="32"/>
          <w:lang w:val="en-US" w:eastAsia="zh-CN"/>
        </w:rPr>
        <w:t>。</w:t>
      </w:r>
      <w:r>
        <w:rPr>
          <w:rFonts w:hint="eastAsia" w:eastAsia="仿宋_GB2312" w:cs="Times New Roman"/>
          <w:b w:val="0"/>
          <w:bCs/>
          <w:color w:val="auto"/>
          <w:sz w:val="32"/>
          <w:szCs w:val="32"/>
          <w:lang w:val="en-US" w:eastAsia="zh-CN"/>
        </w:rPr>
        <w:t>全书已交四川民族出版社，项目进入出版程序。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bookmarkStart w:id="62" w:name="_Toc18611"/>
      <w:bookmarkStart w:id="63" w:name="_Toc9860"/>
      <w:r>
        <w:rPr>
          <w:rFonts w:hint="default" w:ascii="Times New Roman" w:hAnsi="Times New Roman" w:eastAsia="黑体" w:cs="Times New Roman"/>
          <w:color w:val="auto"/>
          <w:sz w:val="32"/>
          <w:szCs w:val="32"/>
        </w:rPr>
        <w:t>五、存在主要问题</w:t>
      </w:r>
      <w:bookmarkEnd w:id="62"/>
      <w:bookmarkEnd w:id="6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bookmarkStart w:id="64" w:name="_Toc32621"/>
      <w:bookmarkStart w:id="65" w:name="_Toc14762"/>
      <w:r>
        <w:rPr>
          <w:rFonts w:hint="eastAsia" w:eastAsia="仿宋_GB2312" w:cs="Times New Roman"/>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受新冠肺炎疫情影响，部分专项工作推进进度较为缓慢</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二是预算编制精细化水平有待进一步提高，预算刚性约束力作用发挥不够。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六、相关措施建议</w:t>
      </w:r>
      <w:bookmarkEnd w:id="64"/>
      <w:bookmarkEnd w:id="65"/>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提高预算编制的精准性。进一步细化量化古籍出版经费，更加精确把控项目的可行性，将项目的实施和预算与时事政治、国家大政方针有机结合，严格遵守《中华人民共和国预算法》。合理测算预算，确保预算刚性约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二是加强执行中的动态监控。在预算执行过程中加强对预算及绩效的“双监控”。按照财政有关要求，动态调整预算，提高预算执行率，切实发挥财政资金的使用绩效。</w:t>
      </w:r>
    </w:p>
    <w:p>
      <w:pPr>
        <w:pStyle w:val="17"/>
        <w:ind w:firstLine="640" w:firstLineChars="200"/>
        <w:rPr>
          <w:rFonts w:hint="eastAsia" w:ascii="Times New Roman" w:hAnsi="Times New Roman" w:eastAsia="仿宋_GB2312" w:cs="Times New Roman"/>
          <w:color w:val="000000"/>
          <w:kern w:val="2"/>
          <w:sz w:val="32"/>
          <w:szCs w:val="32"/>
          <w:lang w:val="en-US" w:eastAsia="zh-CN" w:bidi="ar-SA"/>
        </w:rPr>
      </w:pPr>
    </w:p>
    <w:p>
      <w:pPr>
        <w:rPr>
          <w:rFonts w:hint="eastAsia" w:ascii="Times New Roman" w:hAnsi="Times New Roman" w:eastAsia="仿宋_GB2312" w:cs="Times New Roman"/>
          <w:color w:val="000000"/>
          <w:kern w:val="2"/>
          <w:sz w:val="32"/>
          <w:szCs w:val="32"/>
          <w:lang w:val="en-US" w:eastAsia="zh-CN" w:bidi="ar-SA"/>
        </w:rPr>
      </w:pPr>
    </w:p>
    <w:p>
      <w:pPr>
        <w:pStyle w:val="2"/>
        <w:rPr>
          <w:rFonts w:hint="eastAsia" w:ascii="Times New Roman" w:hAnsi="Times New Roman" w:eastAsia="仿宋_GB2312" w:cs="Times New Roman"/>
          <w:color w:val="000000"/>
          <w:kern w:val="2"/>
          <w:sz w:val="32"/>
          <w:szCs w:val="32"/>
          <w:lang w:val="en-US" w:eastAsia="zh-CN" w:bidi="ar-SA"/>
        </w:rPr>
      </w:pPr>
    </w:p>
    <w:p>
      <w:pPr>
        <w:rPr>
          <w:rFonts w:hint="eastAsia"/>
          <w:lang w:val="en-US" w:eastAsia="zh-CN"/>
        </w:rPr>
      </w:pPr>
    </w:p>
    <w:p>
      <w:pPr>
        <w:rPr>
          <w:rFonts w:hint="eastAsia" w:ascii="黑体" w:hAnsi="黑体" w:eastAsia="黑体"/>
          <w:color w:val="auto"/>
          <w:sz w:val="44"/>
          <w:szCs w:val="44"/>
          <w:highlight w:val="none"/>
        </w:rPr>
      </w:pPr>
    </w:p>
    <w:p>
      <w:pPr>
        <w:pStyle w:val="17"/>
        <w:rPr>
          <w:rFonts w:hint="eastAsia"/>
        </w:rPr>
      </w:pPr>
    </w:p>
    <w:p>
      <w:pPr>
        <w:rPr>
          <w:rFonts w:hint="eastAsia"/>
        </w:rPr>
      </w:pPr>
    </w:p>
    <w:tbl>
      <w:tblPr>
        <w:tblStyle w:val="16"/>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left"/>
        <w:outlineLvl w:val="0"/>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注：单位</w:t>
      </w:r>
      <w:r>
        <w:rPr>
          <w:rFonts w:hint="eastAsia" w:ascii="仿宋_GB2312" w:hAnsi="仿宋_GB2312" w:eastAsia="仿宋_GB2312" w:cs="仿宋_GB2312"/>
          <w:b w:val="0"/>
          <w:bCs w:val="0"/>
          <w:i w:val="0"/>
          <w:color w:val="auto"/>
          <w:sz w:val="30"/>
          <w:szCs w:val="30"/>
          <w:u w:val="none"/>
          <w:lang w:val="en-US" w:eastAsia="zh-CN"/>
        </w:rPr>
        <w:t>2021年</w:t>
      </w:r>
      <w:r>
        <w:rPr>
          <w:rFonts w:hint="eastAsia" w:ascii="仿宋_GB2312" w:hAnsi="仿宋_GB2312" w:eastAsia="仿宋_GB2312" w:cs="仿宋_GB2312"/>
          <w:b w:val="0"/>
          <w:bCs w:val="0"/>
          <w:color w:val="auto"/>
          <w:sz w:val="30"/>
          <w:szCs w:val="30"/>
          <w:highlight w:val="none"/>
          <w:lang w:val="en-US" w:eastAsia="zh-CN"/>
        </w:rPr>
        <w:t>无</w:t>
      </w:r>
      <w:r>
        <w:rPr>
          <w:rFonts w:hint="eastAsia" w:ascii="仿宋_GB2312" w:hAnsi="仿宋_GB2312" w:eastAsia="仿宋_GB2312" w:cs="仿宋_GB2312"/>
          <w:b w:val="0"/>
          <w:bCs w:val="0"/>
          <w:i w:val="0"/>
          <w:color w:val="auto"/>
          <w:sz w:val="30"/>
          <w:szCs w:val="30"/>
          <w:u w:val="none"/>
          <w:lang w:val="en-US" w:eastAsia="zh-CN"/>
        </w:rPr>
        <w:t>100万元以上（含）特定目标类部门预算项目。</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66"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6"/>
    </w:p>
    <w:p>
      <w:pPr>
        <w:pStyle w:val="4"/>
        <w:rPr>
          <w:rFonts w:ascii="仿宋" w:hAnsi="仿宋" w:eastAsia="仿宋"/>
          <w:color w:val="auto"/>
          <w:highlight w:val="none"/>
        </w:rPr>
      </w:pPr>
      <w:bookmarkStart w:id="67"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7"/>
    </w:p>
    <w:p>
      <w:pPr>
        <w:pStyle w:val="4"/>
        <w:rPr>
          <w:rFonts w:ascii="仿宋" w:hAnsi="仿宋" w:eastAsia="仿宋"/>
          <w:color w:val="auto"/>
          <w:highlight w:val="none"/>
        </w:rPr>
      </w:pPr>
      <w:bookmarkStart w:id="68"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8"/>
    </w:p>
    <w:p>
      <w:pPr>
        <w:pStyle w:val="4"/>
        <w:rPr>
          <w:rFonts w:ascii="仿宋" w:hAnsi="仿宋" w:eastAsia="仿宋"/>
          <w:b w:val="0"/>
          <w:color w:val="auto"/>
          <w:highlight w:val="none"/>
        </w:rPr>
      </w:pPr>
      <w:bookmarkStart w:id="69"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9"/>
    </w:p>
    <w:p>
      <w:pPr>
        <w:pStyle w:val="4"/>
        <w:rPr>
          <w:rStyle w:val="27"/>
          <w:rFonts w:ascii="仿宋" w:hAnsi="仿宋" w:eastAsia="仿宋"/>
          <w:b w:val="0"/>
          <w:bCs w:val="0"/>
          <w:color w:val="auto"/>
          <w:highlight w:val="none"/>
        </w:rPr>
      </w:pPr>
      <w:bookmarkStart w:id="70"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70"/>
      <w:bookmarkStart w:id="71"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71"/>
    </w:p>
    <w:p>
      <w:pPr>
        <w:pStyle w:val="4"/>
        <w:rPr>
          <w:rFonts w:ascii="仿宋" w:hAnsi="仿宋" w:eastAsia="仿宋"/>
          <w:color w:val="auto"/>
          <w:highlight w:val="none"/>
        </w:rPr>
      </w:pPr>
      <w:bookmarkStart w:id="72"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72"/>
    </w:p>
    <w:p>
      <w:pPr>
        <w:pStyle w:val="4"/>
        <w:rPr>
          <w:rFonts w:ascii="仿宋" w:hAnsi="仿宋" w:eastAsia="仿宋"/>
          <w:color w:val="auto"/>
          <w:highlight w:val="none"/>
        </w:rPr>
      </w:pPr>
      <w:bookmarkStart w:id="73"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73"/>
    </w:p>
    <w:p>
      <w:pPr>
        <w:pStyle w:val="4"/>
        <w:rPr>
          <w:rFonts w:ascii="仿宋" w:hAnsi="仿宋" w:eastAsia="仿宋"/>
          <w:color w:val="auto"/>
          <w:highlight w:val="none"/>
        </w:rPr>
      </w:pPr>
      <w:bookmarkStart w:id="74"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74"/>
    </w:p>
    <w:p>
      <w:pPr>
        <w:pStyle w:val="4"/>
        <w:rPr>
          <w:rFonts w:ascii="仿宋" w:hAnsi="仿宋" w:eastAsia="仿宋"/>
          <w:color w:val="auto"/>
          <w:highlight w:val="none"/>
        </w:rPr>
      </w:pPr>
      <w:bookmarkStart w:id="75"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75"/>
    </w:p>
    <w:p>
      <w:pPr>
        <w:pStyle w:val="4"/>
        <w:rPr>
          <w:rFonts w:ascii="仿宋" w:hAnsi="仿宋" w:eastAsia="仿宋"/>
          <w:color w:val="auto"/>
          <w:highlight w:val="none"/>
        </w:rPr>
      </w:pPr>
      <w:bookmarkStart w:id="76"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6"/>
    </w:p>
    <w:p>
      <w:pPr>
        <w:pStyle w:val="4"/>
        <w:rPr>
          <w:rFonts w:ascii="仿宋" w:hAnsi="仿宋" w:eastAsia="仿宋"/>
          <w:color w:val="auto"/>
          <w:highlight w:val="none"/>
        </w:rPr>
      </w:pPr>
      <w:bookmarkStart w:id="77"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7"/>
    </w:p>
    <w:p>
      <w:pPr>
        <w:pStyle w:val="4"/>
        <w:rPr>
          <w:rStyle w:val="27"/>
          <w:rFonts w:hint="eastAsia" w:ascii="仿宋" w:hAnsi="仿宋" w:eastAsia="仿宋"/>
          <w:b w:val="0"/>
          <w:bCs w:val="0"/>
          <w:color w:val="auto"/>
          <w:highlight w:val="none"/>
        </w:rPr>
      </w:pPr>
      <w:bookmarkStart w:id="78"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8"/>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701" w:right="1588" w:bottom="1701"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AFA0A"/>
    <w:multiLevelType w:val="singleLevel"/>
    <w:tmpl w:val="ACEAFA0A"/>
    <w:lvl w:ilvl="0" w:tentative="0">
      <w:start w:val="3"/>
      <w:numFmt w:val="chineseCounting"/>
      <w:suff w:val="nothing"/>
      <w:lvlText w:val="（%1）"/>
      <w:lvlJc w:val="left"/>
      <w:rPr>
        <w:rFonts w:hint="eastAsia"/>
      </w:rPr>
    </w:lvl>
  </w:abstractNum>
  <w:abstractNum w:abstractNumId="1">
    <w:nsid w:val="B9309A8E"/>
    <w:multiLevelType w:val="singleLevel"/>
    <w:tmpl w:val="B9309A8E"/>
    <w:lvl w:ilvl="0" w:tentative="0">
      <w:start w:val="1"/>
      <w:numFmt w:val="chineseCounting"/>
      <w:suff w:val="space"/>
      <w:lvlText w:val="第%1部分"/>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0080C1F"/>
    <w:multiLevelType w:val="singleLevel"/>
    <w:tmpl w:val="50080C1F"/>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GRhMTRiYjU3NDBlYmZiNDgxMTM5Mzc2YmEx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B0310F"/>
    <w:rsid w:val="10C055FF"/>
    <w:rsid w:val="118107EC"/>
    <w:rsid w:val="11DD6519"/>
    <w:rsid w:val="156E5F95"/>
    <w:rsid w:val="158F65AA"/>
    <w:rsid w:val="159A5652"/>
    <w:rsid w:val="16BB723D"/>
    <w:rsid w:val="18015F3F"/>
    <w:rsid w:val="19B951DF"/>
    <w:rsid w:val="1BE8440E"/>
    <w:rsid w:val="1D155CEE"/>
    <w:rsid w:val="1D940A54"/>
    <w:rsid w:val="1EE04A36"/>
    <w:rsid w:val="20F57F95"/>
    <w:rsid w:val="20F709E0"/>
    <w:rsid w:val="22172141"/>
    <w:rsid w:val="240371BF"/>
    <w:rsid w:val="24447926"/>
    <w:rsid w:val="25C741E6"/>
    <w:rsid w:val="27842671"/>
    <w:rsid w:val="28561689"/>
    <w:rsid w:val="29FD04D3"/>
    <w:rsid w:val="2ABE7A3E"/>
    <w:rsid w:val="2EFA178C"/>
    <w:rsid w:val="30B46D73"/>
    <w:rsid w:val="319F7F4E"/>
    <w:rsid w:val="34A61A10"/>
    <w:rsid w:val="39AE70AB"/>
    <w:rsid w:val="3A8D1C3F"/>
    <w:rsid w:val="3C0C0783"/>
    <w:rsid w:val="3F9F3A96"/>
    <w:rsid w:val="3FDA57E5"/>
    <w:rsid w:val="453817FB"/>
    <w:rsid w:val="493C27E9"/>
    <w:rsid w:val="496B5452"/>
    <w:rsid w:val="496F39ED"/>
    <w:rsid w:val="49FF41D3"/>
    <w:rsid w:val="4A327220"/>
    <w:rsid w:val="4BE068DB"/>
    <w:rsid w:val="4BF6002B"/>
    <w:rsid w:val="4E640E84"/>
    <w:rsid w:val="4ECE2238"/>
    <w:rsid w:val="51DB4B86"/>
    <w:rsid w:val="522F3CF3"/>
    <w:rsid w:val="540A1EE9"/>
    <w:rsid w:val="55333C3E"/>
    <w:rsid w:val="60BE725B"/>
    <w:rsid w:val="626949D5"/>
    <w:rsid w:val="62BE5CE6"/>
    <w:rsid w:val="632A312B"/>
    <w:rsid w:val="64CA39A1"/>
    <w:rsid w:val="67BB4242"/>
    <w:rsid w:val="682618CA"/>
    <w:rsid w:val="68C77B7D"/>
    <w:rsid w:val="6C4A05C8"/>
    <w:rsid w:val="6CFD3F43"/>
    <w:rsid w:val="72734D90"/>
    <w:rsid w:val="72E674E8"/>
    <w:rsid w:val="731B04B6"/>
    <w:rsid w:val="73237BA8"/>
    <w:rsid w:val="78D3094D"/>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jc w:val="left"/>
    </w:pPr>
    <w:rPr>
      <w:rFonts w:ascii="Calibri" w:hAnsi="Calibri"/>
      <w:kern w:val="0"/>
      <w:szCs w:val="21"/>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7">
    <w:name w:val="table of figures1"/>
    <w:basedOn w:val="1"/>
    <w:next w:val="1"/>
    <w:uiPriority w:val="0"/>
    <w:pPr>
      <w:jc w:val="left"/>
    </w:pPr>
    <w:rPr>
      <w:rFonts w:ascii="Calibri" w:hAnsi="Calibri"/>
      <w:kern w:val="0"/>
      <w:szCs w:val="21"/>
    </w:rPr>
  </w:style>
  <w:style w:type="character" w:customStyle="1" w:styleId="18">
    <w:name w:val="Header Char"/>
    <w:basedOn w:val="13"/>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3"/>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3"/>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3"/>
    <w:link w:val="3"/>
    <w:qFormat/>
    <w:uiPriority w:val="9"/>
    <w:rPr>
      <w:rFonts w:ascii="Times New Roman" w:hAnsi="Times New Roman"/>
      <w:b/>
      <w:bCs/>
      <w:kern w:val="44"/>
      <w:sz w:val="44"/>
      <w:szCs w:val="44"/>
    </w:rPr>
  </w:style>
  <w:style w:type="character" w:customStyle="1" w:styleId="27">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3"/>
    <w:link w:val="8"/>
    <w:semiHidden/>
    <w:qFormat/>
    <w:uiPriority w:val="99"/>
    <w:rPr>
      <w:rFonts w:ascii="Times New Roman" w:hAnsi="Times New Roman"/>
      <w:kern w:val="2"/>
      <w:sz w:val="18"/>
      <w:szCs w:val="18"/>
    </w:rPr>
  </w:style>
  <w:style w:type="character" w:customStyle="1" w:styleId="30">
    <w:name w:val="标题 3 Char"/>
    <w:basedOn w:val="13"/>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manualLayout>
          <c:layoutTarget val="inner"/>
          <c:xMode val="edge"/>
          <c:yMode val="edge"/>
          <c:x val="0.0777088443226086"/>
          <c:y val="0.176484393334898"/>
          <c:w val="0.726359832635983"/>
          <c:h val="0.707439568176484"/>
        </c:manualLayout>
      </c:layout>
      <c:barChart>
        <c:barDir val="col"/>
        <c:grouping val="clustered"/>
        <c:varyColors val="0"/>
        <c:ser>
          <c:idx val="0"/>
          <c:order val="0"/>
          <c:tx>
            <c:strRef>
              <c:f>Sheet1!$B$1</c:f>
              <c:strCache>
                <c:ptCount val="1"/>
                <c:pt idx="0">
                  <c:v>2020年度</c:v>
                </c:pt>
              </c:strCache>
            </c:strRef>
          </c:tx>
          <c:spPr>
            <a:solidFill>
              <a:schemeClr val="accent3">
                <a:lumMod val="60000"/>
                <a:lumOff val="40000"/>
              </a:schemeClr>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280.01</c:v>
                </c:pt>
              </c:numCache>
            </c:numRef>
          </c:val>
        </c:ser>
        <c:ser>
          <c:idx val="1"/>
          <c:order val="1"/>
          <c:tx>
            <c:strRef>
              <c:f>Sheet1!$C$1</c:f>
              <c:strCache>
                <c:ptCount val="1"/>
                <c:pt idx="0">
                  <c:v>2021年度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385.21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收支总计</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max val="4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majorUnit val="40"/>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219285553226482"/>
          <c:y val="0.0472575626950179"/>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a:solidFill>
              <a:schemeClr val="accent4">
                <a:lumMod val="60000"/>
                <a:lumOff val="40000"/>
              </a:schemeClr>
            </a:solidFill>
          </c:spPr>
          <c:explosion val="0"/>
          <c:dPt>
            <c:idx val="0"/>
            <c:bubble3D val="0"/>
            <c:spPr>
              <a:solidFill>
                <a:schemeClr val="accent4">
                  <a:lumMod val="60000"/>
                  <a:lumOff val="40000"/>
                </a:schemeClr>
              </a:solidFill>
              <a:ln w="19050">
                <a:solidFill>
                  <a:schemeClr val="lt1"/>
                </a:solidFill>
              </a:ln>
              <a:effectLst/>
            </c:spPr>
          </c:dPt>
          <c:dPt>
            <c:idx val="1"/>
            <c:bubble3D val="0"/>
            <c:spPr>
              <a:solidFill>
                <a:schemeClr val="accent3">
                  <a:lumMod val="60000"/>
                  <a:lumOff val="4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strCache>
            </c:strRef>
          </c:cat>
          <c:val>
            <c:numRef>
              <c:f>Sheet1!$B$2:$B$3</c:f>
              <c:numCache>
                <c:formatCode>General</c:formatCode>
                <c:ptCount val="2"/>
                <c:pt idx="0">
                  <c:v>385.21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0" normalizeH="0" baseline="0">
                <a:solidFill>
                  <a:schemeClr val="tx1"/>
                </a:solidFill>
                <a:uFill>
                  <a:solidFill>
                    <a:schemeClr val="tx1"/>
                  </a:solidFill>
                </a:uFill>
                <a:latin typeface="+mn-lt"/>
                <a:ea typeface="+mn-ea"/>
                <a:cs typeface="+mn-cs"/>
              </a:defRPr>
            </a:pPr>
            <a:r>
              <a:rPr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rPr>
              <a:t>图</a:t>
            </a:r>
            <a:r>
              <a:rPr lang="en-US" altLang="zh-CN"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rPr>
              <a:t>3</a:t>
            </a:r>
            <a:r>
              <a:rPr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rPr>
              <a:t>：支出决算结构图</a:t>
            </a:r>
            <a:endParaRPr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3">
                  <a:lumMod val="60000"/>
                  <a:lumOff val="40000"/>
                </a:schemeClr>
              </a:solidFill>
              <a:ln w="19050">
                <a:solidFill>
                  <a:schemeClr val="lt1"/>
                </a:solidFill>
              </a:ln>
              <a:effectLst/>
            </c:spPr>
          </c:dPt>
          <c:dPt>
            <c:idx val="1"/>
            <c:bubble3D val="0"/>
            <c:explosion val="2"/>
            <c:spPr>
              <a:solidFill>
                <a:schemeClr val="accent4">
                  <a:lumMod val="60000"/>
                  <a:lumOff val="40000"/>
                </a:schemeClr>
              </a:solidFill>
              <a:ln w="19050">
                <a:solidFill>
                  <a:schemeClr val="lt1"/>
                </a:solidFill>
              </a:ln>
              <a:effectLst/>
            </c:spPr>
          </c:dPt>
          <c:dLbls>
            <c:dLbl>
              <c:idx val="0"/>
              <c:layout>
                <c:manualLayout>
                  <c:x val="-0.1171929287598"/>
                  <c:y val="-0.1143121496167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2314875411391"/>
                  <c:y val="0.1294266244589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54.54</c:v>
                </c:pt>
                <c:pt idx="1">
                  <c:v>45.46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u="none" strike="noStrike" kern="1200" cap="none" spc="0" normalizeH="0">
          <a:solidFill>
            <a:schemeClr val="tx1"/>
          </a:solidFill>
          <a:uFill>
            <a:solidFill>
              <a:schemeClr val="tx1"/>
            </a:solidFill>
          </a:u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4</a:t>
            </a:r>
            <a:r>
              <a:rPr>
                <a:latin typeface="楷体" panose="02010609060101010101" charset="-122"/>
                <a:ea typeface="楷体" panose="02010609060101010101" charset="-122"/>
                <a:cs typeface="楷体" panose="02010609060101010101" charset="-122"/>
              </a:rPr>
              <a:t>：财政拨款收、支总计变动情况</a:t>
            </a:r>
            <a:endParaRPr>
              <a:latin typeface="楷体" panose="02010609060101010101" charset="-122"/>
              <a:ea typeface="楷体" panose="02010609060101010101" charset="-122"/>
              <a:cs typeface="楷体" panose="02010609060101010101" charset="-122"/>
            </a:endParaRPr>
          </a:p>
        </c:rich>
      </c:tx>
      <c:layout>
        <c:manualLayout>
          <c:xMode val="edge"/>
          <c:yMode val="edge"/>
          <c:x val="0.0378702055348762"/>
          <c:y val="0.0236877971527677"/>
        </c:manualLayout>
      </c:layout>
      <c:overlay val="0"/>
      <c:spPr>
        <a:noFill/>
        <a:ln>
          <a:noFill/>
        </a:ln>
        <a:effectLst/>
      </c:spPr>
    </c:title>
    <c:autoTitleDeleted val="0"/>
    <c:plotArea>
      <c:layout>
        <c:manualLayout>
          <c:layoutTarget val="inner"/>
          <c:xMode val="edge"/>
          <c:yMode val="edge"/>
          <c:x val="0.056416895937854"/>
          <c:y val="0.203985429612171"/>
          <c:w val="0.693057128985273"/>
          <c:h val="0.733533319048639"/>
        </c:manualLayout>
      </c:layout>
      <c:barChart>
        <c:barDir val="col"/>
        <c:grouping val="clustered"/>
        <c:varyColors val="0"/>
        <c:ser>
          <c:idx val="0"/>
          <c:order val="0"/>
          <c:tx>
            <c:strRef>
              <c:f>Sheet1!$B$1</c:f>
              <c:strCache>
                <c:ptCount val="1"/>
                <c:pt idx="0">
                  <c:v>2021年度</c:v>
                </c:pt>
              </c:strCache>
            </c:strRef>
          </c:tx>
          <c:spPr>
            <a:solidFill>
              <a:schemeClr val="accent3">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Sheet1!$B$2:$B$3</c:f>
              <c:numCache>
                <c:formatCode>General</c:formatCode>
                <c:ptCount val="2"/>
                <c:pt idx="0">
                  <c:v>278.67</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Sheet1!$C$2:$C$3</c:f>
              <c:numCache>
                <c:formatCode>General</c:formatCode>
                <c:ptCount val="2"/>
                <c:pt idx="0">
                  <c:v>385.21</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majorUnit val="10"/>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5</a:t>
            </a:r>
            <a:r>
              <a:rPr>
                <a:latin typeface="楷体" panose="02010609060101010101" charset="-122"/>
                <a:ea typeface="楷体" panose="02010609060101010101" charset="-122"/>
                <a:cs typeface="楷体" panose="02010609060101010101" charset="-122"/>
              </a:rPr>
              <a:t>：一般公共预算财政拨款支出决算变动情况</a:t>
            </a:r>
            <a:endParaRPr>
              <a:latin typeface="楷体" panose="02010609060101010101" charset="-122"/>
              <a:ea typeface="楷体" panose="02010609060101010101" charset="-122"/>
              <a:cs typeface="楷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3">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278.67</c:v>
                </c:pt>
              </c:numCache>
            </c:numRef>
          </c:val>
        </c:ser>
        <c:ser>
          <c:idx val="1"/>
          <c:order val="1"/>
          <c:tx>
            <c:strRef>
              <c:f>Sheet1!$C$1</c:f>
              <c:strCache>
                <c:ptCount val="1"/>
                <c:pt idx="0">
                  <c:v>2021年度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385.21</c:v>
                </c:pt>
              </c:numCache>
            </c:numRef>
          </c:val>
        </c:ser>
        <c:dLbls>
          <c:showLegendKey val="0"/>
          <c:showVal val="1"/>
          <c:showCatName val="0"/>
          <c:showSerName val="0"/>
          <c:showPercent val="0"/>
          <c:showBubbleSize val="0"/>
        </c:dLbls>
        <c:gapWidth val="219"/>
        <c:overlap val="-27"/>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max val="4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majorUnit val="1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6</a:t>
            </a:r>
            <a:r>
              <a:rPr>
                <a:latin typeface="楷体" panose="02010609060101010101" charset="-122"/>
                <a:ea typeface="楷体" panose="02010609060101010101" charset="-122"/>
                <a:cs typeface="楷体" panose="02010609060101010101" charset="-122"/>
              </a:rPr>
              <a:t>：一般公共预算财政拨款支出决算结构</a:t>
            </a:r>
            <a:endParaRPr>
              <a:latin typeface="楷体" panose="02010609060101010101" charset="-122"/>
              <a:ea typeface="楷体" panose="02010609060101010101" charset="-122"/>
              <a:cs typeface="楷体" panose="02010609060101010101" charset="-122"/>
            </a:endParaRPr>
          </a:p>
        </c:rich>
      </c:tx>
      <c:layout>
        <c:manualLayout>
          <c:xMode val="edge"/>
          <c:yMode val="edge"/>
          <c:x val="0.168669527896996"/>
          <c:y val="0.0342757067800851"/>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5">
                  <a:lumMod val="40000"/>
                  <a:lumOff val="60000"/>
                </a:schemeClr>
              </a:solidFill>
              <a:ln w="19050">
                <a:solidFill>
                  <a:schemeClr val="lt1"/>
                </a:solidFill>
              </a:ln>
              <a:effectLst/>
            </c:spPr>
          </c:dPt>
          <c:dPt>
            <c:idx val="1"/>
            <c:bubble3D val="0"/>
            <c:spPr>
              <a:solidFill>
                <a:schemeClr val="accent2">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1"/>
              <c:layout>
                <c:manualLayout>
                  <c:x val="-0.0217489144890574"/>
                  <c:y val="-0.017877443285716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26174862235555"/>
                  <c:y val="0.002984574377483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43281458531703"/>
                  <c:y val="0.03433693350836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283194092072445"/>
                  <c:y val="-0.015540181409448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275394099892179"/>
                  <c:y val="0.13139911368534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教育支出</c:v>
                </c:pt>
                <c:pt idx="2">
                  <c:v>文化旅游体育与传媒</c:v>
                </c:pt>
                <c:pt idx="3">
                  <c:v>社会保障和就业</c:v>
                </c:pt>
                <c:pt idx="4">
                  <c:v>医疗卫生支出</c:v>
                </c:pt>
                <c:pt idx="5">
                  <c:v>住房保障支出</c:v>
                </c:pt>
              </c:strCache>
            </c:strRef>
          </c:cat>
          <c:val>
            <c:numRef>
              <c:f>Sheet1!$B$2:$B$7</c:f>
              <c:numCache>
                <c:formatCode>General</c:formatCode>
                <c:ptCount val="6"/>
                <c:pt idx="0">
                  <c:v>267.59</c:v>
                </c:pt>
                <c:pt idx="1">
                  <c:v>5.88</c:v>
                </c:pt>
                <c:pt idx="2">
                  <c:v>48.39</c:v>
                </c:pt>
                <c:pt idx="3">
                  <c:v>17.96</c:v>
                </c:pt>
                <c:pt idx="4">
                  <c:v>9.85</c:v>
                </c:pt>
                <c:pt idx="5">
                  <c:v>35.54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7</a:t>
            </a:r>
            <a:r>
              <a:rPr altLang="en-US">
                <a:latin typeface="楷体" panose="02010609060101010101" charset="-122"/>
                <a:ea typeface="楷体" panose="02010609060101010101" charset="-122"/>
                <a:cs typeface="楷体" panose="02010609060101010101" charset="-122"/>
              </a:rPr>
              <a:t>：</a:t>
            </a:r>
            <a:r>
              <a:rPr>
                <a:latin typeface="楷体" panose="02010609060101010101" charset="-122"/>
                <a:ea typeface="楷体" panose="02010609060101010101" charset="-122"/>
                <a:cs typeface="楷体" panose="02010609060101010101" charset="-122"/>
              </a:rPr>
              <a:t>“三公”经费财政拨款支出结构</a:t>
            </a:r>
            <a:endParaRPr>
              <a:latin typeface="楷体" panose="02010609060101010101" charset="-122"/>
              <a:ea typeface="楷体" panose="02010609060101010101" charset="-122"/>
              <a:cs typeface="楷体"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5">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7374468765809"/>
                  <c:y val="0.03078399769321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1123623431499"/>
                  <c:y val="0.060683709869192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03092084476317"/>
                  <c:y val="0.02739001188991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2359550561798"/>
          <c:y val="0.446789536266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8650</Words>
  <Characters>10925</Characters>
  <Lines>61</Lines>
  <Paragraphs>17</Paragraphs>
  <TotalTime>2</TotalTime>
  <ScaleCrop>false</ScaleCrop>
  <LinksUpToDate>false</LinksUpToDate>
  <CharactersWithSpaces>10958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2022-08-06T02:23:00Z</cp:lastPrinted>
  <dcterms:modified xsi:type="dcterms:W3CDTF">2022-11-14T07:14:01Z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698514A7C90D45FDAD1CBF9DC4C0510F</vt:lpwstr>
  </property>
</Properties>
</file>