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96475"/>
      <w:bookmarkStart w:id="3" w:name="_Toc15377425"/>
      <w:bookmarkStart w:id="4" w:name="_Toc15377193"/>
      <w:bookmarkStart w:id="5" w:name="_Toc15378441"/>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96598"/>
      <w:bookmarkStart w:id="8" w:name="_Toc15377194"/>
      <w:bookmarkStart w:id="9" w:name="_Toc15378442"/>
      <w:bookmarkStart w:id="10" w:name="_Toc15377426"/>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宋体" w:eastAsia="方正小标宋简体"/>
          <w:sz w:val="72"/>
          <w:szCs w:val="72"/>
        </w:rPr>
        <w:t>民族研究所</w:t>
      </w:r>
      <w:r>
        <w:rPr>
          <w:rFonts w:hint="eastAsia" w:ascii="方正小标宋简体" w:hAnsi="方正小标宋简体" w:eastAsia="方正小标宋简体" w:cs="方正小标宋简体"/>
          <w:sz w:val="72"/>
          <w:szCs w:val="72"/>
        </w:rPr>
        <w:t>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公开时间：2022年9月9日</w:t>
      </w:r>
    </w:p>
    <w:p/>
    <w:p>
      <w:pPr>
        <w:pStyle w:val="11"/>
        <w:adjustRightInd w:val="0"/>
        <w:snapToGrid w:val="0"/>
        <w:spacing w:before="0" w:line="440" w:lineRule="exact"/>
        <w:jc w:val="left"/>
        <w:rPr>
          <w:rFonts w:cstheme="minorBidi"/>
          <w:color w:val="auto"/>
          <w:sz w:val="24"/>
          <w:szCs w:val="24"/>
        </w:rPr>
      </w:pPr>
      <w:bookmarkStart w:id="12" w:name="_Toc15396599"/>
      <w:bookmarkStart w:id="13" w:name="_Toc15377196"/>
      <w:r>
        <w:rPr>
          <w:rFonts w:hint="eastAsia"/>
          <w:color w:val="auto"/>
          <w:sz w:val="24"/>
        </w:rPr>
        <w:t>第一部分</w:t>
      </w:r>
      <w:r>
        <w:rPr>
          <w:color w:val="auto"/>
          <w:sz w:val="24"/>
        </w:rPr>
        <w:t xml:space="preserve"> </w:t>
      </w:r>
      <w:r>
        <w:rPr>
          <w:rFonts w:hint="eastAsia"/>
          <w:color w:val="auto"/>
          <w:sz w:val="24"/>
          <w:lang w:eastAsia="zh-CN"/>
        </w:rPr>
        <w:t>单位</w:t>
      </w:r>
      <w:r>
        <w:rPr>
          <w:rFonts w:hint="eastAsia"/>
          <w:color w:val="auto"/>
          <w:sz w:val="24"/>
        </w:rPr>
        <w:t>概况</w:t>
      </w:r>
    </w:p>
    <w:p>
      <w:pPr>
        <w:pStyle w:val="12"/>
        <w:adjustRightInd w:val="0"/>
        <w:snapToGrid w:val="0"/>
        <w:spacing w:line="440" w:lineRule="exact"/>
        <w:jc w:val="left"/>
        <w:rPr>
          <w:rFonts w:hint="eastAsia" w:eastAsia="宋体"/>
          <w:color w:val="auto"/>
          <w:sz w:val="24"/>
          <w:lang w:eastAsia="zh-CN"/>
        </w:rPr>
      </w:pPr>
      <w:r>
        <w:rPr>
          <w:rFonts w:hint="eastAsia"/>
          <w:color w:val="auto"/>
          <w:sz w:val="24"/>
        </w:rPr>
        <w:t>一、职能</w:t>
      </w:r>
      <w:r>
        <w:rPr>
          <w:rFonts w:hint="eastAsia"/>
          <w:color w:val="auto"/>
          <w:sz w:val="24"/>
          <w:lang w:eastAsia="zh-CN"/>
        </w:rPr>
        <w:t>简介</w:t>
      </w:r>
      <w:r>
        <w:rPr>
          <w:rFonts w:hint="eastAsia" w:ascii="Times New Roman" w:hAnsi="Times New Roman" w:cs="Times New Roman"/>
          <w:color w:val="auto"/>
          <w:sz w:val="24"/>
          <w:szCs w:val="24"/>
          <w:lang w:val="en-US" w:eastAsia="zh-CN"/>
        </w:rPr>
        <w:t>.....................................................................................................4</w:t>
      </w:r>
    </w:p>
    <w:p>
      <w:pPr>
        <w:pStyle w:val="12"/>
        <w:adjustRightInd w:val="0"/>
        <w:snapToGrid w:val="0"/>
        <w:spacing w:line="440" w:lineRule="exact"/>
        <w:jc w:val="left"/>
        <w:rPr>
          <w:rFonts w:hint="eastAsia"/>
          <w:color w:val="auto"/>
          <w:sz w:val="24"/>
          <w:lang w:val="en-US" w:eastAsia="zh-CN"/>
        </w:rPr>
      </w:pPr>
      <w:r>
        <w:rPr>
          <w:rFonts w:hint="eastAsia"/>
          <w:color w:val="auto"/>
          <w:sz w:val="24"/>
          <w:lang w:eastAsia="zh-CN"/>
        </w:rPr>
        <w:t>二、</w:t>
      </w:r>
      <w:r>
        <w:rPr>
          <w:rFonts w:hint="eastAsia"/>
          <w:color w:val="auto"/>
          <w:sz w:val="24"/>
          <w:lang w:val="en-US" w:eastAsia="zh-CN"/>
        </w:rPr>
        <w:t>2020年重点</w:t>
      </w:r>
      <w:r>
        <w:rPr>
          <w:rFonts w:hint="eastAsia"/>
          <w:color w:val="auto"/>
          <w:sz w:val="24"/>
        </w:rPr>
        <w:t>工作</w:t>
      </w:r>
      <w:r>
        <w:rPr>
          <w:rFonts w:hint="eastAsia"/>
          <w:color w:val="auto"/>
          <w:sz w:val="24"/>
          <w:lang w:eastAsia="zh-CN"/>
        </w:rPr>
        <w:t>完成情况</w:t>
      </w:r>
      <w:r>
        <w:rPr>
          <w:rFonts w:hint="eastAsia"/>
          <w:color w:val="auto"/>
          <w:sz w:val="24"/>
          <w:lang w:val="en-US" w:eastAsia="zh-CN"/>
        </w:rPr>
        <w:t>........................................................................4</w:t>
      </w:r>
    </w:p>
    <w:p>
      <w:pPr>
        <w:pStyle w:val="12"/>
        <w:adjustRightInd w:val="0"/>
        <w:snapToGrid w:val="0"/>
        <w:spacing w:line="440" w:lineRule="exact"/>
        <w:jc w:val="left"/>
        <w:rPr>
          <w:rFonts w:hint="default"/>
          <w:lang w:val="en-US" w:eastAsia="zh-CN"/>
        </w:rPr>
      </w:pPr>
      <w:r>
        <w:rPr>
          <w:rFonts w:hint="eastAsia"/>
          <w:color w:val="auto"/>
          <w:sz w:val="24"/>
          <w:lang w:val="en-US" w:eastAsia="zh-CN"/>
        </w:rPr>
        <w:t>三、机构设置情况...</w:t>
      </w:r>
      <w:r>
        <w:rPr>
          <w:rFonts w:hint="eastAsia" w:ascii="Times New Roman" w:hAnsi="Times New Roman" w:cs="Times New Roman"/>
          <w:color w:val="auto"/>
          <w:sz w:val="24"/>
          <w:szCs w:val="24"/>
          <w:lang w:val="en-US" w:eastAsia="zh-CN"/>
        </w:rPr>
        <w:t>..........................................................................................5</w:t>
      </w:r>
    </w:p>
    <w:p>
      <w:pPr>
        <w:pStyle w:val="11"/>
        <w:adjustRightInd w:val="0"/>
        <w:snapToGrid w:val="0"/>
        <w:spacing w:before="0" w:line="440" w:lineRule="exact"/>
        <w:jc w:val="left"/>
        <w:rPr>
          <w:color w:val="auto"/>
          <w:sz w:val="24"/>
          <w:szCs w:val="24"/>
        </w:rPr>
      </w:pPr>
      <w:r>
        <w:rPr>
          <w:rFonts w:hint="eastAsia"/>
          <w:color w:val="auto"/>
          <w:sz w:val="24"/>
        </w:rPr>
        <w:t>第二部分</w:t>
      </w:r>
      <w:r>
        <w:rPr>
          <w:rFonts w:hint="eastAsia"/>
          <w:color w:val="auto"/>
          <w:sz w:val="24"/>
          <w:lang w:val="en-US" w:eastAsia="zh-CN"/>
        </w:rPr>
        <w:t xml:space="preserve"> 2020年度</w:t>
      </w:r>
      <w:r>
        <w:rPr>
          <w:rFonts w:hint="eastAsia"/>
          <w:color w:val="auto"/>
          <w:sz w:val="24"/>
        </w:rPr>
        <w:t>部门决算情况说明</w:t>
      </w:r>
      <w:r>
        <w:rPr>
          <w:rFonts w:hint="eastAsia" w:ascii="Times New Roman" w:hAnsi="Times New Roman" w:cs="Times New Roman"/>
          <w:color w:val="auto"/>
          <w:sz w:val="24"/>
          <w:szCs w:val="24"/>
          <w:lang w:val="en-US" w:eastAsia="zh-CN"/>
        </w:rPr>
        <w:t>.................................................................5</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一、收入支出决算总体情况说明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5</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二、收入决算情况说明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5</w:t>
      </w:r>
    </w:p>
    <w:p>
      <w:pPr>
        <w:pStyle w:val="12"/>
        <w:adjustRightInd w:val="0"/>
        <w:snapToGrid w:val="0"/>
        <w:spacing w:line="440" w:lineRule="exact"/>
        <w:jc w:val="left"/>
        <w:rPr>
          <w:rFonts w:hint="default" w:ascii="仿宋" w:hAnsi="仿宋" w:eastAsia="仿宋" w:cstheme="minorBidi"/>
          <w:color w:val="auto"/>
          <w:sz w:val="24"/>
          <w:lang w:val="en-US"/>
        </w:rPr>
      </w:pPr>
      <w:r>
        <w:rPr>
          <w:rFonts w:hint="eastAsia"/>
          <w:color w:val="auto"/>
          <w:sz w:val="24"/>
        </w:rPr>
        <w:t>三、支出决算情况说明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6</w:t>
      </w:r>
    </w:p>
    <w:p>
      <w:pPr>
        <w:pStyle w:val="12"/>
        <w:adjustRightInd w:val="0"/>
        <w:snapToGrid w:val="0"/>
        <w:spacing w:line="440" w:lineRule="exact"/>
        <w:jc w:val="left"/>
        <w:rPr>
          <w:rFonts w:hint="default" w:ascii="仿宋" w:hAnsi="仿宋" w:eastAsia="仿宋" w:cstheme="minorBidi"/>
          <w:color w:val="auto"/>
          <w:sz w:val="24"/>
          <w:lang w:val="en-US"/>
        </w:rPr>
      </w:pPr>
      <w:r>
        <w:rPr>
          <w:rFonts w:hint="eastAsia"/>
          <w:color w:val="auto"/>
          <w:sz w:val="24"/>
        </w:rPr>
        <w:t>四、财政拨款收入支出决算总体情况说明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6</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五、一般公共预算财政拨款支出决算情况说明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7</w:t>
      </w:r>
    </w:p>
    <w:p>
      <w:pPr>
        <w:pStyle w:val="12"/>
        <w:adjustRightInd w:val="0"/>
        <w:snapToGrid w:val="0"/>
        <w:spacing w:line="440" w:lineRule="exact"/>
        <w:jc w:val="left"/>
        <w:rPr>
          <w:rFonts w:hint="default" w:ascii="仿宋" w:hAnsi="仿宋" w:eastAsia="仿宋" w:cstheme="minorBidi"/>
          <w:color w:val="auto"/>
          <w:sz w:val="24"/>
          <w:lang w:val="en-US"/>
        </w:rPr>
      </w:pPr>
      <w:r>
        <w:rPr>
          <w:rFonts w:hint="eastAsia"/>
          <w:color w:val="auto"/>
          <w:sz w:val="24"/>
        </w:rPr>
        <w:t>六、一般公共预算财政拨款基本支出决算情况说明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10</w:t>
      </w:r>
    </w:p>
    <w:p>
      <w:pPr>
        <w:pStyle w:val="12"/>
        <w:adjustRightInd w:val="0"/>
        <w:snapToGrid w:val="0"/>
        <w:spacing w:line="440" w:lineRule="exact"/>
        <w:jc w:val="left"/>
        <w:rPr>
          <w:rFonts w:hint="default" w:ascii="仿宋" w:hAnsi="仿宋" w:eastAsia="仿宋" w:cstheme="minorBidi"/>
          <w:color w:val="auto"/>
          <w:sz w:val="24"/>
          <w:lang w:val="en-US"/>
        </w:rPr>
      </w:pPr>
      <w:r>
        <w:rPr>
          <w:rFonts w:hint="eastAsia"/>
          <w:color w:val="auto"/>
          <w:sz w:val="24"/>
        </w:rPr>
        <w:t>七、</w:t>
      </w:r>
      <w:r>
        <w:rPr>
          <w:color w:val="auto"/>
          <w:sz w:val="24"/>
        </w:rPr>
        <w:t>“</w:t>
      </w:r>
      <w:r>
        <w:rPr>
          <w:rFonts w:hint="eastAsia"/>
          <w:color w:val="auto"/>
          <w:sz w:val="24"/>
        </w:rPr>
        <w:t>三公”经费财政拨款支出决算情况说明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11</w:t>
      </w:r>
      <w:r>
        <w:rPr>
          <w:rFonts w:hint="eastAsia"/>
          <w:color w:val="auto"/>
          <w:sz w:val="24"/>
        </w:rPr>
        <w:t>八、政府性基金预算支出决算情况说明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12</w:t>
      </w:r>
    </w:p>
    <w:p>
      <w:pPr>
        <w:pStyle w:val="12"/>
        <w:adjustRightInd w:val="0"/>
        <w:snapToGrid w:val="0"/>
        <w:spacing w:line="440" w:lineRule="exact"/>
        <w:jc w:val="left"/>
        <w:rPr>
          <w:rFonts w:hint="eastAsia"/>
          <w:color w:val="auto"/>
          <w:sz w:val="24"/>
        </w:rPr>
      </w:pPr>
      <w:r>
        <w:rPr>
          <w:rFonts w:hint="eastAsia"/>
          <w:color w:val="auto"/>
          <w:sz w:val="24"/>
        </w:rPr>
        <w:t>九、国有资本经营预算支出决算情况说明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12</w:t>
      </w:r>
    </w:p>
    <w:p>
      <w:pPr>
        <w:pStyle w:val="12"/>
        <w:adjustRightInd w:val="0"/>
        <w:snapToGrid w:val="0"/>
        <w:spacing w:line="440" w:lineRule="exact"/>
        <w:jc w:val="left"/>
        <w:rPr>
          <w:rFonts w:hint="default"/>
          <w:color w:val="auto"/>
          <w:sz w:val="24"/>
          <w:lang w:val="en-US" w:eastAsia="zh-CN"/>
        </w:rPr>
      </w:pPr>
      <w:r>
        <w:rPr>
          <w:rFonts w:hint="eastAsia"/>
          <w:color w:val="auto"/>
          <w:sz w:val="24"/>
        </w:rPr>
        <w:t>十、其他重要事项的情况说明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12</w:t>
      </w:r>
    </w:p>
    <w:p>
      <w:pPr>
        <w:pStyle w:val="11"/>
        <w:adjustRightInd w:val="0"/>
        <w:snapToGrid w:val="0"/>
        <w:spacing w:before="0" w:line="440" w:lineRule="exact"/>
        <w:jc w:val="left"/>
        <w:rPr>
          <w:rFonts w:hint="default" w:cstheme="minorBidi"/>
          <w:color w:val="auto"/>
          <w:sz w:val="24"/>
          <w:szCs w:val="24"/>
          <w:lang w:val="en-US"/>
        </w:rPr>
      </w:pPr>
      <w:r>
        <w:rPr>
          <w:rFonts w:hint="eastAsia"/>
          <w:color w:val="auto"/>
          <w:sz w:val="24"/>
        </w:rPr>
        <w:t>第三部分</w:t>
      </w:r>
      <w:r>
        <w:rPr>
          <w:color w:val="auto"/>
          <w:sz w:val="24"/>
        </w:rPr>
        <w:t xml:space="preserve"> </w:t>
      </w:r>
      <w:r>
        <w:rPr>
          <w:rFonts w:hint="eastAsia"/>
          <w:color w:val="auto"/>
          <w:sz w:val="24"/>
        </w:rPr>
        <w:t>名词解释</w:t>
      </w:r>
      <w:r>
        <w:rPr>
          <w:rFonts w:hint="eastAsia" w:ascii="Times New Roman" w:hAnsi="Times New Roman" w:cs="Times New Roman"/>
          <w:color w:val="auto"/>
          <w:sz w:val="24"/>
          <w:szCs w:val="24"/>
          <w:lang w:val="en-US" w:eastAsia="zh-CN"/>
        </w:rPr>
        <w:t>...................................................................................................15</w:t>
      </w:r>
    </w:p>
    <w:p>
      <w:pPr>
        <w:pStyle w:val="12"/>
        <w:adjustRightInd w:val="0"/>
        <w:snapToGrid w:val="0"/>
        <w:spacing w:line="440" w:lineRule="exact"/>
        <w:ind w:left="0" w:leftChars="0" w:firstLine="0" w:firstLineChars="0"/>
        <w:jc w:val="left"/>
        <w:rPr>
          <w:rFonts w:hint="default" w:cstheme="minorBidi"/>
          <w:color w:val="auto"/>
          <w:sz w:val="24"/>
          <w:szCs w:val="24"/>
          <w:lang w:val="en-US"/>
        </w:rPr>
      </w:pPr>
      <w:r>
        <w:rPr>
          <w:rFonts w:hint="eastAsia" w:ascii="仿宋" w:hAnsi="仿宋" w:eastAsia="仿宋" w:cs="Times New Roman"/>
          <w:color w:val="auto"/>
          <w:kern w:val="2"/>
          <w:sz w:val="24"/>
          <w:szCs w:val="28"/>
          <w:lang w:val="en-US" w:eastAsia="zh-CN" w:bidi="ar-SA"/>
        </w:rPr>
        <w:t>第四部分 附件.</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19</w:t>
      </w:r>
    </w:p>
    <w:p>
      <w:pPr>
        <w:pStyle w:val="11"/>
        <w:adjustRightInd w:val="0"/>
        <w:snapToGrid w:val="0"/>
        <w:spacing w:before="0" w:line="440" w:lineRule="exact"/>
        <w:jc w:val="left"/>
        <w:rPr>
          <w:rFonts w:hint="default" w:cstheme="minorBidi"/>
          <w:color w:val="auto"/>
          <w:sz w:val="24"/>
          <w:szCs w:val="24"/>
          <w:lang w:val="en-US"/>
        </w:rPr>
      </w:pPr>
      <w:r>
        <w:rPr>
          <w:rFonts w:hint="eastAsia"/>
          <w:color w:val="auto"/>
          <w:sz w:val="24"/>
        </w:rPr>
        <w:t>第五部分</w:t>
      </w:r>
      <w:r>
        <w:rPr>
          <w:color w:val="auto"/>
          <w:sz w:val="24"/>
        </w:rPr>
        <w:t xml:space="preserve"> </w:t>
      </w:r>
      <w:r>
        <w:rPr>
          <w:rFonts w:hint="eastAsia"/>
          <w:color w:val="auto"/>
          <w:sz w:val="24"/>
        </w:rPr>
        <w:t>附表</w:t>
      </w:r>
      <w:r>
        <w:rPr>
          <w:rFonts w:hint="eastAsia" w:ascii="仿宋" w:hAnsi="仿宋" w:eastAsia="仿宋" w:cs="Times New Roman"/>
          <w:color w:val="auto"/>
          <w:kern w:val="2"/>
          <w:sz w:val="24"/>
          <w:szCs w:val="28"/>
          <w:lang w:val="en-US" w:eastAsia="zh-CN" w:bidi="ar-SA"/>
        </w:rPr>
        <w:t>.</w:t>
      </w:r>
      <w:r>
        <w:rPr>
          <w:rFonts w:hint="eastAsia" w:ascii="Times New Roman" w:hAnsi="Times New Roman" w:cs="Times New Roman"/>
          <w:color w:val="auto"/>
          <w:sz w:val="24"/>
          <w:szCs w:val="24"/>
          <w:lang w:val="en-US" w:eastAsia="zh-CN"/>
        </w:rPr>
        <w:t>.........................................................................................................24</w:t>
      </w:r>
    </w:p>
    <w:p>
      <w:pPr>
        <w:pStyle w:val="12"/>
        <w:adjustRightInd w:val="0"/>
        <w:snapToGrid w:val="0"/>
        <w:spacing w:line="440" w:lineRule="exact"/>
        <w:jc w:val="left"/>
        <w:rPr>
          <w:rFonts w:hint="default"/>
          <w:color w:val="auto"/>
          <w:sz w:val="24"/>
          <w:lang w:val="en-US"/>
        </w:rPr>
      </w:pPr>
      <w:r>
        <w:rPr>
          <w:rFonts w:hint="eastAsia"/>
          <w:color w:val="auto"/>
          <w:sz w:val="24"/>
        </w:rPr>
        <w:t>一、收入支出决算总表</w:t>
      </w: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4</w:t>
      </w:r>
    </w:p>
    <w:p>
      <w:pPr>
        <w:pStyle w:val="12"/>
        <w:adjustRightInd w:val="0"/>
        <w:snapToGrid w:val="0"/>
        <w:spacing w:line="440" w:lineRule="exact"/>
        <w:jc w:val="left"/>
        <w:rPr>
          <w:rFonts w:hint="default"/>
          <w:color w:val="auto"/>
          <w:sz w:val="24"/>
          <w:lang w:val="en-US"/>
        </w:rPr>
      </w:pPr>
      <w:r>
        <w:rPr>
          <w:rFonts w:hint="eastAsia"/>
          <w:color w:val="auto"/>
          <w:sz w:val="24"/>
        </w:rPr>
        <w:t>二、收入决算表</w:t>
      </w:r>
      <w:r>
        <w:rPr>
          <w:rFonts w:hint="eastAsia" w:ascii="Times New Roman" w:hAnsi="Times New Roman" w:cs="Times New Roman"/>
          <w:color w:val="auto"/>
          <w:sz w:val="24"/>
          <w:szCs w:val="24"/>
          <w:lang w:val="en-US" w:eastAsia="zh-CN"/>
        </w:rPr>
        <w:t>..................................................................................................24</w:t>
      </w:r>
      <w:r>
        <w:rPr>
          <w:rFonts w:hint="eastAsia"/>
          <w:color w:val="auto"/>
          <w:sz w:val="24"/>
        </w:rPr>
        <w:t>三、支出决算表</w:t>
      </w: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4</w:t>
      </w:r>
    </w:p>
    <w:p>
      <w:pPr>
        <w:pStyle w:val="12"/>
        <w:adjustRightInd w:val="0"/>
        <w:snapToGrid w:val="0"/>
        <w:spacing w:line="440" w:lineRule="exact"/>
        <w:jc w:val="left"/>
        <w:rPr>
          <w:rFonts w:hint="default"/>
          <w:color w:val="auto"/>
          <w:sz w:val="24"/>
          <w:lang w:val="en-US"/>
        </w:rPr>
      </w:pPr>
      <w:r>
        <w:rPr>
          <w:rFonts w:hint="eastAsia"/>
          <w:color w:val="auto"/>
          <w:sz w:val="24"/>
        </w:rPr>
        <w:t>四、财政拨款收入支出决算总表</w:t>
      </w: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4</w:t>
      </w:r>
    </w:p>
    <w:p>
      <w:pPr>
        <w:pStyle w:val="12"/>
        <w:adjustRightInd w:val="0"/>
        <w:snapToGrid w:val="0"/>
        <w:spacing w:line="440" w:lineRule="exact"/>
        <w:jc w:val="left"/>
        <w:rPr>
          <w:rFonts w:hint="default"/>
          <w:color w:val="auto"/>
          <w:sz w:val="24"/>
          <w:lang w:val="en-US"/>
        </w:rPr>
      </w:pPr>
      <w:r>
        <w:rPr>
          <w:rFonts w:hint="eastAsia"/>
          <w:color w:val="auto"/>
          <w:sz w:val="24"/>
        </w:rPr>
        <w:t>五、财政拨款支出决算明细表</w:t>
      </w: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4</w:t>
      </w:r>
    </w:p>
    <w:p>
      <w:pPr>
        <w:pStyle w:val="12"/>
        <w:adjustRightInd w:val="0"/>
        <w:snapToGrid w:val="0"/>
        <w:spacing w:line="440" w:lineRule="exact"/>
        <w:jc w:val="left"/>
        <w:rPr>
          <w:rFonts w:hint="default"/>
          <w:color w:val="auto"/>
          <w:sz w:val="24"/>
          <w:lang w:val="en-US"/>
        </w:rPr>
      </w:pPr>
      <w:r>
        <w:rPr>
          <w:rFonts w:hint="eastAsia"/>
          <w:color w:val="auto"/>
          <w:sz w:val="24"/>
        </w:rPr>
        <w:t>六、一般公共预算财政拨款支出决算表</w:t>
      </w: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4</w:t>
      </w:r>
    </w:p>
    <w:p>
      <w:pPr>
        <w:pStyle w:val="12"/>
        <w:adjustRightInd w:val="0"/>
        <w:snapToGrid w:val="0"/>
        <w:spacing w:line="440" w:lineRule="exact"/>
        <w:jc w:val="left"/>
        <w:rPr>
          <w:rFonts w:hint="default"/>
          <w:color w:val="auto"/>
          <w:sz w:val="24"/>
          <w:lang w:val="en-US"/>
        </w:rPr>
      </w:pPr>
      <w:r>
        <w:rPr>
          <w:rFonts w:hint="eastAsia"/>
          <w:color w:val="auto"/>
          <w:sz w:val="24"/>
        </w:rPr>
        <w:t>七、一般公共预算财政拨款支出决算明细表</w:t>
      </w: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4</w:t>
      </w:r>
    </w:p>
    <w:p>
      <w:pPr>
        <w:pStyle w:val="12"/>
        <w:adjustRightInd w:val="0"/>
        <w:snapToGrid w:val="0"/>
        <w:spacing w:line="440" w:lineRule="exact"/>
        <w:jc w:val="left"/>
        <w:rPr>
          <w:rFonts w:hint="default"/>
          <w:color w:val="auto"/>
          <w:sz w:val="24"/>
          <w:lang w:val="en-US"/>
        </w:rPr>
      </w:pPr>
      <w:r>
        <w:rPr>
          <w:rFonts w:hint="eastAsia"/>
          <w:color w:val="auto"/>
          <w:sz w:val="24"/>
        </w:rPr>
        <w:t>八、一般公共预算财政拨款基本支出决算表</w:t>
      </w: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4</w:t>
      </w:r>
    </w:p>
    <w:p>
      <w:pPr>
        <w:pStyle w:val="12"/>
        <w:adjustRightInd w:val="0"/>
        <w:snapToGrid w:val="0"/>
        <w:spacing w:line="440" w:lineRule="exact"/>
        <w:jc w:val="left"/>
        <w:rPr>
          <w:rFonts w:hint="default"/>
          <w:color w:val="auto"/>
          <w:sz w:val="24"/>
          <w:lang w:val="en-US"/>
        </w:rPr>
      </w:pPr>
      <w:r>
        <w:rPr>
          <w:rFonts w:hint="eastAsia"/>
          <w:color w:val="auto"/>
          <w:sz w:val="24"/>
        </w:rPr>
        <w:t>九、一般公共预算财政拨款项目支出决算表</w:t>
      </w: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4</w:t>
      </w:r>
    </w:p>
    <w:p>
      <w:pPr>
        <w:pStyle w:val="12"/>
        <w:adjustRightInd w:val="0"/>
        <w:snapToGrid w:val="0"/>
        <w:spacing w:line="440" w:lineRule="exact"/>
        <w:jc w:val="left"/>
        <w:rPr>
          <w:rFonts w:hint="default"/>
          <w:color w:val="auto"/>
          <w:sz w:val="24"/>
          <w:lang w:val="en-US"/>
        </w:rPr>
      </w:pPr>
      <w:r>
        <w:rPr>
          <w:rFonts w:hint="eastAsia"/>
          <w:color w:val="auto"/>
          <w:sz w:val="24"/>
        </w:rPr>
        <w:t>十、一般公共预算财政拨款“三公”经费支出决算表</w:t>
      </w: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4</w:t>
      </w:r>
    </w:p>
    <w:p>
      <w:pPr>
        <w:pStyle w:val="12"/>
        <w:adjustRightInd w:val="0"/>
        <w:snapToGrid w:val="0"/>
        <w:spacing w:line="440" w:lineRule="exact"/>
        <w:jc w:val="left"/>
        <w:rPr>
          <w:rFonts w:hint="default"/>
          <w:color w:val="auto"/>
          <w:sz w:val="24"/>
          <w:lang w:val="en-US"/>
        </w:rPr>
      </w:pPr>
      <w:r>
        <w:rPr>
          <w:rFonts w:hint="eastAsia"/>
          <w:color w:val="auto"/>
          <w:sz w:val="24"/>
        </w:rPr>
        <w:t>十一、政府性基金预算财政拨款收入支出决算表</w:t>
      </w: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4</w:t>
      </w:r>
    </w:p>
    <w:p>
      <w:pPr>
        <w:pStyle w:val="12"/>
        <w:adjustRightInd w:val="0"/>
        <w:snapToGrid w:val="0"/>
        <w:spacing w:line="440" w:lineRule="exact"/>
        <w:jc w:val="left"/>
        <w:rPr>
          <w:rFonts w:hint="default"/>
          <w:color w:val="auto"/>
          <w:sz w:val="24"/>
          <w:lang w:val="en-US"/>
        </w:rPr>
      </w:pPr>
      <w:r>
        <w:rPr>
          <w:rFonts w:hint="eastAsia"/>
          <w:color w:val="auto"/>
          <w:sz w:val="24"/>
        </w:rPr>
        <w:t>十二、政府性基金预算财政拨款“三公”经费支出决算表</w:t>
      </w: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4</w:t>
      </w:r>
    </w:p>
    <w:p>
      <w:pPr>
        <w:pStyle w:val="12"/>
        <w:adjustRightInd w:val="0"/>
        <w:snapToGrid w:val="0"/>
        <w:spacing w:line="440" w:lineRule="exact"/>
        <w:jc w:val="left"/>
        <w:rPr>
          <w:rFonts w:hint="default"/>
          <w:color w:val="auto"/>
          <w:sz w:val="24"/>
          <w:lang w:val="en-US"/>
        </w:rPr>
      </w:pPr>
      <w:r>
        <w:rPr>
          <w:rFonts w:hint="eastAsia"/>
          <w:color w:val="auto"/>
          <w:sz w:val="24"/>
        </w:rPr>
        <w:t>十三、国有资本经营预算</w:t>
      </w:r>
      <w:r>
        <w:rPr>
          <w:rFonts w:hint="eastAsia"/>
          <w:color w:val="auto"/>
          <w:sz w:val="24"/>
          <w:lang w:eastAsia="zh-CN"/>
        </w:rPr>
        <w:t>财政拨款收入</w:t>
      </w:r>
      <w:r>
        <w:rPr>
          <w:rFonts w:hint="eastAsia"/>
          <w:color w:val="auto"/>
          <w:sz w:val="24"/>
        </w:rPr>
        <w:t>支出决算表</w:t>
      </w: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4</w:t>
      </w:r>
    </w:p>
    <w:p>
      <w:pPr>
        <w:pStyle w:val="12"/>
        <w:adjustRightInd w:val="0"/>
        <w:snapToGrid w:val="0"/>
        <w:spacing w:line="440" w:lineRule="exact"/>
        <w:jc w:val="left"/>
        <w:rPr>
          <w:rFonts w:hint="default"/>
          <w:color w:val="auto"/>
          <w:sz w:val="24"/>
          <w:lang w:val="en-US" w:eastAsia="zh-CN"/>
        </w:rPr>
      </w:pPr>
      <w:r>
        <w:rPr>
          <w:rFonts w:hint="eastAsia"/>
          <w:color w:val="auto"/>
          <w:sz w:val="24"/>
          <w:lang w:val="en-US" w:eastAsia="zh-CN"/>
        </w:rPr>
        <w:t>十四、国有资本经营预算财政拨款支出决算表</w:t>
      </w: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4</w:t>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pStyle w:val="4"/>
        <w:numPr>
          <w:ilvl w:val="0"/>
          <w:numId w:val="1"/>
        </w:numPr>
        <w:rPr>
          <w:rStyle w:val="26"/>
          <w:rFonts w:ascii="黑体" w:hAnsi="黑体" w:eastAsia="黑体"/>
          <w:b w:val="0"/>
          <w:bCs w:val="0"/>
        </w:rPr>
      </w:pPr>
      <w:bookmarkStart w:id="14" w:name="_Toc15377197"/>
      <w:bookmarkStart w:id="15" w:name="_Toc15396600"/>
      <w:r>
        <w:rPr>
          <w:rStyle w:val="26"/>
          <w:rFonts w:hint="eastAsia" w:ascii="黑体" w:hAnsi="黑体" w:eastAsia="黑体"/>
          <w:b w:val="0"/>
          <w:bCs w:val="0"/>
        </w:rPr>
        <w:t>职能简介</w:t>
      </w:r>
    </w:p>
    <w:p>
      <w:pPr>
        <w:spacing w:line="360" w:lineRule="auto"/>
        <w:ind w:firstLine="640" w:firstLineChars="200"/>
      </w:pPr>
      <w:r>
        <w:rPr>
          <w:rFonts w:ascii="仿宋_GB2312" w:hAnsi="仿宋_GB2312" w:eastAsia="仿宋_GB2312" w:cs="仿宋_GB2312"/>
          <w:sz w:val="32"/>
          <w:szCs w:val="32"/>
        </w:rPr>
        <w:t>我所是省内唯一专门从事民族研究的省级科研机构，始建于1964年</w:t>
      </w:r>
      <w:r>
        <w:rPr>
          <w:rFonts w:hint="eastAsia" w:ascii="仿宋_GB2312" w:hAnsi="仿宋_GB2312" w:eastAsia="仿宋_GB2312" w:cs="仿宋_GB2312"/>
          <w:sz w:val="32"/>
          <w:szCs w:val="32"/>
        </w:rPr>
        <w:t>。作为委属公益一类事业单位，目标和主要任务是围绕中央和省委、省政府决策部署，围绕国家民委和省民族宗教委中心工作安排，针对民族宗教工作热点、难点问题展开研究，发挥智库作用。</w:t>
      </w:r>
    </w:p>
    <w:p>
      <w:pPr>
        <w:pStyle w:val="4"/>
        <w:rPr>
          <w:rFonts w:ascii="黑体" w:hAnsi="黑体" w:eastAsia="黑体"/>
          <w:b w:val="0"/>
        </w:rPr>
      </w:pPr>
      <w:r>
        <w:rPr>
          <w:rFonts w:hint="eastAsia" w:ascii="黑体" w:hAnsi="黑体" w:eastAsia="黑体"/>
          <w:b w:val="0"/>
        </w:rPr>
        <w:t>二、2021年重点工作</w:t>
      </w:r>
      <w:bookmarkEnd w:id="14"/>
      <w:bookmarkEnd w:id="15"/>
      <w:r>
        <w:rPr>
          <w:rFonts w:hint="eastAsia" w:ascii="黑体" w:hAnsi="黑体" w:eastAsia="黑体"/>
          <w:b w:val="0"/>
        </w:rPr>
        <w:t>完成情况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lang w:val="zh-TW" w:eastAsia="zh-CN"/>
        </w:rPr>
      </w:pPr>
      <w:r>
        <w:rPr>
          <w:rFonts w:hint="eastAsia" w:ascii="仿宋_GB2312" w:hAnsi="仿宋_GB2312" w:eastAsia="仿宋_GB2312" w:cs="仿宋_GB2312"/>
          <w:color w:val="auto"/>
          <w:sz w:val="32"/>
          <w:szCs w:val="32"/>
          <w:lang w:val="zh-TW" w:eastAsia="zh-TW"/>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TW" w:eastAsia="zh-TW"/>
        </w:rPr>
        <w:t>年，我所认真贯彻落实省委、省政府及委党组的各项决策部署，</w:t>
      </w:r>
      <w:r>
        <w:rPr>
          <w:rFonts w:hint="eastAsia" w:ascii="仿宋_GB2312" w:hAnsi="仿宋_GB2312" w:eastAsia="仿宋_GB2312" w:cs="仿宋_GB2312"/>
          <w:color w:val="auto"/>
          <w:sz w:val="32"/>
          <w:szCs w:val="32"/>
          <w:lang w:val="zh-TW"/>
        </w:rPr>
        <w:t>坚持</w:t>
      </w:r>
      <w:r>
        <w:rPr>
          <w:rFonts w:hint="eastAsia" w:ascii="仿宋_GB2312" w:hAnsi="仿宋_GB2312" w:eastAsia="仿宋_GB2312" w:cs="仿宋_GB2312"/>
          <w:color w:val="auto"/>
          <w:sz w:val="32"/>
          <w:szCs w:val="32"/>
          <w:lang w:val="zh-TW" w:eastAsia="zh-TW"/>
        </w:rPr>
        <w:t>以习近平新时代中国特色社会主义思想为指导，在省民族宗教委的正确领导和相关处室的支持协作下，重点做好了以下工作。</w:t>
      </w:r>
      <w:r>
        <w:rPr>
          <w:rFonts w:hint="eastAsia" w:ascii="仿宋_GB2312" w:hAnsi="仿宋_GB2312" w:eastAsia="仿宋_GB2312" w:cs="仿宋_GB2312"/>
          <w:color w:val="auto"/>
          <w:sz w:val="32"/>
          <w:szCs w:val="32"/>
          <w:lang w:val="zh-TW" w:eastAsia="zh-CN"/>
        </w:rPr>
        <w:t>一是加强政治理论学习，始终坚持以习近平新时代中国特色社会主义思想为指导，立足新发展阶段，贯彻新发展理念，融入新发展格局，保证学术研究的正确方向，不断增强“四个意识”，坚定“四个自信”,做到“两个维护”。二是围绕党中央决策部署和</w:t>
      </w:r>
      <w:r>
        <w:rPr>
          <w:rFonts w:hint="eastAsia" w:ascii="仿宋_GB2312" w:hAnsi="仿宋_GB2312" w:eastAsia="仿宋_GB2312" w:cs="仿宋_GB2312"/>
          <w:color w:val="auto"/>
          <w:sz w:val="32"/>
          <w:szCs w:val="32"/>
          <w:lang w:val="zh-TW"/>
        </w:rPr>
        <w:t>省委省政府</w:t>
      </w:r>
      <w:r>
        <w:rPr>
          <w:rFonts w:hint="eastAsia" w:ascii="仿宋_GB2312" w:hAnsi="仿宋_GB2312" w:eastAsia="仿宋_GB2312" w:cs="仿宋_GB2312"/>
          <w:color w:val="auto"/>
          <w:sz w:val="32"/>
          <w:szCs w:val="32"/>
          <w:lang w:val="zh-TW" w:eastAsia="zh-CN"/>
        </w:rPr>
        <w:t>中心工作，服务我省民族宗教工作大局，</w:t>
      </w:r>
      <w:r>
        <w:rPr>
          <w:rFonts w:hint="eastAsia" w:ascii="仿宋_GB2312" w:hAnsi="仿宋_GB2312" w:eastAsia="仿宋_GB2312" w:cs="仿宋_GB2312"/>
          <w:color w:val="auto"/>
          <w:sz w:val="32"/>
          <w:szCs w:val="32"/>
          <w:lang w:val="zh-TW"/>
        </w:rPr>
        <w:t>以</w:t>
      </w:r>
      <w:r>
        <w:rPr>
          <w:rFonts w:hint="eastAsia" w:ascii="仿宋_GB2312" w:hAnsi="仿宋_GB2312" w:eastAsia="仿宋_GB2312" w:cs="仿宋_GB2312"/>
          <w:color w:val="auto"/>
          <w:sz w:val="32"/>
          <w:szCs w:val="32"/>
          <w:lang w:val="zh-TW" w:eastAsia="zh-CN"/>
        </w:rPr>
        <w:t>铸牢中华民族共同体意识和坚持宗教中国化方向为主线，在委党组指导和关心下扎实开展调查研究和社会服务工作。三是以成果转化应用为导向，以基础研究、理论研究为支撑，稳步推进科研工作不断走深走实。四是坚决落实巡视整改要求，建章立制成效初见。</w:t>
      </w:r>
    </w:p>
    <w:p>
      <w:pPr>
        <w:pStyle w:val="4"/>
        <w:numPr>
          <w:numId w:val="0"/>
        </w:numPr>
        <w:rPr>
          <w:rFonts w:hint="eastAsia" w:ascii="黑体" w:hAnsi="黑体" w:eastAsia="黑体"/>
          <w:b w:val="0"/>
          <w:color w:val="auto"/>
          <w:lang w:val="en-US" w:eastAsia="zh-CN"/>
        </w:rPr>
      </w:pPr>
      <w:r>
        <w:rPr>
          <w:rFonts w:hint="eastAsia" w:ascii="黑体" w:hAnsi="黑体" w:eastAsia="黑体"/>
          <w:b w:val="0"/>
          <w:color w:val="auto"/>
          <w:lang w:val="en-US" w:eastAsia="zh-CN"/>
        </w:rPr>
        <w:t>三、机构设置情况</w:t>
      </w:r>
    </w:p>
    <w:p>
      <w:pPr>
        <w:rPr>
          <w:rFonts w:ascii="仿宋" w:hAnsi="仿宋" w:eastAsia="仿宋"/>
          <w:kern w:val="0"/>
          <w:sz w:val="32"/>
          <w:szCs w:val="32"/>
        </w:rPr>
      </w:pPr>
      <w:r>
        <w:rPr>
          <w:rFonts w:hint="eastAsia" w:ascii="黑体" w:hAnsi="黑体" w:eastAsia="黑体"/>
          <w:b w:val="0"/>
          <w:color w:val="auto"/>
          <w:lang w:val="en-US" w:eastAsia="zh-CN"/>
        </w:rPr>
        <w:t xml:space="preserve">      </w:t>
      </w:r>
      <w:r>
        <w:rPr>
          <w:rFonts w:hint="eastAsia" w:ascii="仿宋_GB2312" w:hAnsi="仿宋_GB2312" w:eastAsia="仿宋_GB2312" w:cs="仿宋_GB2312"/>
          <w:b w:val="0"/>
          <w:color w:val="auto"/>
          <w:sz w:val="32"/>
          <w:szCs w:val="32"/>
          <w:lang w:val="zh-TW" w:eastAsia="zh-TW"/>
        </w:rPr>
        <w:t xml:space="preserve"> 本单位无内设机构。</w:t>
      </w:r>
      <w:bookmarkStart w:id="67" w:name="_GoBack"/>
      <w:bookmarkEnd w:id="67"/>
    </w:p>
    <w:p>
      <w:pPr>
        <w:pStyle w:val="3"/>
        <w:ind w:right="440"/>
        <w:jc w:val="center"/>
        <w:rPr>
          <w:rStyle w:val="25"/>
          <w:rFonts w:ascii="黑体" w:hAnsi="黑体" w:eastAsia="黑体"/>
          <w:b w:val="0"/>
          <w:bCs/>
        </w:rPr>
      </w:pPr>
      <w:bookmarkStart w:id="16" w:name="_Toc15377204"/>
      <w:bookmarkStart w:id="17" w:name="_Toc15396602"/>
      <w:r>
        <w:rPr>
          <w:rFonts w:hint="eastAsia" w:ascii="黑体" w:hAnsi="黑体" w:eastAsia="黑体"/>
          <w:b w:val="0"/>
        </w:rPr>
        <w:t>第二部分 2021年度</w:t>
      </w:r>
      <w:r>
        <w:rPr>
          <w:rStyle w:val="25"/>
          <w:rFonts w:hint="eastAsia" w:ascii="黑体" w:hAnsi="黑体" w:eastAsia="黑体"/>
          <w:b w:val="0"/>
          <w:bCs/>
        </w:rPr>
        <w:t>单位决算情况说明</w:t>
      </w:r>
      <w:bookmarkEnd w:id="16"/>
      <w:bookmarkEnd w:id="17"/>
    </w:p>
    <w:p/>
    <w:p>
      <w:pPr>
        <w:pStyle w:val="24"/>
        <w:numPr>
          <w:ilvl w:val="0"/>
          <w:numId w:val="2"/>
        </w:numPr>
        <w:spacing w:line="600" w:lineRule="exact"/>
        <w:ind w:firstLineChars="0"/>
        <w:outlineLvl w:val="1"/>
        <w:rPr>
          <w:rStyle w:val="26"/>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hint="default" w:ascii="仿宋" w:hAnsi="仿宋" w:eastAsia="仿宋"/>
          <w:color w:val="0000FF"/>
          <w:sz w:val="32"/>
          <w:szCs w:val="32"/>
          <w:lang w:val="en-US" w:eastAsia="zh-CN"/>
        </w:rPr>
      </w:pPr>
      <w:r>
        <w:rPr>
          <w:rFonts w:hint="eastAsia" w:ascii="仿宋" w:hAnsi="仿宋" w:eastAsia="仿宋"/>
          <w:sz w:val="32"/>
          <w:szCs w:val="32"/>
        </w:rPr>
        <w:t>2021年度收、支总计883.95万元。与2020年相比，收、支总计各增加286.56万元，增长47.97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auto"/>
          <w:sz w:val="32"/>
          <w:szCs w:val="32"/>
        </w:rPr>
        <w:t>主要变动原因是</w:t>
      </w:r>
      <w:r>
        <w:rPr>
          <w:rFonts w:hint="eastAsia" w:ascii="仿宋" w:hAnsi="仿宋" w:eastAsia="仿宋"/>
          <w:color w:val="auto"/>
          <w:sz w:val="32"/>
          <w:szCs w:val="32"/>
          <w:lang w:val="en-US" w:eastAsia="zh-CN"/>
        </w:rPr>
        <w:t>2021年追加1999年至2020年购房补贴140.33万元，以及当年追加新公招7人的工资、社保以及援藏援彝干部人才补助等经费共计84.34万元，以及课题研究相关项目经费拨付增加25万元。</w:t>
      </w:r>
    </w:p>
    <w:p>
      <w:pPr>
        <w:pStyle w:val="2"/>
        <w:rPr>
          <w:rFonts w:eastAsia="仿宋"/>
        </w:rPr>
      </w:pPr>
      <w:r>
        <w:rPr>
          <w:rFonts w:eastAsia="仿宋"/>
          <w:sz w:val="32"/>
          <w:szCs w:val="32"/>
        </w:rPr>
        <w:drawing>
          <wp:anchor distT="0" distB="0" distL="114300" distR="114300" simplePos="0" relativeHeight="251659264" behindDoc="0" locked="0" layoutInCell="1" allowOverlap="1">
            <wp:simplePos x="0" y="0"/>
            <wp:positionH relativeFrom="column">
              <wp:posOffset>33020</wp:posOffset>
            </wp:positionH>
            <wp:positionV relativeFrom="paragraph">
              <wp:posOffset>215265</wp:posOffset>
            </wp:positionV>
            <wp:extent cx="5196205" cy="3138805"/>
            <wp:effectExtent l="0" t="0" r="4445" b="444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left"/>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outlineLvl w:val="1"/>
        <w:rPr>
          <w:rFonts w:ascii="仿宋_GB2312" w:eastAsia="仿宋_GB2312"/>
          <w:sz w:val="32"/>
          <w:szCs w:val="32"/>
        </w:rPr>
      </w:pPr>
      <w:r>
        <w:rPr>
          <w:rFonts w:ascii="仿宋" w:hAnsi="仿宋" w:eastAsia="仿宋"/>
          <w:sz w:val="32"/>
          <w:szCs w:val="32"/>
        </w:rPr>
        <w:t>20</w:t>
      </w:r>
      <w:r>
        <w:rPr>
          <w:rFonts w:hint="eastAsia" w:ascii="仿宋" w:hAnsi="仿宋" w:eastAsia="仿宋"/>
          <w:sz w:val="32"/>
          <w:szCs w:val="32"/>
        </w:rPr>
        <w:t>21年本年收入合计766.83万元，其中：一般公共预算财政拨款收入722.64万元，占94.24%</w:t>
      </w:r>
      <w:r>
        <w:rPr>
          <w:rFonts w:ascii="仿宋" w:hAnsi="仿宋" w:eastAsia="仿宋"/>
          <w:sz w:val="32"/>
          <w:szCs w:val="32"/>
        </w:rPr>
        <w:t>%</w:t>
      </w:r>
      <w:r>
        <w:rPr>
          <w:rFonts w:hint="eastAsia" w:ascii="仿宋" w:hAnsi="仿宋" w:eastAsia="仿宋"/>
          <w:sz w:val="32"/>
          <w:szCs w:val="32"/>
        </w:rPr>
        <w:t>；其他收入44.19万元，占5.76</w:t>
      </w:r>
      <w:r>
        <w:rPr>
          <w:rFonts w:ascii="仿宋" w:hAnsi="仿宋" w:eastAsia="仿宋"/>
          <w:sz w:val="32"/>
          <w:szCs w:val="32"/>
        </w:rPr>
        <w:t>%</w:t>
      </w:r>
      <w:r>
        <w:rPr>
          <w:rFonts w:hint="eastAsia" w:ascii="仿宋" w:hAnsi="仿宋" w:eastAsia="仿宋"/>
          <w:sz w:val="32"/>
          <w:szCs w:val="32"/>
        </w:rPr>
        <w:t>。</w:t>
      </w:r>
    </w:p>
    <w:p>
      <w:pPr>
        <w:pStyle w:val="24"/>
        <w:numPr>
          <w:ilvl w:val="0"/>
          <w:numId w:val="2"/>
        </w:numPr>
        <w:spacing w:line="600" w:lineRule="exact"/>
        <w:ind w:firstLineChars="0"/>
        <w:outlineLvl w:val="1"/>
        <w:rPr>
          <w:rStyle w:val="26"/>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21年本年支出合计732.89万元，其中：基本支出644.7万元，占87.97</w:t>
      </w:r>
      <w:r>
        <w:rPr>
          <w:rFonts w:ascii="仿宋" w:hAnsi="仿宋" w:eastAsia="仿宋"/>
          <w:sz w:val="32"/>
          <w:szCs w:val="32"/>
        </w:rPr>
        <w:t>%</w:t>
      </w:r>
      <w:r>
        <w:rPr>
          <w:rFonts w:hint="eastAsia" w:ascii="仿宋" w:hAnsi="仿宋" w:eastAsia="仿宋"/>
          <w:sz w:val="32"/>
          <w:szCs w:val="32"/>
        </w:rPr>
        <w:t>；项目支出88.19万元，占12.03</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Style w:val="26"/>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firstLineChars="200"/>
        <w:rPr>
          <w:rFonts w:hint="default" w:ascii="仿宋" w:hAnsi="仿宋" w:eastAsia="仿宋"/>
          <w:color w:val="0000FF"/>
          <w:sz w:val="32"/>
          <w:szCs w:val="32"/>
          <w:lang w:val="en-US" w:eastAsia="zh-CN"/>
        </w:rPr>
      </w:pPr>
      <w:r>
        <w:rPr>
          <w:rFonts w:ascii="仿宋" w:hAnsi="仿宋" w:eastAsia="仿宋"/>
          <w:sz w:val="32"/>
          <w:szCs w:val="32"/>
        </w:rPr>
        <w:t>20</w:t>
      </w:r>
      <w:r>
        <w:rPr>
          <w:rFonts w:hint="eastAsia" w:ascii="仿宋" w:hAnsi="仿宋" w:eastAsia="仿宋"/>
          <w:sz w:val="32"/>
          <w:szCs w:val="32"/>
        </w:rPr>
        <w:t>21年财政拨款收、支总计722.64万元。与</w:t>
      </w:r>
      <w:r>
        <w:rPr>
          <w:rFonts w:ascii="仿宋" w:hAnsi="仿宋" w:eastAsia="仿宋"/>
          <w:sz w:val="32"/>
          <w:szCs w:val="32"/>
        </w:rPr>
        <w:t>20</w:t>
      </w:r>
      <w:r>
        <w:rPr>
          <w:rFonts w:hint="eastAsia" w:ascii="仿宋" w:hAnsi="仿宋" w:eastAsia="仿宋"/>
          <w:sz w:val="32"/>
          <w:szCs w:val="32"/>
        </w:rPr>
        <w:t>20年相比，财政拨款收、支总计各增加263.22万元，增长57.29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auto"/>
          <w:sz w:val="32"/>
          <w:szCs w:val="32"/>
        </w:rPr>
        <w:t>主要变动原因是</w:t>
      </w:r>
      <w:r>
        <w:rPr>
          <w:rFonts w:hint="eastAsia" w:ascii="仿宋" w:hAnsi="仿宋" w:eastAsia="仿宋"/>
          <w:color w:val="auto"/>
          <w:sz w:val="32"/>
          <w:szCs w:val="32"/>
          <w:lang w:val="en-US" w:eastAsia="zh-CN"/>
        </w:rPr>
        <w:t>2021年追加1999年至2020年购房补贴140.33万元，以及当年追加新公招7人的工资、社保以及援藏援彝干部人才补助等经费共计84.34万元，以及课题研究相关项目经费拨付增加25万元。</w:t>
      </w:r>
    </w:p>
    <w:p>
      <w:pPr>
        <w:spacing w:line="600" w:lineRule="exact"/>
        <w:rPr>
          <w:rFonts w:ascii="仿宋" w:hAnsi="仿宋" w:eastAsia="仿宋"/>
          <w:b/>
          <w:sz w:val="32"/>
          <w:szCs w:val="32"/>
        </w:rPr>
      </w:pPr>
      <w:r>
        <w:rPr>
          <w:rFonts w:eastAsia="仿宋_GB2312"/>
          <w:b/>
          <w:sz w:val="32"/>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384810</wp:posOffset>
            </wp:positionV>
            <wp:extent cx="5221605" cy="3645535"/>
            <wp:effectExtent l="0" t="0" r="17145" b="1206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Style w:val="26"/>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color w:val="0000FF"/>
          <w:sz w:val="32"/>
          <w:szCs w:val="32"/>
        </w:rPr>
      </w:pPr>
      <w:r>
        <w:rPr>
          <w:rFonts w:ascii="仿宋" w:hAnsi="仿宋" w:eastAsia="仿宋"/>
          <w:sz w:val="32"/>
          <w:szCs w:val="32"/>
        </w:rPr>
        <w:t>20</w:t>
      </w:r>
      <w:r>
        <w:rPr>
          <w:rFonts w:hint="eastAsia" w:ascii="仿宋" w:hAnsi="仿宋" w:eastAsia="仿宋"/>
          <w:sz w:val="32"/>
          <w:szCs w:val="32"/>
        </w:rPr>
        <w:t>21年一般公共预算财政拨款支出722.64万元，占本年支出合计的98.6</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20年相比，一般公共预算财政拨款支出增加263.22万元，增长57.29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auto"/>
          <w:sz w:val="32"/>
          <w:szCs w:val="32"/>
        </w:rPr>
        <w:t>主要变动原因是</w:t>
      </w:r>
      <w:r>
        <w:rPr>
          <w:rFonts w:hint="eastAsia" w:ascii="仿宋" w:hAnsi="仿宋" w:eastAsia="仿宋"/>
          <w:color w:val="auto"/>
          <w:sz w:val="32"/>
          <w:szCs w:val="32"/>
          <w:lang w:val="en-US" w:eastAsia="zh-CN"/>
        </w:rPr>
        <w:t>2021年追加1999年至2020年购房补贴140.33万元，以及当年追加新公招7人的工资、社保以及援藏援彝干部人才补助等经费共计84.34万元，以及课题研究相关项目经费拨付增加25万元。</w:t>
      </w:r>
    </w:p>
    <w:p>
      <w:pPr>
        <w:spacing w:line="600" w:lineRule="exact"/>
        <w:ind w:firstLine="640" w:firstLineChars="200"/>
        <w:rPr>
          <w:rFonts w:ascii="仿宋" w:hAnsi="仿宋" w:eastAsia="仿宋"/>
          <w:sz w:val="32"/>
          <w:szCs w:val="32"/>
        </w:rPr>
      </w:pPr>
      <w:r>
        <w:rPr>
          <w:rFonts w:eastAsia="仿宋"/>
          <w:sz w:val="32"/>
          <w:szCs w:val="32"/>
        </w:rPr>
        <w:drawing>
          <wp:anchor distT="0" distB="0" distL="114300" distR="114300" simplePos="0" relativeHeight="251661312" behindDoc="0" locked="0" layoutInCell="1" allowOverlap="1">
            <wp:simplePos x="0" y="0"/>
            <wp:positionH relativeFrom="column">
              <wp:posOffset>0</wp:posOffset>
            </wp:positionH>
            <wp:positionV relativeFrom="paragraph">
              <wp:posOffset>384810</wp:posOffset>
            </wp:positionV>
            <wp:extent cx="5250815" cy="2649220"/>
            <wp:effectExtent l="0" t="0" r="6985" b="1778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21年一般公共预算财政拨款支出722.64万元，主要用于以下方面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支出159.28万元，占22.04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2.32万元，占0.32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sz w:val="32"/>
          <w:szCs w:val="32"/>
        </w:rPr>
        <w:t>支出251.13万元，占34.75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支出101.59万元，占14.06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卫生健康支出24.09</w:t>
      </w:r>
      <w:r>
        <w:rPr>
          <w:rFonts w:hint="eastAsia" w:ascii="仿宋" w:hAnsi="仿宋" w:eastAsia="仿宋"/>
          <w:sz w:val="32"/>
          <w:szCs w:val="32"/>
        </w:rPr>
        <w:t>万元，占3.33</w:t>
      </w:r>
      <w:r>
        <w:rPr>
          <w:rFonts w:ascii="仿宋" w:hAnsi="仿宋" w:eastAsia="仿宋"/>
          <w:sz w:val="32"/>
          <w:szCs w:val="32"/>
        </w:rPr>
        <w:t>%</w:t>
      </w:r>
      <w:r>
        <w:rPr>
          <w:rFonts w:hint="eastAsia" w:ascii="仿宋" w:hAnsi="仿宋" w:eastAsia="仿宋"/>
          <w:sz w:val="32"/>
          <w:szCs w:val="32"/>
        </w:rPr>
        <w:t>；住房保障支出184.23万元，占25.49</w:t>
      </w:r>
      <w:r>
        <w:rPr>
          <w:rFonts w:ascii="仿宋" w:hAnsi="仿宋" w:eastAsia="仿宋"/>
          <w:sz w:val="32"/>
          <w:szCs w:val="32"/>
        </w:rPr>
        <w:t>%</w:t>
      </w:r>
      <w:r>
        <w:rPr>
          <w:rFonts w:hint="eastAsia" w:ascii="仿宋" w:hAnsi="仿宋" w:eastAsia="仿宋"/>
          <w:sz w:val="32"/>
          <w:szCs w:val="32"/>
        </w:rPr>
        <w:t>。</w:t>
      </w:r>
    </w:p>
    <w:p>
      <w:pPr>
        <w:pStyle w:val="2"/>
        <w:rPr>
          <w:rFonts w:ascii="仿宋" w:hAnsi="仿宋" w:eastAsia="仿宋"/>
          <w:sz w:val="32"/>
          <w:szCs w:val="32"/>
        </w:rPr>
      </w:pPr>
      <w:r>
        <w:rPr>
          <w:rFonts w:hint="eastAsia" w:ascii="仿宋" w:hAnsi="仿宋" w:eastAsia="仿宋"/>
          <w:sz w:val="32"/>
          <w:szCs w:val="32"/>
        </w:rPr>
        <w:t xml:space="preserve">   </w:t>
      </w:r>
      <w:r>
        <w:rPr>
          <w:rFonts w:eastAsia="仿宋_GB2312"/>
          <w:sz w:val="32"/>
          <w:szCs w:val="32"/>
        </w:rPr>
        <w:drawing>
          <wp:anchor distT="0" distB="0" distL="114300" distR="114300" simplePos="0" relativeHeight="251662336" behindDoc="0" locked="0" layoutInCell="1" allowOverlap="1">
            <wp:simplePos x="0" y="0"/>
            <wp:positionH relativeFrom="column">
              <wp:posOffset>0</wp:posOffset>
            </wp:positionH>
            <wp:positionV relativeFrom="paragraph">
              <wp:posOffset>384810</wp:posOffset>
            </wp:positionV>
            <wp:extent cx="5178425" cy="2766695"/>
            <wp:effectExtent l="0" t="0" r="3175" b="1460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8460"/>
      <w:bookmarkStart w:id="32" w:name="_Toc15377213"/>
      <w:bookmarkStart w:id="33" w:name="_Toc15377444"/>
      <w:r>
        <w:rPr>
          <w:rFonts w:hint="eastAsia" w:ascii="仿宋" w:hAnsi="仿宋" w:eastAsia="仿宋"/>
          <w:b/>
          <w:sz w:val="32"/>
          <w:szCs w:val="32"/>
        </w:rPr>
        <w:t>202</w:t>
      </w:r>
      <w:r>
        <w:rPr>
          <w:rFonts w:hint="eastAsia" w:ascii="仿宋" w:hAnsi="仿宋" w:eastAsia="仿宋"/>
          <w:b/>
          <w:sz w:val="32"/>
          <w:szCs w:val="32"/>
          <w:lang w:val="en-US" w:eastAsia="zh-CN"/>
        </w:rPr>
        <w:t>1</w:t>
      </w:r>
      <w:r>
        <w:rPr>
          <w:rFonts w:hint="eastAsia" w:ascii="仿宋" w:hAnsi="仿宋" w:eastAsia="仿宋"/>
          <w:b/>
          <w:sz w:val="32"/>
          <w:szCs w:val="32"/>
        </w:rPr>
        <w:t>年一般公共预算支出决算数为722.64万元</w:t>
      </w:r>
      <w:r>
        <w:rPr>
          <w:rFonts w:hint="eastAsia" w:ascii="仿宋" w:hAnsi="仿宋" w:eastAsia="仿宋"/>
          <w:sz w:val="32"/>
          <w:szCs w:val="32"/>
        </w:rPr>
        <w:t>，</w:t>
      </w:r>
      <w:r>
        <w:rPr>
          <w:rStyle w:val="15"/>
          <w:rFonts w:hint="eastAsia" w:ascii="仿宋" w:hAnsi="仿宋" w:eastAsia="仿宋"/>
          <w:bCs/>
          <w:sz w:val="32"/>
          <w:szCs w:val="32"/>
        </w:rPr>
        <w:t>完成预算89.84</w:t>
      </w:r>
      <w:r>
        <w:rPr>
          <w:rStyle w:val="15"/>
          <w:rFonts w:ascii="仿宋" w:hAnsi="仿宋" w:eastAsia="仿宋"/>
          <w:bCs/>
          <w:sz w:val="32"/>
          <w:szCs w:val="32"/>
        </w:rPr>
        <w:t>%</w:t>
      </w:r>
      <w:r>
        <w:rPr>
          <w:rStyle w:val="15"/>
          <w:rFonts w:hint="eastAsia" w:ascii="仿宋" w:hAnsi="仿宋" w:eastAsia="仿宋"/>
          <w:bCs/>
          <w:sz w:val="32"/>
          <w:szCs w:val="32"/>
        </w:rPr>
        <w:t>。其中：</w:t>
      </w:r>
      <w:bookmarkEnd w:id="31"/>
      <w:bookmarkEnd w:id="32"/>
      <w:bookmarkEnd w:id="33"/>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1.一般公共服务（类）民族事务（款）民族工作专项（项）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支出决算为57.62万元，完成预算80.03</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w:t>
      </w:r>
      <w:r>
        <w:rPr>
          <w:rStyle w:val="15"/>
          <w:rFonts w:eastAsia="仿宋_GB2312"/>
          <w:b w:val="0"/>
          <w:bCs/>
          <w:sz w:val="32"/>
          <w:szCs w:val="32"/>
        </w:rPr>
        <w:t>部分专项工作因新冠肺炎疫情原因未开展。</w:t>
      </w:r>
    </w:p>
    <w:p>
      <w:pPr>
        <w:pStyle w:val="6"/>
        <w:spacing w:before="93"/>
        <w:ind w:firstLine="600"/>
        <w:rPr>
          <w:rStyle w:val="15"/>
          <w:rFonts w:ascii="Times New Roman"/>
          <w:b w:val="0"/>
          <w:bCs/>
          <w:kern w:val="2"/>
          <w:sz w:val="32"/>
          <w:szCs w:val="32"/>
        </w:rPr>
      </w:pPr>
      <w:r>
        <w:rPr>
          <w:rStyle w:val="15"/>
          <w:rFonts w:ascii="仿宋" w:hAnsi="仿宋" w:eastAsia="仿宋"/>
          <w:bCs/>
          <w:sz w:val="32"/>
          <w:szCs w:val="32"/>
        </w:rPr>
        <w:t>2.</w:t>
      </w:r>
      <w:r>
        <w:rPr>
          <w:rStyle w:val="15"/>
          <w:rFonts w:hint="eastAsia" w:ascii="仿宋" w:hAnsi="仿宋" w:eastAsia="仿宋"/>
          <w:bCs/>
          <w:sz w:val="32"/>
          <w:szCs w:val="32"/>
        </w:rPr>
        <w:t>一般公共服务（类）民族事务（款）事业运行（项）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Times New Roman"/>
          <w:b w:val="0"/>
          <w:bCs/>
          <w:kern w:val="2"/>
          <w:sz w:val="32"/>
          <w:szCs w:val="32"/>
        </w:rPr>
        <w:t>支出决算为101.66万元，完成预算89.72</w:t>
      </w:r>
      <w:r>
        <w:rPr>
          <w:rStyle w:val="15"/>
          <w:rFonts w:ascii="Times New Roman"/>
          <w:b w:val="0"/>
          <w:bCs/>
          <w:kern w:val="2"/>
          <w:sz w:val="32"/>
          <w:szCs w:val="32"/>
        </w:rPr>
        <w:t>%</w:t>
      </w:r>
      <w:r>
        <w:rPr>
          <w:rStyle w:val="15"/>
          <w:rFonts w:hint="eastAsia" w:ascii="Times New Roman"/>
          <w:b w:val="0"/>
          <w:bCs/>
          <w:kern w:val="2"/>
          <w:sz w:val="32"/>
          <w:szCs w:val="32"/>
        </w:rPr>
        <w:t>,</w:t>
      </w:r>
      <w:r>
        <w:rPr>
          <w:rStyle w:val="15"/>
          <w:rFonts w:hint="eastAsia" w:ascii="仿宋" w:hAnsi="仿宋" w:eastAsia="仿宋"/>
          <w:b w:val="0"/>
          <w:bCs/>
          <w:sz w:val="32"/>
          <w:szCs w:val="32"/>
        </w:rPr>
        <w:t>决算数小于预算数的主要原因是</w:t>
      </w:r>
      <w:r>
        <w:rPr>
          <w:rStyle w:val="15"/>
          <w:rFonts w:hint="eastAsia" w:ascii="Times New Roman"/>
          <w:b w:val="0"/>
          <w:bCs/>
          <w:sz w:val="32"/>
          <w:szCs w:val="32"/>
        </w:rPr>
        <w:t>绩效工资和其他商品服务支出结余</w:t>
      </w:r>
      <w:r>
        <w:rPr>
          <w:rStyle w:val="15"/>
          <w:rFonts w:hint="eastAsia" w:ascii="Times New Roman"/>
          <w:b w:val="0"/>
          <w:bCs/>
          <w:kern w:val="2"/>
          <w:sz w:val="32"/>
          <w:szCs w:val="32"/>
        </w:rPr>
        <w:t>。</w:t>
      </w:r>
    </w:p>
    <w:p>
      <w:pPr>
        <w:spacing w:line="600" w:lineRule="exact"/>
        <w:ind w:firstLine="640" w:firstLineChars="200"/>
        <w:rPr>
          <w:rStyle w:val="15"/>
          <w:rFonts w:ascii="Times New Roman"/>
          <w:b w:val="0"/>
          <w:bCs/>
          <w:kern w:val="2"/>
          <w:sz w:val="32"/>
          <w:szCs w:val="32"/>
        </w:rPr>
      </w:pPr>
      <w:r>
        <w:rPr>
          <w:rStyle w:val="15"/>
          <w:rFonts w:hint="eastAsia"/>
          <w:b w:val="0"/>
          <w:bCs/>
          <w:sz w:val="32"/>
          <w:szCs w:val="32"/>
        </w:rPr>
        <w:t>3.</w:t>
      </w:r>
      <w:r>
        <w:rPr>
          <w:rStyle w:val="15"/>
          <w:rFonts w:hint="eastAsia" w:ascii="仿宋" w:hAnsi="仿宋" w:eastAsia="仿宋"/>
          <w:bCs/>
          <w:sz w:val="32"/>
          <w:szCs w:val="32"/>
        </w:rPr>
        <w:t>教育支出（类）进修及培训（款）培训支出（项）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支出决算为2.32万元，完成预算92.8</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，决算数小于预算数的主要原因是培训经费有结余</w:t>
      </w:r>
      <w:r>
        <w:rPr>
          <w:rStyle w:val="15"/>
          <w:rFonts w:eastAsia="仿宋_GB2312"/>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4</w:t>
      </w:r>
      <w:r>
        <w:rPr>
          <w:rStyle w:val="15"/>
          <w:rFonts w:ascii="仿宋" w:hAnsi="仿宋" w:eastAsia="仿宋"/>
          <w:bCs/>
          <w:sz w:val="32"/>
          <w:szCs w:val="32"/>
        </w:rPr>
        <w:t>.</w:t>
      </w:r>
      <w:r>
        <w:rPr>
          <w:rStyle w:val="15"/>
          <w:rFonts w:hint="eastAsia" w:ascii="仿宋" w:hAnsi="仿宋" w:eastAsia="仿宋"/>
          <w:bCs/>
          <w:sz w:val="32"/>
          <w:szCs w:val="32"/>
        </w:rPr>
        <w:t>科学技术（类）应用研究（款）机构运行（项）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eastAsia="仿宋_GB2312"/>
          <w:b w:val="0"/>
          <w:bCs/>
          <w:sz w:val="32"/>
          <w:szCs w:val="32"/>
        </w:rPr>
        <w:t>支出决算为</w:t>
      </w:r>
      <w:r>
        <w:rPr>
          <w:rStyle w:val="15"/>
          <w:rFonts w:hint="eastAsia" w:eastAsia="仿宋_GB2312"/>
          <w:b w:val="0"/>
          <w:bCs/>
          <w:sz w:val="32"/>
          <w:szCs w:val="32"/>
        </w:rPr>
        <w:t>230.80</w:t>
      </w:r>
      <w:r>
        <w:rPr>
          <w:rStyle w:val="15"/>
          <w:rFonts w:eastAsia="仿宋_GB2312"/>
          <w:b w:val="0"/>
          <w:bCs/>
          <w:sz w:val="32"/>
          <w:szCs w:val="32"/>
        </w:rPr>
        <w:t>万元，完成预算</w:t>
      </w:r>
      <w:r>
        <w:rPr>
          <w:rStyle w:val="15"/>
          <w:rFonts w:hint="eastAsia" w:eastAsia="仿宋_GB2312"/>
          <w:b w:val="0"/>
          <w:bCs/>
          <w:sz w:val="32"/>
          <w:szCs w:val="32"/>
        </w:rPr>
        <w:t>92.95</w:t>
      </w:r>
      <w:r>
        <w:rPr>
          <w:rStyle w:val="15"/>
          <w:rFonts w:eastAsia="仿宋_GB2312"/>
          <w:b w:val="0"/>
          <w:bCs/>
          <w:sz w:val="32"/>
          <w:szCs w:val="32"/>
        </w:rPr>
        <w:t>%。决算数小于预算数的主要原因是公用经费结余。</w:t>
      </w:r>
    </w:p>
    <w:p>
      <w:pPr>
        <w:spacing w:line="600" w:lineRule="exact"/>
        <w:ind w:firstLine="643" w:firstLineChars="200"/>
        <w:rPr>
          <w:rStyle w:val="15"/>
          <w:rFonts w:eastAsia="仿宋_GB2312"/>
          <w:b w:val="0"/>
          <w:bCs/>
          <w:sz w:val="32"/>
          <w:szCs w:val="32"/>
        </w:rPr>
      </w:pPr>
      <w:r>
        <w:rPr>
          <w:rStyle w:val="15"/>
          <w:rFonts w:hint="eastAsia" w:ascii="仿宋" w:hAnsi="仿宋" w:eastAsia="仿宋"/>
          <w:bCs/>
          <w:sz w:val="32"/>
          <w:szCs w:val="32"/>
        </w:rPr>
        <w:t>5</w:t>
      </w:r>
      <w:r>
        <w:rPr>
          <w:rStyle w:val="15"/>
          <w:rFonts w:ascii="仿宋" w:hAnsi="仿宋" w:eastAsia="仿宋"/>
          <w:bCs/>
          <w:sz w:val="32"/>
          <w:szCs w:val="32"/>
        </w:rPr>
        <w:t>.</w:t>
      </w:r>
      <w:r>
        <w:rPr>
          <w:rStyle w:val="15"/>
          <w:rFonts w:hint="eastAsia" w:ascii="仿宋" w:hAnsi="仿宋" w:eastAsia="仿宋"/>
          <w:bCs/>
          <w:sz w:val="32"/>
          <w:szCs w:val="32"/>
        </w:rPr>
        <w:t>科学技术（类）应用研究（款）社会公益研究（项）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eastAsia="仿宋_GB2312"/>
          <w:b w:val="0"/>
          <w:bCs/>
          <w:sz w:val="32"/>
          <w:szCs w:val="32"/>
        </w:rPr>
        <w:t>支出决算为</w:t>
      </w:r>
      <w:r>
        <w:rPr>
          <w:rStyle w:val="15"/>
          <w:rFonts w:hint="eastAsia" w:eastAsia="仿宋_GB2312"/>
          <w:b w:val="0"/>
          <w:bCs/>
          <w:sz w:val="32"/>
          <w:szCs w:val="32"/>
        </w:rPr>
        <w:t>9.9</w:t>
      </w:r>
      <w:r>
        <w:rPr>
          <w:rStyle w:val="15"/>
          <w:rFonts w:eastAsia="仿宋_GB2312"/>
          <w:b w:val="0"/>
          <w:bCs/>
          <w:sz w:val="32"/>
          <w:szCs w:val="32"/>
        </w:rPr>
        <w:t>万元，完成预算</w:t>
      </w:r>
      <w:r>
        <w:rPr>
          <w:rStyle w:val="15"/>
          <w:rFonts w:hint="eastAsia" w:eastAsia="仿宋_GB2312"/>
          <w:b w:val="0"/>
          <w:bCs/>
          <w:sz w:val="32"/>
          <w:szCs w:val="32"/>
        </w:rPr>
        <w:t>76.15</w:t>
      </w:r>
      <w:r>
        <w:rPr>
          <w:rStyle w:val="15"/>
          <w:rFonts w:eastAsia="仿宋_GB2312"/>
          <w:b w:val="0"/>
          <w:bCs/>
          <w:sz w:val="32"/>
          <w:szCs w:val="32"/>
        </w:rPr>
        <w:t>%。决算数小于预算数的主要原因是部分科研工作因新冠肺炎疫情原因未</w:t>
      </w:r>
      <w:r>
        <w:rPr>
          <w:rStyle w:val="15"/>
          <w:rFonts w:hint="eastAsia" w:eastAsia="仿宋_GB2312"/>
          <w:b w:val="0"/>
          <w:bCs/>
          <w:sz w:val="32"/>
          <w:szCs w:val="32"/>
        </w:rPr>
        <w:t>开展</w:t>
      </w:r>
      <w:r>
        <w:rPr>
          <w:rStyle w:val="15"/>
          <w:rFonts w:eastAsia="仿宋_GB2312"/>
          <w:b w:val="0"/>
          <w:bCs/>
          <w:sz w:val="32"/>
          <w:szCs w:val="32"/>
        </w:rPr>
        <w:t>。</w:t>
      </w:r>
    </w:p>
    <w:p>
      <w:pPr>
        <w:pStyle w:val="6"/>
        <w:spacing w:before="93"/>
        <w:ind w:firstLine="643" w:firstLineChars="200"/>
      </w:pPr>
      <w:r>
        <w:rPr>
          <w:rStyle w:val="15"/>
          <w:rFonts w:hint="eastAsia" w:ascii="仿宋" w:hAnsi="仿宋" w:eastAsia="仿宋"/>
          <w:bCs/>
          <w:sz w:val="32"/>
          <w:szCs w:val="32"/>
        </w:rPr>
        <w:t>6</w:t>
      </w:r>
      <w:r>
        <w:rPr>
          <w:rStyle w:val="15"/>
          <w:rFonts w:ascii="仿宋" w:hAnsi="仿宋" w:eastAsia="仿宋"/>
          <w:bCs/>
          <w:sz w:val="32"/>
          <w:szCs w:val="32"/>
        </w:rPr>
        <w:t>.</w:t>
      </w:r>
      <w:r>
        <w:rPr>
          <w:rStyle w:val="15"/>
          <w:rFonts w:ascii="Times New Roman"/>
          <w:bCs/>
          <w:sz w:val="32"/>
          <w:szCs w:val="32"/>
        </w:rPr>
        <w:t>科学技术支出（类）其他科学技术支出（款）其他科学技术支出（项）:</w:t>
      </w:r>
      <w:r>
        <w:rPr>
          <w:rStyle w:val="15"/>
          <w:rFonts w:ascii="Times New Roman"/>
          <w:b w:val="0"/>
          <w:bCs/>
          <w:sz w:val="32"/>
          <w:szCs w:val="32"/>
        </w:rPr>
        <w:t xml:space="preserve"> 支出决算为</w:t>
      </w:r>
      <w:r>
        <w:rPr>
          <w:rStyle w:val="15"/>
          <w:rFonts w:hint="eastAsia" w:ascii="Times New Roman"/>
          <w:b w:val="0"/>
          <w:bCs/>
          <w:sz w:val="32"/>
          <w:szCs w:val="32"/>
        </w:rPr>
        <w:t>10.42</w:t>
      </w:r>
      <w:r>
        <w:rPr>
          <w:rStyle w:val="15"/>
          <w:rFonts w:ascii="Times New Roman"/>
          <w:b w:val="0"/>
          <w:bCs/>
          <w:sz w:val="32"/>
          <w:szCs w:val="32"/>
        </w:rPr>
        <w:t>万元，完成预算</w:t>
      </w:r>
      <w:r>
        <w:rPr>
          <w:rStyle w:val="15"/>
          <w:rFonts w:hint="eastAsia" w:ascii="Times New Roman"/>
          <w:b w:val="0"/>
          <w:bCs/>
          <w:sz w:val="32"/>
          <w:szCs w:val="32"/>
        </w:rPr>
        <w:t>43.22</w:t>
      </w:r>
      <w:r>
        <w:rPr>
          <w:rStyle w:val="15"/>
          <w:rFonts w:ascii="Times New Roman"/>
          <w:b w:val="0"/>
          <w:bCs/>
          <w:sz w:val="32"/>
          <w:szCs w:val="32"/>
        </w:rPr>
        <w:t>%</w:t>
      </w:r>
      <w:r>
        <w:rPr>
          <w:rStyle w:val="15"/>
          <w:rFonts w:hint="eastAsia" w:ascii="Times New Roman"/>
          <w:b w:val="0"/>
          <w:bCs/>
          <w:sz w:val="32"/>
          <w:szCs w:val="32"/>
        </w:rPr>
        <w:t>，</w:t>
      </w:r>
      <w:r>
        <w:rPr>
          <w:rStyle w:val="15"/>
          <w:rFonts w:ascii="Times New Roman"/>
          <w:b w:val="0"/>
          <w:bCs/>
          <w:sz w:val="32"/>
          <w:szCs w:val="32"/>
        </w:rPr>
        <w:t>决算数小于预算数的主要原因是</w:t>
      </w:r>
      <w:r>
        <w:rPr>
          <w:rStyle w:val="15"/>
          <w:rFonts w:hint="eastAsia" w:ascii="Times New Roman"/>
          <w:b w:val="0"/>
          <w:bCs/>
          <w:sz w:val="32"/>
          <w:szCs w:val="32"/>
        </w:rPr>
        <w:t>该项经费为可结转项目经费，该项目结题时间为1年6个月，剩余经费将于次年继续执行</w:t>
      </w:r>
      <w:r>
        <w:rPr>
          <w:rStyle w:val="15"/>
          <w:rFonts w:ascii="Times New Roman"/>
          <w:b w:val="0"/>
          <w:bCs/>
          <w:sz w:val="32"/>
          <w:szCs w:val="32"/>
        </w:rPr>
        <w:t>。</w:t>
      </w:r>
    </w:p>
    <w:p>
      <w:pPr>
        <w:spacing w:line="600" w:lineRule="exact"/>
        <w:ind w:firstLine="643" w:firstLineChars="200"/>
        <w:rPr>
          <w:rStyle w:val="15"/>
          <w:rFonts w:eastAsia="仿宋_GB2312"/>
          <w:b w:val="0"/>
          <w:bCs/>
          <w:sz w:val="32"/>
          <w:szCs w:val="32"/>
        </w:rPr>
      </w:pPr>
      <w:r>
        <w:rPr>
          <w:rStyle w:val="15"/>
          <w:rFonts w:hint="eastAsia" w:ascii="仿宋" w:hAnsi="仿宋" w:eastAsia="仿宋"/>
          <w:bCs/>
          <w:kern w:val="0"/>
          <w:sz w:val="32"/>
          <w:szCs w:val="32"/>
        </w:rPr>
        <w:t>7</w:t>
      </w:r>
      <w:r>
        <w:rPr>
          <w:rStyle w:val="15"/>
          <w:rFonts w:ascii="仿宋" w:hAnsi="仿宋" w:eastAsia="仿宋"/>
          <w:bCs/>
          <w:kern w:val="0"/>
          <w:sz w:val="32"/>
          <w:szCs w:val="32"/>
        </w:rPr>
        <w:t>.</w:t>
      </w:r>
      <w:r>
        <w:rPr>
          <w:rStyle w:val="15"/>
          <w:rFonts w:eastAsia="仿宋_GB2312"/>
          <w:bCs/>
          <w:sz w:val="32"/>
          <w:szCs w:val="32"/>
        </w:rPr>
        <w:t>社会保障和就业支出（类）行政事业单位养老支出（款）</w:t>
      </w:r>
      <w:r>
        <w:rPr>
          <w:rStyle w:val="15"/>
          <w:rFonts w:hint="eastAsia" w:eastAsia="仿宋_GB2312"/>
          <w:bCs/>
          <w:sz w:val="32"/>
          <w:szCs w:val="32"/>
        </w:rPr>
        <w:t>事业</w:t>
      </w:r>
      <w:r>
        <w:rPr>
          <w:rStyle w:val="15"/>
          <w:rFonts w:eastAsia="仿宋_GB2312"/>
          <w:bCs/>
          <w:sz w:val="32"/>
          <w:szCs w:val="32"/>
        </w:rPr>
        <w:t>单位离退休（项）:</w:t>
      </w:r>
      <w:r>
        <w:rPr>
          <w:rStyle w:val="15"/>
          <w:rFonts w:eastAsia="仿宋_GB2312"/>
          <w:b w:val="0"/>
          <w:bCs/>
          <w:sz w:val="32"/>
          <w:szCs w:val="32"/>
        </w:rPr>
        <w:t>支出决算为</w:t>
      </w:r>
      <w:r>
        <w:rPr>
          <w:rStyle w:val="15"/>
          <w:rFonts w:hint="eastAsia" w:eastAsia="仿宋_GB2312"/>
          <w:b w:val="0"/>
          <w:bCs/>
          <w:sz w:val="32"/>
          <w:szCs w:val="32"/>
        </w:rPr>
        <w:t>45.28</w:t>
      </w:r>
      <w:r>
        <w:rPr>
          <w:rStyle w:val="15"/>
          <w:rFonts w:eastAsia="仿宋_GB2312"/>
          <w:b w:val="0"/>
          <w:bCs/>
          <w:sz w:val="32"/>
          <w:szCs w:val="32"/>
        </w:rPr>
        <w:t>万元，完成预算</w:t>
      </w:r>
      <w:r>
        <w:rPr>
          <w:rStyle w:val="15"/>
          <w:rFonts w:hint="eastAsia" w:eastAsia="仿宋_GB2312"/>
          <w:b w:val="0"/>
          <w:bCs/>
          <w:sz w:val="32"/>
          <w:szCs w:val="32"/>
        </w:rPr>
        <w:t>95.77</w:t>
      </w:r>
      <w:r>
        <w:rPr>
          <w:rStyle w:val="15"/>
          <w:rFonts w:eastAsia="仿宋_GB2312"/>
          <w:b w:val="0"/>
          <w:bCs/>
          <w:sz w:val="32"/>
          <w:szCs w:val="32"/>
        </w:rPr>
        <w:t>%。</w:t>
      </w:r>
    </w:p>
    <w:p>
      <w:pPr>
        <w:pStyle w:val="6"/>
        <w:spacing w:before="93"/>
        <w:ind w:firstLine="640"/>
        <w:rPr>
          <w:rFonts w:eastAsia="宋体"/>
        </w:rPr>
      </w:pPr>
      <w:r>
        <w:rPr>
          <w:rStyle w:val="15"/>
          <w:rFonts w:hint="eastAsia" w:ascii="仿宋" w:hAnsi="仿宋" w:eastAsia="仿宋"/>
          <w:bCs/>
          <w:sz w:val="32"/>
          <w:szCs w:val="32"/>
        </w:rPr>
        <w:t>8.</w:t>
      </w:r>
      <w:r>
        <w:rPr>
          <w:rStyle w:val="15"/>
          <w:rFonts w:ascii="Times New Roman"/>
          <w:bCs/>
          <w:sz w:val="32"/>
          <w:szCs w:val="32"/>
        </w:rPr>
        <w:t>社会保障和就业支出（类）行政事业单位养老支出（款）机关事业单位基本养老保险缴费支出（项）:</w:t>
      </w:r>
      <w:r>
        <w:rPr>
          <w:rStyle w:val="15"/>
          <w:rFonts w:ascii="Times New Roman"/>
          <w:b w:val="0"/>
          <w:bCs/>
          <w:sz w:val="32"/>
          <w:szCs w:val="32"/>
        </w:rPr>
        <w:t>支出决算为</w:t>
      </w:r>
      <w:r>
        <w:rPr>
          <w:rStyle w:val="15"/>
          <w:rFonts w:hint="eastAsia"/>
          <w:b w:val="0"/>
          <w:bCs/>
          <w:sz w:val="32"/>
          <w:szCs w:val="32"/>
        </w:rPr>
        <w:t>29.96</w:t>
      </w:r>
      <w:r>
        <w:rPr>
          <w:rStyle w:val="15"/>
          <w:rFonts w:ascii="Times New Roman"/>
          <w:b w:val="0"/>
          <w:bCs/>
          <w:sz w:val="32"/>
          <w:szCs w:val="32"/>
        </w:rPr>
        <w:t>万元，完成预算</w:t>
      </w:r>
      <w:r>
        <w:rPr>
          <w:rStyle w:val="15"/>
          <w:rFonts w:hint="eastAsia"/>
          <w:b w:val="0"/>
          <w:bCs/>
          <w:sz w:val="32"/>
          <w:szCs w:val="32"/>
        </w:rPr>
        <w:t>83.83</w:t>
      </w:r>
      <w:r>
        <w:rPr>
          <w:rStyle w:val="15"/>
          <w:rFonts w:ascii="Times New Roman"/>
          <w:b w:val="0"/>
          <w:bCs/>
          <w:sz w:val="32"/>
          <w:szCs w:val="32"/>
        </w:rPr>
        <w:t>%。</w:t>
      </w:r>
    </w:p>
    <w:p>
      <w:pPr>
        <w:pStyle w:val="6"/>
        <w:spacing w:before="93"/>
        <w:ind w:firstLine="640"/>
        <w:rPr>
          <w:rStyle w:val="15"/>
          <w:rFonts w:ascii="Times New Roman"/>
          <w:b w:val="0"/>
          <w:bCs/>
          <w:sz w:val="32"/>
          <w:szCs w:val="32"/>
        </w:rPr>
      </w:pPr>
      <w:r>
        <w:rPr>
          <w:rStyle w:val="15"/>
          <w:rFonts w:hint="eastAsia" w:ascii="仿宋" w:hAnsi="仿宋" w:eastAsia="仿宋"/>
          <w:bCs/>
          <w:sz w:val="32"/>
          <w:szCs w:val="32"/>
        </w:rPr>
        <w:t>9</w:t>
      </w:r>
      <w:r>
        <w:rPr>
          <w:rStyle w:val="15"/>
          <w:rFonts w:ascii="仿宋" w:hAnsi="仿宋" w:eastAsia="仿宋"/>
          <w:bCs/>
          <w:sz w:val="32"/>
          <w:szCs w:val="32"/>
        </w:rPr>
        <w:t>.</w:t>
      </w:r>
      <w:r>
        <w:rPr>
          <w:rStyle w:val="15"/>
          <w:rFonts w:ascii="Times New Roman"/>
          <w:bCs/>
          <w:sz w:val="32"/>
          <w:szCs w:val="32"/>
        </w:rPr>
        <w:t>社会保障和就业支出（类）行政事业单位养老支出（款）机关事业单位职业年金缴费支出（项）:</w:t>
      </w:r>
      <w:r>
        <w:rPr>
          <w:rStyle w:val="15"/>
          <w:rFonts w:ascii="Times New Roman"/>
          <w:b w:val="0"/>
          <w:bCs/>
          <w:sz w:val="32"/>
          <w:szCs w:val="32"/>
        </w:rPr>
        <w:t>支出决算为</w:t>
      </w:r>
      <w:r>
        <w:rPr>
          <w:rStyle w:val="15"/>
          <w:rFonts w:hint="eastAsia" w:ascii="Times New Roman"/>
          <w:b w:val="0"/>
          <w:bCs/>
          <w:sz w:val="32"/>
          <w:szCs w:val="32"/>
        </w:rPr>
        <w:t>15.14</w:t>
      </w:r>
      <w:r>
        <w:rPr>
          <w:rStyle w:val="15"/>
          <w:rFonts w:ascii="Times New Roman"/>
          <w:b w:val="0"/>
          <w:bCs/>
          <w:sz w:val="32"/>
          <w:szCs w:val="32"/>
        </w:rPr>
        <w:t>万元，完成预算</w:t>
      </w:r>
      <w:r>
        <w:rPr>
          <w:rStyle w:val="15"/>
          <w:rFonts w:hint="eastAsia"/>
          <w:b w:val="0"/>
          <w:bCs/>
          <w:sz w:val="32"/>
          <w:szCs w:val="32"/>
        </w:rPr>
        <w:t>75.29</w:t>
      </w:r>
      <w:r>
        <w:rPr>
          <w:rStyle w:val="15"/>
          <w:rFonts w:ascii="Times New Roman"/>
          <w:b w:val="0"/>
          <w:bCs/>
          <w:sz w:val="32"/>
          <w:szCs w:val="32"/>
        </w:rPr>
        <w:t>%。</w:t>
      </w:r>
    </w:p>
    <w:p>
      <w:pPr>
        <w:pStyle w:val="6"/>
        <w:spacing w:before="93"/>
        <w:ind w:firstLine="640"/>
        <w:rPr>
          <w:rStyle w:val="15"/>
          <w:rFonts w:ascii="Times New Roman"/>
          <w:b w:val="0"/>
          <w:bCs/>
          <w:sz w:val="32"/>
          <w:szCs w:val="32"/>
        </w:rPr>
      </w:pPr>
      <w:r>
        <w:rPr>
          <w:rStyle w:val="15"/>
          <w:rFonts w:hint="eastAsia" w:ascii="仿宋" w:hAnsi="仿宋" w:eastAsia="仿宋"/>
          <w:bCs/>
          <w:sz w:val="32"/>
          <w:szCs w:val="32"/>
        </w:rPr>
        <w:t>10</w:t>
      </w:r>
      <w:r>
        <w:rPr>
          <w:rStyle w:val="15"/>
          <w:rFonts w:ascii="仿宋" w:hAnsi="仿宋" w:eastAsia="仿宋"/>
          <w:bCs/>
          <w:sz w:val="32"/>
          <w:szCs w:val="32"/>
        </w:rPr>
        <w:t>.社</w:t>
      </w:r>
      <w:r>
        <w:rPr>
          <w:rStyle w:val="15"/>
          <w:rFonts w:ascii="Times New Roman"/>
          <w:bCs/>
          <w:sz w:val="32"/>
          <w:szCs w:val="32"/>
        </w:rPr>
        <w:t>会保障和就业支出（类）</w:t>
      </w:r>
      <w:r>
        <w:rPr>
          <w:rStyle w:val="15"/>
          <w:rFonts w:hint="eastAsia" w:ascii="Times New Roman"/>
          <w:bCs/>
          <w:sz w:val="32"/>
          <w:szCs w:val="32"/>
        </w:rPr>
        <w:t>抚恤</w:t>
      </w:r>
      <w:r>
        <w:rPr>
          <w:rStyle w:val="15"/>
          <w:rFonts w:ascii="Times New Roman"/>
          <w:bCs/>
          <w:sz w:val="32"/>
          <w:szCs w:val="32"/>
        </w:rPr>
        <w:t>（款）</w:t>
      </w:r>
      <w:r>
        <w:rPr>
          <w:rStyle w:val="15"/>
          <w:rFonts w:hint="eastAsia" w:ascii="Times New Roman"/>
          <w:bCs/>
          <w:sz w:val="32"/>
          <w:szCs w:val="32"/>
        </w:rPr>
        <w:t>死亡抚恤</w:t>
      </w:r>
      <w:r>
        <w:rPr>
          <w:rStyle w:val="15"/>
          <w:rFonts w:ascii="Times New Roman"/>
          <w:bCs/>
          <w:sz w:val="32"/>
          <w:szCs w:val="32"/>
        </w:rPr>
        <w:t>（项）:</w:t>
      </w:r>
      <w:r>
        <w:rPr>
          <w:rStyle w:val="15"/>
          <w:rFonts w:ascii="Times New Roman"/>
          <w:b w:val="0"/>
          <w:bCs/>
          <w:sz w:val="32"/>
          <w:szCs w:val="32"/>
        </w:rPr>
        <w:t>支出决算为</w:t>
      </w:r>
      <w:r>
        <w:rPr>
          <w:rStyle w:val="15"/>
          <w:rFonts w:hint="eastAsia" w:ascii="Times New Roman"/>
          <w:b w:val="0"/>
          <w:bCs/>
          <w:sz w:val="32"/>
          <w:szCs w:val="32"/>
        </w:rPr>
        <w:t>7.24</w:t>
      </w:r>
      <w:r>
        <w:rPr>
          <w:rStyle w:val="15"/>
          <w:rFonts w:ascii="Times New Roman"/>
          <w:b w:val="0"/>
          <w:bCs/>
          <w:sz w:val="32"/>
          <w:szCs w:val="32"/>
        </w:rPr>
        <w:t>万元，完成预算</w:t>
      </w:r>
      <w:r>
        <w:rPr>
          <w:rStyle w:val="15"/>
          <w:rFonts w:hint="eastAsia" w:ascii="Times New Roman"/>
          <w:b w:val="0"/>
          <w:bCs/>
          <w:sz w:val="32"/>
          <w:szCs w:val="32"/>
        </w:rPr>
        <w:t>100</w:t>
      </w:r>
      <w:r>
        <w:rPr>
          <w:rStyle w:val="15"/>
          <w:rFonts w:ascii="Times New Roman"/>
          <w:b w:val="0"/>
          <w:bCs/>
          <w:sz w:val="32"/>
          <w:szCs w:val="32"/>
        </w:rPr>
        <w:t>%。</w:t>
      </w:r>
    </w:p>
    <w:p>
      <w:pPr>
        <w:pStyle w:val="6"/>
        <w:spacing w:before="93"/>
        <w:ind w:firstLine="640"/>
        <w:rPr>
          <w:rStyle w:val="15"/>
          <w:rFonts w:ascii="Times New Roman"/>
          <w:b w:val="0"/>
          <w:bCs/>
          <w:sz w:val="32"/>
          <w:szCs w:val="32"/>
        </w:rPr>
      </w:pPr>
      <w:r>
        <w:rPr>
          <w:rStyle w:val="15"/>
          <w:rFonts w:hint="eastAsia" w:ascii="仿宋" w:hAnsi="仿宋" w:eastAsia="仿宋"/>
          <w:bCs/>
          <w:sz w:val="32"/>
          <w:szCs w:val="32"/>
        </w:rPr>
        <w:t>11.</w:t>
      </w:r>
      <w:r>
        <w:rPr>
          <w:rStyle w:val="15"/>
          <w:rFonts w:ascii="Times New Roman"/>
          <w:bCs/>
          <w:sz w:val="32"/>
          <w:szCs w:val="32"/>
        </w:rPr>
        <w:t>社会保障和就业支出（类）其他社会保障和就业支出（款）其他社会保障和就业支出（项）:</w:t>
      </w:r>
      <w:r>
        <w:rPr>
          <w:rStyle w:val="15"/>
          <w:rFonts w:ascii="Times New Roman"/>
          <w:b w:val="0"/>
          <w:bCs/>
          <w:sz w:val="32"/>
          <w:szCs w:val="32"/>
        </w:rPr>
        <w:t>支出决算为</w:t>
      </w:r>
      <w:r>
        <w:rPr>
          <w:rStyle w:val="15"/>
          <w:rFonts w:hint="eastAsia" w:ascii="Times New Roman"/>
          <w:b w:val="0"/>
          <w:bCs/>
          <w:sz w:val="32"/>
          <w:szCs w:val="32"/>
        </w:rPr>
        <w:t>3.98</w:t>
      </w:r>
      <w:r>
        <w:rPr>
          <w:rStyle w:val="15"/>
          <w:rFonts w:ascii="Times New Roman"/>
          <w:b w:val="0"/>
          <w:bCs/>
          <w:sz w:val="32"/>
          <w:szCs w:val="32"/>
        </w:rPr>
        <w:t>万元，完成预算</w:t>
      </w:r>
      <w:r>
        <w:rPr>
          <w:rStyle w:val="15"/>
          <w:rFonts w:hint="eastAsia" w:ascii="Times New Roman"/>
          <w:b w:val="0"/>
          <w:bCs/>
          <w:sz w:val="32"/>
          <w:szCs w:val="32"/>
        </w:rPr>
        <w:t>73.30</w:t>
      </w:r>
      <w:r>
        <w:rPr>
          <w:rStyle w:val="15"/>
          <w:rFonts w:ascii="Times New Roman"/>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kern w:val="0"/>
          <w:sz w:val="32"/>
          <w:szCs w:val="32"/>
        </w:rPr>
        <w:t>12.</w:t>
      </w:r>
      <w:r>
        <w:rPr>
          <w:rFonts w:hint="eastAsia" w:ascii="仿宋" w:hAnsi="仿宋" w:eastAsia="仿宋"/>
          <w:b/>
          <w:bCs/>
          <w:sz w:val="32"/>
          <w:szCs w:val="32"/>
        </w:rPr>
        <w:t>医疗卫生支出</w:t>
      </w:r>
      <w:r>
        <w:rPr>
          <w:rStyle w:val="15"/>
          <w:rFonts w:hint="eastAsia" w:ascii="仿宋" w:hAnsi="仿宋" w:eastAsia="仿宋"/>
          <w:bCs/>
          <w:sz w:val="32"/>
          <w:szCs w:val="32"/>
        </w:rPr>
        <w:t>（类）行政事业单位医疗（款）事业单位医疗（项）</w:t>
      </w:r>
      <w:r>
        <w:rPr>
          <w:rStyle w:val="15"/>
          <w:rFonts w:ascii="仿宋" w:hAnsi="仿宋" w:eastAsia="仿宋"/>
          <w:bCs/>
          <w:sz w:val="32"/>
          <w:szCs w:val="32"/>
        </w:rPr>
        <w:t>:</w:t>
      </w:r>
      <w:r>
        <w:rPr>
          <w:rStyle w:val="15"/>
          <w:rFonts w:hint="eastAsia" w:ascii="仿宋" w:hAnsi="仿宋" w:eastAsia="仿宋"/>
          <w:b w:val="0"/>
          <w:bCs/>
          <w:sz w:val="32"/>
          <w:szCs w:val="32"/>
        </w:rPr>
        <w:t>支出决算为24.09万元，完成预算90.60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eastAsia="仿宋_GB2312"/>
          <w:b w:val="0"/>
          <w:bCs/>
          <w:sz w:val="32"/>
          <w:szCs w:val="32"/>
        </w:rPr>
      </w:pPr>
      <w:r>
        <w:rPr>
          <w:rStyle w:val="15"/>
          <w:rFonts w:hint="eastAsia" w:ascii="仿宋" w:hAnsi="仿宋" w:eastAsia="仿宋"/>
          <w:bCs/>
          <w:kern w:val="0"/>
          <w:sz w:val="32"/>
          <w:szCs w:val="32"/>
        </w:rPr>
        <w:t>13</w:t>
      </w:r>
      <w:r>
        <w:rPr>
          <w:rStyle w:val="15"/>
          <w:rFonts w:ascii="仿宋" w:hAnsi="仿宋" w:eastAsia="仿宋"/>
          <w:bCs/>
          <w:kern w:val="0"/>
          <w:sz w:val="32"/>
          <w:szCs w:val="32"/>
        </w:rPr>
        <w:t>.</w:t>
      </w:r>
      <w:r>
        <w:rPr>
          <w:rStyle w:val="15"/>
          <w:rFonts w:eastAsia="仿宋_GB2312"/>
          <w:bCs/>
          <w:sz w:val="32"/>
          <w:szCs w:val="32"/>
        </w:rPr>
        <w:t>住房保障支出（类）住房改革支出（款）住房公积金（项）:</w:t>
      </w:r>
      <w:r>
        <w:rPr>
          <w:rStyle w:val="15"/>
          <w:rFonts w:eastAsia="仿宋_GB2312"/>
          <w:b w:val="0"/>
          <w:bCs/>
          <w:sz w:val="32"/>
          <w:szCs w:val="32"/>
        </w:rPr>
        <w:t>支出决算为</w:t>
      </w:r>
      <w:r>
        <w:rPr>
          <w:rStyle w:val="15"/>
          <w:rFonts w:hint="eastAsia" w:eastAsia="仿宋_GB2312"/>
          <w:b w:val="0"/>
          <w:bCs/>
          <w:sz w:val="32"/>
          <w:szCs w:val="32"/>
        </w:rPr>
        <w:t>30.94</w:t>
      </w:r>
      <w:r>
        <w:rPr>
          <w:rStyle w:val="15"/>
          <w:rFonts w:eastAsia="仿宋_GB2312"/>
          <w:b w:val="0"/>
          <w:bCs/>
          <w:sz w:val="32"/>
          <w:szCs w:val="32"/>
        </w:rPr>
        <w:t>万元，完成预算</w:t>
      </w:r>
      <w:r>
        <w:rPr>
          <w:rStyle w:val="15"/>
          <w:rFonts w:hint="eastAsia" w:eastAsia="仿宋_GB2312"/>
          <w:b w:val="0"/>
          <w:bCs/>
          <w:sz w:val="32"/>
          <w:szCs w:val="32"/>
        </w:rPr>
        <w:t>87.2</w:t>
      </w:r>
      <w:r>
        <w:rPr>
          <w:rStyle w:val="15"/>
          <w:rFonts w:eastAsia="仿宋_GB2312"/>
          <w:b w:val="0"/>
          <w:bCs/>
          <w:sz w:val="32"/>
          <w:szCs w:val="32"/>
        </w:rPr>
        <w:t>%。</w:t>
      </w:r>
    </w:p>
    <w:p>
      <w:pPr>
        <w:spacing w:line="600" w:lineRule="exact"/>
        <w:ind w:firstLine="420" w:firstLineChars="200"/>
        <w:rPr>
          <w:rStyle w:val="15"/>
          <w:rFonts w:eastAsia="仿宋_GB2312"/>
          <w:b w:val="0"/>
          <w:bCs/>
          <w:sz w:val="32"/>
          <w:szCs w:val="32"/>
        </w:rPr>
      </w:pPr>
      <w:r>
        <w:rPr>
          <w:rFonts w:hint="eastAsia"/>
        </w:rPr>
        <w:t xml:space="preserve">  </w:t>
      </w:r>
      <w:r>
        <w:rPr>
          <w:rStyle w:val="15"/>
          <w:rFonts w:hint="eastAsia" w:ascii="仿宋" w:hAnsi="仿宋" w:eastAsia="仿宋"/>
          <w:bCs/>
          <w:kern w:val="0"/>
          <w:sz w:val="32"/>
          <w:szCs w:val="32"/>
        </w:rPr>
        <w:t>14</w:t>
      </w:r>
      <w:r>
        <w:rPr>
          <w:rStyle w:val="15"/>
          <w:rFonts w:ascii="仿宋" w:hAnsi="仿宋" w:eastAsia="仿宋"/>
          <w:bCs/>
          <w:kern w:val="0"/>
          <w:sz w:val="32"/>
          <w:szCs w:val="32"/>
        </w:rPr>
        <w:t>.</w:t>
      </w:r>
      <w:r>
        <w:rPr>
          <w:rStyle w:val="15"/>
          <w:rFonts w:eastAsia="仿宋_GB2312"/>
          <w:bCs/>
          <w:sz w:val="32"/>
          <w:szCs w:val="32"/>
        </w:rPr>
        <w:t>住房保障支出（类）住房改革支出（款）</w:t>
      </w:r>
      <w:r>
        <w:rPr>
          <w:rStyle w:val="15"/>
          <w:rFonts w:hint="eastAsia" w:eastAsia="仿宋_GB2312"/>
          <w:bCs/>
          <w:sz w:val="32"/>
          <w:szCs w:val="32"/>
        </w:rPr>
        <w:t>购房补贴</w:t>
      </w:r>
      <w:r>
        <w:rPr>
          <w:rStyle w:val="15"/>
          <w:rFonts w:eastAsia="仿宋_GB2312"/>
          <w:bCs/>
          <w:sz w:val="32"/>
          <w:szCs w:val="32"/>
        </w:rPr>
        <w:t>（项）:</w:t>
      </w:r>
      <w:r>
        <w:rPr>
          <w:rStyle w:val="15"/>
          <w:rFonts w:eastAsia="仿宋_GB2312"/>
          <w:b w:val="0"/>
          <w:bCs/>
          <w:sz w:val="32"/>
          <w:szCs w:val="32"/>
        </w:rPr>
        <w:t>支出决算为</w:t>
      </w:r>
      <w:r>
        <w:rPr>
          <w:rStyle w:val="15"/>
          <w:rFonts w:hint="eastAsia" w:eastAsia="仿宋_GB2312"/>
          <w:b w:val="0"/>
          <w:bCs/>
          <w:sz w:val="32"/>
          <w:szCs w:val="32"/>
        </w:rPr>
        <w:t>153.29</w:t>
      </w:r>
      <w:r>
        <w:rPr>
          <w:rStyle w:val="15"/>
          <w:rFonts w:eastAsia="仿宋_GB2312"/>
          <w:b w:val="0"/>
          <w:bCs/>
          <w:sz w:val="32"/>
          <w:szCs w:val="32"/>
        </w:rPr>
        <w:t>万元，完成预算</w:t>
      </w:r>
      <w:r>
        <w:rPr>
          <w:rStyle w:val="15"/>
          <w:rFonts w:hint="eastAsia" w:eastAsia="仿宋_GB2312"/>
          <w:b w:val="0"/>
          <w:bCs/>
          <w:sz w:val="32"/>
          <w:szCs w:val="32"/>
        </w:rPr>
        <w:t>100</w:t>
      </w:r>
      <w:r>
        <w:rPr>
          <w:rStyle w:val="15"/>
          <w:rFonts w:eastAsia="仿宋_GB2312"/>
          <w:b w:val="0"/>
          <w:bCs/>
          <w:sz w:val="32"/>
          <w:szCs w:val="32"/>
        </w:rPr>
        <w:t>%。</w:t>
      </w:r>
    </w:p>
    <w:p>
      <w:pPr>
        <w:pStyle w:val="2"/>
      </w:pPr>
    </w:p>
    <w:p>
      <w:pPr>
        <w:tabs>
          <w:tab w:val="right" w:pos="8306"/>
        </w:tabs>
        <w:spacing w:line="600" w:lineRule="exact"/>
        <w:ind w:firstLine="640"/>
        <w:outlineLvl w:val="1"/>
        <w:rPr>
          <w:rStyle w:val="26"/>
          <w:highlight w:val="none"/>
        </w:rPr>
      </w:pPr>
      <w:bookmarkStart w:id="34" w:name="_Toc15396608"/>
      <w:bookmarkStart w:id="35" w:name="_Toc15377214"/>
      <w:r>
        <w:rPr>
          <w:rFonts w:hint="eastAsia" w:ascii="黑体" w:eastAsia="黑体"/>
          <w:sz w:val="32"/>
          <w:szCs w:val="32"/>
          <w:highlight w:val="none"/>
        </w:rPr>
        <w:t>六</w:t>
      </w:r>
      <w:r>
        <w:rPr>
          <w:rFonts w:hint="eastAsia" w:ascii="黑体" w:eastAsia="黑体"/>
          <w:b/>
          <w:sz w:val="32"/>
          <w:szCs w:val="32"/>
          <w:highlight w:val="none"/>
        </w:rPr>
        <w:t>、</w:t>
      </w:r>
      <w:r>
        <w:rPr>
          <w:rFonts w:hint="eastAsia" w:ascii="黑体" w:hAnsi="黑体" w:eastAsia="黑体"/>
          <w:b/>
          <w:sz w:val="32"/>
          <w:szCs w:val="32"/>
          <w:highlight w:val="none"/>
        </w:rPr>
        <w:t>一</w:t>
      </w:r>
      <w:r>
        <w:rPr>
          <w:rStyle w:val="26"/>
          <w:rFonts w:hint="eastAsia" w:ascii="黑体" w:hAnsi="黑体" w:eastAsia="黑体"/>
          <w:b w:val="0"/>
          <w:highlight w:val="none"/>
        </w:rPr>
        <w:t>般公共预算财政拨款基本支出决算情况说明</w:t>
      </w:r>
      <w:bookmarkEnd w:id="34"/>
      <w:bookmarkEnd w:id="35"/>
      <w:r>
        <w:rPr>
          <w:rStyle w:val="26"/>
          <w:rFonts w:ascii="黑体" w:hAnsi="黑体" w:eastAsia="黑体"/>
          <w:b w:val="0"/>
          <w:highlight w:val="none"/>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w:t>
      </w:r>
      <w:r>
        <w:rPr>
          <w:rFonts w:hint="eastAsia" w:ascii="仿宋" w:hAnsi="仿宋" w:eastAsia="仿宋"/>
          <w:sz w:val="32"/>
          <w:szCs w:val="32"/>
          <w:lang w:val="en-US" w:eastAsia="zh-CN"/>
        </w:rPr>
        <w:t>644.7</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592.31</w:t>
      </w:r>
      <w:r>
        <w:rPr>
          <w:rFonts w:hint="eastAsia" w:ascii="仿宋" w:hAnsi="仿宋" w:eastAsia="仿宋"/>
          <w:sz w:val="32"/>
          <w:szCs w:val="32"/>
        </w:rPr>
        <w:t>万元，主要包括：基本工资、津贴补贴、绩效工资、机关事业单位基本养老保险缴费、职业年金缴费、</w:t>
      </w:r>
      <w:r>
        <w:rPr>
          <w:rFonts w:hint="eastAsia" w:ascii="仿宋" w:hAnsi="仿宋" w:eastAsia="仿宋"/>
          <w:sz w:val="32"/>
          <w:szCs w:val="32"/>
          <w:lang w:eastAsia="zh-CN"/>
        </w:rPr>
        <w:t>职工基本医疗保险缴费、</w:t>
      </w:r>
      <w:r>
        <w:rPr>
          <w:rFonts w:hint="eastAsia" w:ascii="仿宋" w:hAnsi="仿宋" w:eastAsia="仿宋"/>
          <w:sz w:val="32"/>
          <w:szCs w:val="32"/>
        </w:rPr>
        <w:t>其他社会保障缴费、其他工资福利支出、抚恤金</w:t>
      </w:r>
      <w:r>
        <w:rPr>
          <w:rFonts w:hint="eastAsia" w:ascii="仿宋" w:hAnsi="仿宋" w:eastAsia="仿宋"/>
          <w:sz w:val="32"/>
          <w:szCs w:val="32"/>
          <w:lang w:eastAsia="zh-CN"/>
        </w:rPr>
        <w:t>、离休费、</w:t>
      </w:r>
      <w:r>
        <w:rPr>
          <w:rFonts w:hint="eastAsia" w:ascii="仿宋" w:hAnsi="仿宋" w:eastAsia="仿宋"/>
          <w:sz w:val="32"/>
          <w:szCs w:val="32"/>
        </w:rPr>
        <w:t>住房公积金、其他对个人和家庭的补助支出等。</w:t>
      </w:r>
    </w:p>
    <w:p>
      <w:pPr>
        <w:spacing w:line="600" w:lineRule="exact"/>
        <w:ind w:firstLine="645"/>
        <w:rPr>
          <w:rFonts w:ascii="仿宋" w:hAnsi="仿宋" w:eastAsia="仿宋"/>
          <w:b/>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52.39</w:t>
      </w:r>
      <w:r>
        <w:rPr>
          <w:rFonts w:hint="eastAsia" w:ascii="仿宋" w:hAnsi="仿宋" w:eastAsia="仿宋"/>
          <w:sz w:val="32"/>
          <w:szCs w:val="32"/>
        </w:rPr>
        <w:t>万元，主要包括：</w:t>
      </w:r>
      <w:r>
        <w:rPr>
          <w:rFonts w:hint="eastAsia" w:ascii="仿宋" w:hAnsi="仿宋" w:eastAsia="仿宋"/>
          <w:color w:val="auto"/>
          <w:sz w:val="32"/>
          <w:szCs w:val="32"/>
        </w:rPr>
        <w:t>办公费、水费、电费、邮电费、维修（护）费、租赁费、培训费、公务接待费、劳务费、工会经费、福利费、公务用车运行维护费、其他交通费</w:t>
      </w:r>
      <w:r>
        <w:rPr>
          <w:rFonts w:hint="eastAsia" w:ascii="仿宋" w:hAnsi="仿宋" w:eastAsia="仿宋"/>
          <w:color w:val="auto"/>
          <w:sz w:val="32"/>
          <w:szCs w:val="32"/>
          <w:lang w:eastAsia="zh-CN"/>
        </w:rPr>
        <w:t>用</w:t>
      </w:r>
      <w:r>
        <w:rPr>
          <w:rFonts w:hint="eastAsia" w:ascii="仿宋" w:hAnsi="仿宋" w:eastAsia="仿宋"/>
          <w:color w:val="auto"/>
          <w:sz w:val="32"/>
          <w:szCs w:val="32"/>
        </w:rPr>
        <w:t>、税金及附加费用、其他商品和服务支出等。</w:t>
      </w:r>
    </w:p>
    <w:p>
      <w:pPr>
        <w:spacing w:line="600" w:lineRule="exact"/>
        <w:ind w:firstLine="640"/>
        <w:outlineLvl w:val="1"/>
        <w:rPr>
          <w:rStyle w:val="26"/>
          <w:rFonts w:ascii="黑体" w:hAnsi="黑体" w:eastAsia="黑体"/>
          <w:b w:val="0"/>
        </w:rPr>
      </w:pPr>
      <w:bookmarkStart w:id="36" w:name="_Toc15377215"/>
      <w:bookmarkStart w:id="37"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21年“三公”经费财政拨款支出决算为3.67万元，完成预算61.67</w:t>
      </w:r>
      <w:r>
        <w:rPr>
          <w:rFonts w:ascii="仿宋" w:hAnsi="仿宋" w:eastAsia="仿宋"/>
          <w:sz w:val="32"/>
          <w:szCs w:val="32"/>
        </w:rPr>
        <w:t>%</w:t>
      </w:r>
      <w:r>
        <w:rPr>
          <w:rFonts w:hint="eastAsia" w:ascii="仿宋" w:hAnsi="仿宋" w:eastAsia="仿宋"/>
          <w:sz w:val="32"/>
          <w:szCs w:val="32"/>
        </w:rPr>
        <w:t>，决算数小于预算数（或与预算数持平）的主要原因是厉行节约，减少三公经费支出。</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；公务用车购置及运行维护费支出决算3.11万元，占84.74</w:t>
      </w:r>
      <w:r>
        <w:rPr>
          <w:rFonts w:ascii="仿宋" w:hAnsi="仿宋" w:eastAsia="仿宋"/>
          <w:sz w:val="32"/>
          <w:szCs w:val="32"/>
        </w:rPr>
        <w:t>%</w:t>
      </w:r>
      <w:r>
        <w:rPr>
          <w:rFonts w:hint="eastAsia" w:ascii="仿宋" w:hAnsi="仿宋" w:eastAsia="仿宋"/>
          <w:sz w:val="32"/>
          <w:szCs w:val="32"/>
        </w:rPr>
        <w:t>；公务接待费支出决算0.56万元，占15.26</w:t>
      </w:r>
      <w:r>
        <w:rPr>
          <w:rFonts w:ascii="仿宋" w:hAnsi="仿宋" w:eastAsia="仿宋"/>
          <w:sz w:val="32"/>
          <w:szCs w:val="32"/>
        </w:rPr>
        <w:t>%</w:t>
      </w:r>
      <w:r>
        <w:rPr>
          <w:rFonts w:hint="eastAsia" w:ascii="仿宋" w:hAnsi="仿宋" w:eastAsia="仿宋"/>
          <w:sz w:val="32"/>
          <w:szCs w:val="32"/>
        </w:rPr>
        <w:t>。具体情况如下：</w:t>
      </w:r>
    </w:p>
    <w:p>
      <w:pPr>
        <w:pStyle w:val="2"/>
      </w:pPr>
      <w:r>
        <w:rPr>
          <w:rFonts w:eastAsia="仿宋"/>
          <w:sz w:val="32"/>
          <w:szCs w:val="32"/>
        </w:rPr>
        <w:drawing>
          <wp:anchor distT="0" distB="0" distL="114300" distR="114300" simplePos="0" relativeHeight="251663360" behindDoc="0" locked="0" layoutInCell="1" allowOverlap="1">
            <wp:simplePos x="0" y="0"/>
            <wp:positionH relativeFrom="column">
              <wp:posOffset>4445</wp:posOffset>
            </wp:positionH>
            <wp:positionV relativeFrom="paragraph">
              <wp:posOffset>204470</wp:posOffset>
            </wp:positionV>
            <wp:extent cx="5072380" cy="2748280"/>
            <wp:effectExtent l="0" t="0" r="13970" b="1397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全年安排因公出国（境）团组0次，出国（境）0人。因公出国（境）支出决算与2020年持平。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3.11万元,</w:t>
      </w:r>
      <w:r>
        <w:rPr>
          <w:rStyle w:val="15"/>
          <w:rFonts w:hint="eastAsia" w:ascii="仿宋" w:hAnsi="仿宋" w:eastAsia="仿宋"/>
          <w:b w:val="0"/>
          <w:bCs/>
          <w:sz w:val="32"/>
          <w:szCs w:val="32"/>
        </w:rPr>
        <w:t>完成预算62.2</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20年增加0.02万元，增长0.65</w:t>
      </w:r>
      <w:r>
        <w:rPr>
          <w:rFonts w:ascii="仿宋_GB2312" w:eastAsia="仿宋_GB2312"/>
          <w:sz w:val="32"/>
          <w:szCs w:val="32"/>
        </w:rPr>
        <w:t>%</w:t>
      </w:r>
      <w:r>
        <w:rPr>
          <w:rFonts w:hint="eastAsia" w:ascii="仿宋_GB2312" w:eastAsia="仿宋_GB2312"/>
          <w:sz w:val="32"/>
          <w:szCs w:val="32"/>
        </w:rPr>
        <w:t>。主要原因是公务用车使用略有增多。</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月底，单位共有公务用车1辆，其中：轿车1辆、越野车0辆、载客汽车0辆。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3.11万元。主要用于主要用于</w:t>
      </w:r>
      <w:r>
        <w:rPr>
          <w:rFonts w:eastAsia="仿宋_GB2312"/>
          <w:sz w:val="32"/>
          <w:szCs w:val="32"/>
        </w:rPr>
        <w:t>民族宗教工作调研</w:t>
      </w:r>
      <w:r>
        <w:rPr>
          <w:rFonts w:hint="eastAsia" w:ascii="仿宋_GB2312" w:eastAsia="仿宋_GB2312"/>
          <w:sz w:val="32"/>
          <w:szCs w:val="32"/>
        </w:rPr>
        <w:t>等所需的公务用车燃料费、维修费、过路过桥费、保险费等支出。</w:t>
      </w:r>
    </w:p>
    <w:p>
      <w:pPr>
        <w:numPr>
          <w:ilvl w:val="0"/>
          <w:numId w:val="3"/>
        </w:numPr>
        <w:spacing w:line="600" w:lineRule="exact"/>
        <w:ind w:firstLine="640"/>
        <w:rPr>
          <w:rFonts w:ascii="仿宋_GB2312" w:eastAsia="仿宋_GB2312"/>
          <w:sz w:val="32"/>
          <w:szCs w:val="32"/>
        </w:rPr>
      </w:pPr>
      <w:r>
        <w:rPr>
          <w:rFonts w:hint="eastAsia" w:ascii="仿宋_GB2312" w:eastAsia="仿宋_GB2312"/>
          <w:b/>
          <w:sz w:val="32"/>
          <w:szCs w:val="32"/>
        </w:rPr>
        <w:t>公务接待费支出</w:t>
      </w:r>
      <w:r>
        <w:rPr>
          <w:rFonts w:hint="eastAsia" w:ascii="仿宋_GB2312" w:eastAsia="仿宋_GB2312"/>
          <w:sz w:val="32"/>
          <w:szCs w:val="32"/>
        </w:rPr>
        <w:t>0.56万元，</w:t>
      </w:r>
      <w:r>
        <w:rPr>
          <w:rStyle w:val="15"/>
          <w:rFonts w:hint="eastAsia" w:ascii="仿宋" w:hAnsi="仿宋" w:eastAsia="仿宋"/>
          <w:b w:val="0"/>
          <w:bCs/>
          <w:sz w:val="32"/>
          <w:szCs w:val="32"/>
        </w:rPr>
        <w:t>完成预算56</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20年增加0.01万元，增长1.82</w:t>
      </w:r>
      <w:r>
        <w:rPr>
          <w:rFonts w:ascii="仿宋_GB2312" w:eastAsia="仿宋_GB2312"/>
          <w:sz w:val="32"/>
          <w:szCs w:val="32"/>
        </w:rPr>
        <w:t>%</w:t>
      </w:r>
      <w:r>
        <w:rPr>
          <w:rFonts w:hint="eastAsia" w:ascii="仿宋_GB2312" w:eastAsia="仿宋_GB2312"/>
          <w:sz w:val="32"/>
          <w:szCs w:val="32"/>
        </w:rPr>
        <w:t>。主要原因是2021年执行公务、开展业务活动开支了用餐费。</w:t>
      </w:r>
    </w:p>
    <w:p>
      <w:pPr>
        <w:spacing w:line="600" w:lineRule="exact"/>
        <w:ind w:firstLine="640"/>
        <w:rPr>
          <w:rFonts w:eastAsia="仿宋_GB2312"/>
          <w:color w:val="auto"/>
          <w:sz w:val="32"/>
          <w:szCs w:val="32"/>
        </w:rPr>
      </w:pPr>
      <w:bookmarkStart w:id="40" w:name="_Toc15396610"/>
      <w:bookmarkStart w:id="41" w:name="_Toc15377218"/>
      <w:r>
        <w:rPr>
          <w:rFonts w:hint="eastAsia" w:ascii="仿宋" w:hAnsi="仿宋" w:eastAsia="仿宋"/>
          <w:b/>
          <w:color w:val="auto"/>
          <w:sz w:val="32"/>
          <w:szCs w:val="32"/>
        </w:rPr>
        <w:t>国内公务接待支出</w:t>
      </w:r>
      <w:r>
        <w:rPr>
          <w:rFonts w:hint="eastAsia" w:ascii="仿宋" w:hAnsi="仿宋" w:eastAsia="仿宋"/>
          <w:color w:val="auto"/>
          <w:sz w:val="32"/>
          <w:szCs w:val="32"/>
        </w:rPr>
        <w:t>0.56</w:t>
      </w:r>
      <w:r>
        <w:rPr>
          <w:rFonts w:hint="eastAsia" w:ascii="仿宋_GB2312" w:eastAsia="仿宋_GB2312"/>
          <w:color w:val="auto"/>
          <w:sz w:val="32"/>
          <w:szCs w:val="32"/>
        </w:rPr>
        <w:t>万元</w:t>
      </w:r>
      <w:r>
        <w:rPr>
          <w:rFonts w:hint="eastAsia" w:eastAsia="仿宋_GB2312"/>
          <w:color w:val="auto"/>
          <w:sz w:val="32"/>
          <w:szCs w:val="32"/>
        </w:rPr>
        <w:t>,</w:t>
      </w:r>
      <w:r>
        <w:rPr>
          <w:rFonts w:eastAsia="仿宋_GB2312"/>
          <w:color w:val="auto"/>
          <w:sz w:val="32"/>
          <w:szCs w:val="32"/>
        </w:rPr>
        <w:t>主要用于执行公务、开展业务活动开支的用餐费等。国内公务接待</w:t>
      </w:r>
      <w:r>
        <w:rPr>
          <w:rFonts w:hint="eastAsia" w:eastAsia="仿宋_GB2312"/>
          <w:color w:val="auto"/>
          <w:sz w:val="32"/>
          <w:szCs w:val="32"/>
        </w:rPr>
        <w:t>6</w:t>
      </w:r>
      <w:r>
        <w:rPr>
          <w:rFonts w:eastAsia="仿宋_GB2312"/>
          <w:color w:val="auto"/>
          <w:sz w:val="32"/>
          <w:szCs w:val="32"/>
        </w:rPr>
        <w:t>批次，</w:t>
      </w:r>
      <w:r>
        <w:rPr>
          <w:rFonts w:hint="eastAsia" w:eastAsia="仿宋_GB2312"/>
          <w:color w:val="auto"/>
          <w:sz w:val="32"/>
          <w:szCs w:val="32"/>
          <w:lang w:val="en-US" w:eastAsia="zh-CN"/>
        </w:rPr>
        <w:t>47</w:t>
      </w:r>
      <w:r>
        <w:rPr>
          <w:rFonts w:eastAsia="仿宋_GB2312"/>
          <w:color w:val="auto"/>
          <w:sz w:val="32"/>
          <w:szCs w:val="32"/>
        </w:rPr>
        <w:t>人次，共计支出</w:t>
      </w:r>
      <w:r>
        <w:rPr>
          <w:rFonts w:hint="eastAsia" w:eastAsia="仿宋_GB2312"/>
          <w:color w:val="auto"/>
          <w:sz w:val="32"/>
          <w:szCs w:val="32"/>
        </w:rPr>
        <w:t>0.5</w:t>
      </w:r>
      <w:r>
        <w:rPr>
          <w:rFonts w:hint="eastAsia" w:eastAsia="仿宋_GB2312"/>
          <w:color w:val="auto"/>
          <w:sz w:val="32"/>
          <w:szCs w:val="32"/>
          <w:lang w:val="en-US" w:eastAsia="zh-CN"/>
        </w:rPr>
        <w:t>6</w:t>
      </w:r>
      <w:r>
        <w:rPr>
          <w:rFonts w:eastAsia="仿宋_GB2312"/>
          <w:color w:val="auto"/>
          <w:sz w:val="32"/>
          <w:szCs w:val="32"/>
        </w:rPr>
        <w:t>万元，具体内容包括：接待</w:t>
      </w:r>
      <w:r>
        <w:rPr>
          <w:rFonts w:hint="eastAsia" w:eastAsia="仿宋_GB2312"/>
          <w:color w:val="auto"/>
          <w:sz w:val="32"/>
          <w:szCs w:val="32"/>
        </w:rPr>
        <w:t>乐山市民宗委</w:t>
      </w:r>
      <w:r>
        <w:rPr>
          <w:rFonts w:hint="eastAsia" w:eastAsia="仿宋_GB2312"/>
          <w:color w:val="auto"/>
          <w:sz w:val="32"/>
          <w:szCs w:val="32"/>
          <w:lang w:eastAsia="zh-CN"/>
        </w:rPr>
        <w:t>、四川省藏文学校</w:t>
      </w:r>
      <w:r>
        <w:rPr>
          <w:rFonts w:eastAsia="仿宋_GB2312"/>
          <w:color w:val="auto"/>
          <w:sz w:val="32"/>
          <w:szCs w:val="32"/>
        </w:rPr>
        <w:t>等部门来</w:t>
      </w:r>
      <w:r>
        <w:rPr>
          <w:rFonts w:hint="eastAsia" w:eastAsia="仿宋_GB2312"/>
          <w:color w:val="auto"/>
          <w:sz w:val="32"/>
          <w:szCs w:val="32"/>
        </w:rPr>
        <w:t>我所</w:t>
      </w:r>
      <w:r>
        <w:rPr>
          <w:rFonts w:eastAsia="仿宋_GB2312"/>
          <w:color w:val="auto"/>
          <w:sz w:val="32"/>
          <w:szCs w:val="32"/>
        </w:rPr>
        <w:t>调研。</w:t>
      </w:r>
    </w:p>
    <w:p>
      <w:pPr>
        <w:spacing w:line="600" w:lineRule="exact"/>
        <w:ind w:firstLine="643" w:firstLineChars="200"/>
        <w:rPr>
          <w:rFonts w:ascii="黑体" w:eastAsia="黑体"/>
          <w:sz w:val="32"/>
          <w:szCs w:val="32"/>
        </w:rPr>
      </w:pPr>
      <w:r>
        <w:rPr>
          <w:rFonts w:eastAsia="仿宋_GB2312"/>
          <w:b/>
          <w:sz w:val="32"/>
          <w:szCs w:val="32"/>
        </w:rPr>
        <w:t>外事接待支出</w:t>
      </w:r>
      <w:r>
        <w:rPr>
          <w:rFonts w:eastAsia="仿宋_GB2312"/>
          <w:sz w:val="32"/>
          <w:szCs w:val="32"/>
        </w:rPr>
        <w:t>0万元。</w:t>
      </w:r>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4"/>
        </w:numPr>
        <w:spacing w:line="600" w:lineRule="exact"/>
        <w:ind w:firstLine="640"/>
        <w:outlineLvl w:val="1"/>
        <w:rPr>
          <w:rStyle w:val="26"/>
          <w:rFonts w:ascii="黑体" w:hAnsi="黑体" w:eastAsia="黑体"/>
          <w:b w:val="0"/>
        </w:rPr>
      </w:pPr>
      <w:bookmarkStart w:id="42" w:name="_Toc15396611"/>
      <w:bookmarkStart w:id="43" w:name="_Toc15377219"/>
      <w:r>
        <w:rPr>
          <w:rStyle w:val="26"/>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4"/>
        </w:numPr>
        <w:spacing w:line="600" w:lineRule="exact"/>
        <w:ind w:firstLine="640"/>
        <w:outlineLvl w:val="1"/>
        <w:rPr>
          <w:rStyle w:val="26"/>
          <w:rFonts w:ascii="黑体" w:hAnsi="黑体" w:eastAsia="黑体"/>
          <w:b w:val="0"/>
        </w:rPr>
      </w:pPr>
      <w:bookmarkStart w:id="44" w:name="_Toc15377221"/>
      <w:bookmarkStart w:id="45" w:name="_Toc15396612"/>
      <w:r>
        <w:rPr>
          <w:rStyle w:val="26"/>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21年，四川省民族研究所机关运行经费支出0万元。与</w:t>
      </w:r>
      <w:r>
        <w:rPr>
          <w:rFonts w:ascii="仿宋_GB2312" w:eastAsia="仿宋_GB2312"/>
          <w:sz w:val="32"/>
          <w:szCs w:val="32"/>
        </w:rPr>
        <w:t>201</w:t>
      </w:r>
      <w:r>
        <w:rPr>
          <w:rFonts w:hint="eastAsia" w:ascii="仿宋_GB2312" w:eastAsia="仿宋_GB2312"/>
          <w:sz w:val="32"/>
          <w:szCs w:val="32"/>
        </w:rPr>
        <w:t>9年决算数持平。</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21年，四川省民族研究所政府采购支出总额0万元。其中：政府采购货物支出0万元、政府采购工程支出0万元、政府采购服务支出0万元。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截至2021年12月31日，四川省民族研究所共有车辆1辆，其中：主要领导干部用车0辆、机要通信用车0辆、应急保障用车0辆、其他用车1辆。单价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根据预算绩效管理要求，本单位在2021年度预算编制阶段，组织对</w:t>
      </w:r>
      <w:r>
        <w:rPr>
          <w:rFonts w:hint="eastAsia" w:ascii="仿宋_GB2312" w:hAnsi="仿宋_GB2312" w:eastAsia="仿宋_GB2312" w:cs="仿宋_GB2312"/>
          <w:sz w:val="32"/>
          <w:szCs w:val="32"/>
          <w:lang w:eastAsia="zh-CN"/>
        </w:rPr>
        <w:t>科研专项</w:t>
      </w:r>
      <w:r>
        <w:rPr>
          <w:rFonts w:hint="eastAsia" w:ascii="仿宋_GB2312" w:hAnsi="仿宋_GB2312" w:eastAsia="仿宋_GB2312" w:cs="仿宋_GB2312"/>
          <w:sz w:val="32"/>
          <w:szCs w:val="32"/>
        </w:rPr>
        <w:t>经费项目等3个项目开展了预算事前绩效评估，对3个项目编制了绩效目标，预算执行过程中，选取3个项目开展绩效监控，年终执行完毕后，对3个项目</w:t>
      </w:r>
      <w:r>
        <w:rPr>
          <w:rFonts w:hint="eastAsia" w:ascii="仿宋_GB2312" w:hAnsi="仿宋_GB2312" w:eastAsia="仿宋_GB2312" w:cs="仿宋_GB2312"/>
          <w:color w:val="auto"/>
          <w:sz w:val="32"/>
          <w:szCs w:val="32"/>
        </w:rPr>
        <w:t>开展了绩效自评。</w:t>
      </w:r>
    </w:p>
    <w:p>
      <w:pPr>
        <w:spacing w:line="580" w:lineRule="exact"/>
        <w:ind w:firstLine="640" w:firstLineChars="200"/>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本</w:t>
      </w:r>
      <w:r>
        <w:rPr>
          <w:rFonts w:hint="eastAsia"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按要求对20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年整体支出开展绩效自评，从评价情况来看</w:t>
      </w:r>
      <w:r>
        <w:rPr>
          <w:rFonts w:hint="default" w:ascii="Times New Roman" w:hAnsi="Times New Roman" w:eastAsia="仿宋_GB2312" w:cs="Times New Roman"/>
          <w:color w:val="auto"/>
          <w:sz w:val="32"/>
          <w:szCs w:val="32"/>
          <w:lang w:val="en-US" w:eastAsia="zh-CN"/>
        </w:rPr>
        <w:t>绩效目标要素</w:t>
      </w:r>
      <w:r>
        <w:rPr>
          <w:rFonts w:hint="default" w:ascii="Times New Roman" w:hAnsi="Times New Roman" w:eastAsia="仿宋_GB2312" w:cs="Times New Roman"/>
          <w:color w:val="auto"/>
          <w:sz w:val="32"/>
          <w:szCs w:val="32"/>
          <w:lang w:eastAsia="zh-CN"/>
        </w:rPr>
        <w:t>相对完整，指标较为细化、量化；绩效目标实际程度与预期目标的总体偏移度不是太大，实际完成情况还是达到了预期绩效目标；年初预算编制较准确</w:t>
      </w:r>
      <w:r>
        <w:rPr>
          <w:rFonts w:hint="default" w:ascii="Times New Roman" w:hAnsi="Times New Roman" w:eastAsia="仿宋_GB2312" w:cs="Times New Roman"/>
          <w:color w:val="auto"/>
          <w:sz w:val="32"/>
          <w:szCs w:val="32"/>
        </w:rPr>
        <w:t>。本部门还自行组织了</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个项目支出绩效评价，从评价情况来看</w:t>
      </w:r>
      <w:r>
        <w:rPr>
          <w:rFonts w:hint="default" w:ascii="Times New Roman" w:hAnsi="Times New Roman" w:eastAsia="仿宋_GB2312" w:cs="Times New Roman"/>
          <w:color w:val="auto"/>
          <w:sz w:val="32"/>
          <w:szCs w:val="32"/>
          <w:lang w:eastAsia="zh-CN"/>
        </w:rPr>
        <w:t>绩效目标总体实现程度良好，</w:t>
      </w:r>
      <w:r>
        <w:rPr>
          <w:rFonts w:hint="default" w:ascii="Times New Roman" w:hAnsi="Times New Roman" w:eastAsia="仿宋_GB2312" w:cs="Times New Roman"/>
          <w:color w:val="auto"/>
          <w:sz w:val="32"/>
          <w:szCs w:val="32"/>
          <w:lang w:val="en-US" w:eastAsia="zh-CN"/>
        </w:rPr>
        <w:t>充分发挥了财政资金的使用绩效</w:t>
      </w:r>
      <w:r>
        <w:rPr>
          <w:rFonts w:hint="default" w:ascii="Times New Roman" w:hAnsi="Times New Roman" w:eastAsia="仿宋_GB2312" w:cs="Times New Roman"/>
          <w:color w:val="auto"/>
          <w:sz w:val="32"/>
          <w:szCs w:val="32"/>
        </w:rPr>
        <w:t>。</w:t>
      </w:r>
    </w:p>
    <w:p>
      <w:pPr>
        <w:spacing w:line="680" w:lineRule="atLeast"/>
        <w:ind w:firstLine="640" w:firstLineChars="200"/>
        <w:jc w:val="left"/>
        <w:rPr>
          <w:highlight w:val="yellow"/>
        </w:rPr>
      </w:pPr>
      <w:r>
        <w:rPr>
          <w:rFonts w:hint="eastAsia" w:ascii="仿宋_GB2312" w:hAnsi="仿宋_GB2312" w:eastAsia="仿宋_GB2312" w:cs="仿宋_GB2312"/>
          <w:color w:val="auto"/>
          <w:sz w:val="32"/>
          <w:szCs w:val="32"/>
        </w:rPr>
        <w:t>本单位自行组织对</w:t>
      </w:r>
      <w:r>
        <w:rPr>
          <w:rFonts w:hint="eastAsia" w:ascii="仿宋_GB2312" w:hAnsi="宋体" w:eastAsia="仿宋_GB2312"/>
          <w:color w:val="auto"/>
          <w:sz w:val="32"/>
          <w:szCs w:val="32"/>
          <w:lang w:val="zh-CN"/>
        </w:rPr>
        <w:t>民族研究所科研专项经费</w:t>
      </w:r>
      <w:r>
        <w:rPr>
          <w:rFonts w:hint="eastAsia" w:ascii="仿宋_GB2312" w:hAnsi="仿宋_GB2312" w:eastAsia="仿宋_GB2312" w:cs="仿宋_GB2312"/>
          <w:color w:val="auto"/>
          <w:sz w:val="32"/>
          <w:szCs w:val="32"/>
        </w:rPr>
        <w:t>开展了绩效评价，《</w:t>
      </w:r>
      <w:r>
        <w:rPr>
          <w:rFonts w:hint="eastAsia" w:ascii="仿宋_GB2312" w:hAnsi="宋体" w:eastAsia="仿宋_GB2312"/>
          <w:color w:val="auto"/>
          <w:sz w:val="32"/>
          <w:szCs w:val="32"/>
          <w:lang w:val="en-US" w:eastAsia="zh-CN"/>
        </w:rPr>
        <w:t>2021年</w:t>
      </w:r>
      <w:r>
        <w:rPr>
          <w:rFonts w:hint="eastAsia" w:ascii="仿宋_GB2312" w:hAnsi="宋体" w:eastAsia="仿宋_GB2312"/>
          <w:color w:val="auto"/>
          <w:sz w:val="32"/>
          <w:szCs w:val="32"/>
          <w:lang w:val="zh-CN"/>
        </w:rPr>
        <w:t>四川省民族研究所</w:t>
      </w:r>
      <w:r>
        <w:rPr>
          <w:rFonts w:hint="eastAsia" w:ascii="仿宋_GB2312" w:hAnsi="宋体" w:eastAsia="仿宋_GB2312"/>
          <w:color w:val="auto"/>
          <w:sz w:val="32"/>
          <w:szCs w:val="32"/>
          <w:lang w:val="en"/>
        </w:rPr>
        <w:t>科研专项经费项目</w:t>
      </w:r>
      <w:r>
        <w:rPr>
          <w:rFonts w:hint="eastAsia" w:ascii="仿宋_GB2312" w:hAnsi="宋体" w:eastAsia="仿宋_GB2312"/>
          <w:color w:val="auto"/>
          <w:sz w:val="32"/>
          <w:szCs w:val="32"/>
          <w:lang w:val="en" w:eastAsia="zh-CN"/>
        </w:rPr>
        <w:t>支出</w:t>
      </w:r>
      <w:r>
        <w:rPr>
          <w:rFonts w:hint="eastAsia" w:ascii="仿宋_GB2312" w:hAnsi="宋体" w:eastAsia="仿宋_GB2312"/>
          <w:color w:val="auto"/>
          <w:sz w:val="32"/>
          <w:szCs w:val="32"/>
          <w:lang w:val="en"/>
        </w:rPr>
        <w:t>绩</w:t>
      </w:r>
      <w:r>
        <w:rPr>
          <w:rFonts w:hint="eastAsia" w:ascii="仿宋_GB2312" w:hAnsi="宋体" w:eastAsia="仿宋_GB2312"/>
          <w:color w:val="auto"/>
          <w:sz w:val="32"/>
          <w:szCs w:val="32"/>
          <w:lang w:val="en" w:eastAsia="zh-CN"/>
        </w:rPr>
        <w:t>效自评报告</w:t>
      </w:r>
      <w:r>
        <w:rPr>
          <w:rFonts w:hint="eastAsia" w:ascii="仿宋_GB2312" w:hAnsi="仿宋_GB2312" w:eastAsia="仿宋_GB2312" w:cs="仿宋_GB2312"/>
          <w:color w:val="auto"/>
          <w:sz w:val="32"/>
          <w:szCs w:val="32"/>
        </w:rPr>
        <w:t>》见附件</w:t>
      </w:r>
      <w:r>
        <w:rPr>
          <w:rFonts w:hint="eastAsia" w:ascii="仿宋_GB2312" w:hAnsi="仿宋_GB2312" w:eastAsia="仿宋_GB2312" w:cs="仿宋_GB2312"/>
          <w:color w:val="auto"/>
          <w:sz w:val="32"/>
          <w:szCs w:val="32"/>
          <w:lang w:eastAsia="zh-CN"/>
        </w:rPr>
        <w:t>（第四部分）。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highlight w:val="none"/>
        </w:rPr>
      </w:pPr>
      <w:bookmarkStart w:id="51" w:name="_Toc15377226"/>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hint="default" w:ascii="Times New Roman" w:hAnsi="Times New Roman" w:eastAsia="仿宋_GB2312" w:cs="Times New Roman"/>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default" w:ascii="Times New Roman" w:hAnsi="Times New Roman" w:eastAsia="仿宋_GB2312" w:cs="Times New Roman"/>
          <w:color w:val="auto"/>
          <w:sz w:val="32"/>
          <w:szCs w:val="32"/>
          <w:highlight w:val="none"/>
        </w:rPr>
        <w:t>一般公共服务</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rPr>
        <w:t>（类）民族事务（款）民族工作专项（项）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反映用于民族事务管理方面的专项支出。</w:t>
      </w:r>
    </w:p>
    <w:p>
      <w:pPr>
        <w:ind w:firstLine="640" w:firstLineChars="200"/>
        <w:rPr>
          <w:rFonts w:hint="default" w:ascii="Times New Roman" w:hAnsi="Times New Roman" w:eastAsia="仿宋_GB2312" w:cs="Times New Roman"/>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default" w:ascii="Times New Roman" w:hAnsi="Times New Roman" w:eastAsia="仿宋_GB2312" w:cs="Times New Roman"/>
          <w:color w:val="auto"/>
          <w:sz w:val="32"/>
          <w:szCs w:val="32"/>
          <w:highlight w:val="none"/>
        </w:rPr>
        <w:t>一般公共服务</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rPr>
        <w:t>（类）民族事务（款）</w:t>
      </w:r>
      <w:r>
        <w:rPr>
          <w:rFonts w:hint="eastAsia" w:eastAsia="仿宋_GB2312" w:cs="Times New Roman"/>
          <w:color w:val="auto"/>
          <w:sz w:val="32"/>
          <w:szCs w:val="32"/>
          <w:highlight w:val="none"/>
          <w:lang w:eastAsia="zh-CN"/>
        </w:rPr>
        <w:t>事业运行</w:t>
      </w:r>
      <w:r>
        <w:rPr>
          <w:rFonts w:hint="default" w:ascii="Times New Roman" w:hAnsi="Times New Roman" w:eastAsia="仿宋_GB2312" w:cs="Times New Roman"/>
          <w:color w:val="auto"/>
          <w:sz w:val="32"/>
          <w:szCs w:val="32"/>
          <w:highlight w:val="none"/>
        </w:rPr>
        <w:t>（项）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反映</w:t>
      </w:r>
      <w:r>
        <w:rPr>
          <w:rFonts w:hint="eastAsia" w:eastAsia="仿宋_GB2312" w:cs="Times New Roman"/>
          <w:color w:val="auto"/>
          <w:sz w:val="32"/>
          <w:szCs w:val="32"/>
          <w:highlight w:val="none"/>
          <w:lang w:eastAsia="zh-CN"/>
        </w:rPr>
        <w:t>事业单位的基本支出，不包括行政单位（包括实行公务员管理的事业单位）后勤服务中心、医务室等附属事业单位</w:t>
      </w:r>
      <w:r>
        <w:rPr>
          <w:rFonts w:hint="default" w:ascii="Times New Roman" w:hAnsi="Times New Roman" w:eastAsia="仿宋_GB2312" w:cs="Times New Roman"/>
          <w:color w:val="auto"/>
          <w:sz w:val="32"/>
          <w:szCs w:val="32"/>
          <w:highlight w:val="none"/>
        </w:rPr>
        <w:t>。</w:t>
      </w:r>
    </w:p>
    <w:p>
      <w:pPr>
        <w:ind w:firstLine="640" w:firstLineChars="200"/>
        <w:rPr>
          <w:rFonts w:hint="default" w:eastAsia="仿宋_GB2312"/>
          <w:highlight w:val="none"/>
          <w:lang w:val="en-US" w:eastAsia="zh-CN"/>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教育支出</w:t>
      </w:r>
      <w:r>
        <w:rPr>
          <w:rFonts w:hint="default" w:ascii="Times New Roman" w:hAnsi="Times New Roman" w:eastAsia="仿宋_GB2312" w:cs="Times New Roman"/>
          <w:color w:val="auto"/>
          <w:sz w:val="32"/>
          <w:szCs w:val="32"/>
          <w:highlight w:val="none"/>
        </w:rPr>
        <w:t>（类）</w:t>
      </w:r>
      <w:r>
        <w:rPr>
          <w:rFonts w:hint="eastAsia" w:eastAsia="仿宋_GB2312" w:cs="Times New Roman"/>
          <w:color w:val="auto"/>
          <w:sz w:val="32"/>
          <w:szCs w:val="32"/>
          <w:highlight w:val="none"/>
          <w:lang w:eastAsia="zh-CN"/>
        </w:rPr>
        <w:t>进修及培训</w:t>
      </w:r>
      <w:r>
        <w:rPr>
          <w:rFonts w:hint="default" w:ascii="Times New Roman" w:hAnsi="Times New Roman" w:eastAsia="仿宋_GB2312" w:cs="Times New Roman"/>
          <w:color w:val="auto"/>
          <w:sz w:val="32"/>
          <w:szCs w:val="32"/>
          <w:highlight w:val="none"/>
        </w:rPr>
        <w:t>（款）</w:t>
      </w:r>
      <w:r>
        <w:rPr>
          <w:rFonts w:hint="eastAsia" w:eastAsia="仿宋_GB2312" w:cs="Times New Roman"/>
          <w:color w:val="auto"/>
          <w:sz w:val="32"/>
          <w:szCs w:val="32"/>
          <w:highlight w:val="none"/>
          <w:lang w:eastAsia="zh-CN"/>
        </w:rPr>
        <w:t>培训支出</w:t>
      </w:r>
      <w:r>
        <w:rPr>
          <w:rFonts w:hint="default" w:ascii="Times New Roman" w:hAnsi="Times New Roman" w:eastAsia="仿宋_GB2312" w:cs="Times New Roman"/>
          <w:color w:val="auto"/>
          <w:sz w:val="32"/>
          <w:szCs w:val="32"/>
          <w:highlight w:val="none"/>
        </w:rPr>
        <w:t>（项）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反映用于</w:t>
      </w:r>
      <w:r>
        <w:rPr>
          <w:rFonts w:hint="eastAsia" w:eastAsia="仿宋_GB2312" w:cs="Times New Roman"/>
          <w:color w:val="auto"/>
          <w:sz w:val="32"/>
          <w:szCs w:val="32"/>
          <w:highlight w:val="none"/>
          <w:lang w:eastAsia="zh-CN"/>
        </w:rPr>
        <w:t>各部门安排的用于培训的支出，教育部门的师资培训，党校、行政学院等专业干部教育机构的支出，以及退役士兵、转业士官的培训支出，不在本科目反映</w:t>
      </w:r>
      <w:r>
        <w:rPr>
          <w:rFonts w:hint="default" w:ascii="Times New Roman" w:hAnsi="Times New Roman" w:eastAsia="仿宋_GB2312" w:cs="Times New Roman"/>
          <w:color w:val="auto"/>
          <w:sz w:val="32"/>
          <w:szCs w:val="32"/>
          <w:highlight w:val="none"/>
        </w:rPr>
        <w:t>。</w:t>
      </w:r>
    </w:p>
    <w:p>
      <w:pPr>
        <w:ind w:firstLine="640" w:firstLineChars="200"/>
        <w:rPr>
          <w:rFonts w:hint="default" w:ascii="Times New Roman" w:hAnsi="Times New Roman" w:eastAsia="仿宋_GB2312" w:cs="Times New Roman"/>
          <w:color w:val="auto"/>
          <w:sz w:val="32"/>
          <w:szCs w:val="32"/>
          <w:highlight w:val="none"/>
          <w:lang w:eastAsia="zh-CN"/>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default" w:ascii="Times New Roman" w:hAnsi="Times New Roman" w:eastAsia="仿宋_GB2312" w:cs="Times New Roman"/>
          <w:color w:val="auto"/>
          <w:sz w:val="32"/>
          <w:szCs w:val="32"/>
          <w:highlight w:val="none"/>
        </w:rPr>
        <w:t>科学技术</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rPr>
        <w:t>（类）应用研究（款）机构运行（项）</w:t>
      </w:r>
      <w:r>
        <w:rPr>
          <w:rFonts w:hint="default" w:ascii="Times New Roman" w:hAnsi="Times New Roman" w:eastAsia="仿宋_GB2312" w:cs="Times New Roman"/>
          <w:color w:val="auto"/>
          <w:sz w:val="32"/>
          <w:szCs w:val="32"/>
          <w:highlight w:val="none"/>
          <w:lang w:eastAsia="zh-CN"/>
        </w:rPr>
        <w:t>：反映应用研究机构的基本支出。</w:t>
      </w:r>
    </w:p>
    <w:p>
      <w:pPr>
        <w:pStyle w:val="2"/>
        <w:ind w:firstLine="640"/>
        <w:rPr>
          <w:rFonts w:hint="default" w:ascii="Times New Roman" w:hAnsi="Times New Roman" w:eastAsia="仿宋_GB2312" w:cs="Times New Roman"/>
          <w:color w:val="auto"/>
          <w:sz w:val="32"/>
          <w:szCs w:val="32"/>
          <w:highlight w:val="none"/>
          <w:lang w:eastAsia="zh-CN"/>
        </w:rPr>
      </w:pPr>
      <w:r>
        <w:rPr>
          <w:rFonts w:hint="eastAsia" w:ascii="仿宋_GB2312" w:hAnsi="Times New Roman" w:eastAsia="仿宋_GB2312" w:cs="Times New Roman"/>
          <w:color w:val="auto"/>
          <w:kern w:val="2"/>
          <w:sz w:val="32"/>
          <w:szCs w:val="32"/>
          <w:highlight w:val="none"/>
          <w:lang w:val="en-US" w:eastAsia="zh-CN" w:bidi="ar-SA"/>
        </w:rPr>
        <w:t>13.</w:t>
      </w:r>
      <w:r>
        <w:rPr>
          <w:rFonts w:hint="default" w:ascii="Times New Roman" w:hAnsi="Times New Roman" w:eastAsia="仿宋_GB2312" w:cs="Times New Roman"/>
          <w:color w:val="auto"/>
          <w:sz w:val="32"/>
          <w:szCs w:val="32"/>
          <w:highlight w:val="none"/>
        </w:rPr>
        <w:t>科学技术</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rPr>
        <w:t>（类）应用研究（款）社会公益研究（项）</w:t>
      </w:r>
      <w:r>
        <w:rPr>
          <w:rFonts w:hint="default" w:ascii="Times New Roman" w:hAnsi="Times New Roman" w:eastAsia="仿宋_GB2312" w:cs="Times New Roman"/>
          <w:color w:val="auto"/>
          <w:sz w:val="32"/>
          <w:szCs w:val="32"/>
          <w:highlight w:val="none"/>
          <w:lang w:eastAsia="zh-CN"/>
        </w:rPr>
        <w:t>：反映从事卫生、劳动保护、计划生育、环境科学、农业等社会公益专项科研方面的支出。</w:t>
      </w:r>
    </w:p>
    <w:p>
      <w:pPr>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仿宋_GB2312" w:eastAsia="仿宋_GB2312" w:cs="Times New Roman"/>
          <w:color w:val="auto"/>
          <w:kern w:val="2"/>
          <w:sz w:val="32"/>
          <w:szCs w:val="32"/>
          <w:highlight w:val="none"/>
          <w:lang w:val="en-US" w:eastAsia="zh-CN" w:bidi="ar-SA"/>
        </w:rPr>
        <w:t>14</w:t>
      </w:r>
      <w:r>
        <w:rPr>
          <w:rFonts w:hint="eastAsia" w:ascii="仿宋_GB2312"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sz w:val="32"/>
          <w:szCs w:val="32"/>
          <w:highlight w:val="none"/>
        </w:rPr>
        <w:t>科学技术</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rPr>
        <w:t>（类）</w:t>
      </w:r>
      <w:r>
        <w:rPr>
          <w:rFonts w:hint="default" w:ascii="Times New Roman" w:hAnsi="Times New Roman" w:eastAsia="仿宋_GB2312" w:cs="Times New Roman"/>
          <w:color w:val="auto"/>
          <w:sz w:val="32"/>
          <w:szCs w:val="32"/>
          <w:highlight w:val="none"/>
          <w:lang w:eastAsia="zh-CN"/>
        </w:rPr>
        <w:t>其他科学技术支出</w:t>
      </w:r>
      <w:r>
        <w:rPr>
          <w:rFonts w:hint="default" w:ascii="Times New Roman" w:hAnsi="Times New Roman" w:eastAsia="仿宋_GB2312" w:cs="Times New Roman"/>
          <w:color w:val="auto"/>
          <w:sz w:val="32"/>
          <w:szCs w:val="32"/>
          <w:highlight w:val="none"/>
        </w:rPr>
        <w:t>（款）</w:t>
      </w:r>
      <w:r>
        <w:rPr>
          <w:rFonts w:hint="default" w:ascii="Times New Roman" w:hAnsi="Times New Roman" w:eastAsia="仿宋_GB2312" w:cs="Times New Roman"/>
          <w:color w:val="auto"/>
          <w:sz w:val="32"/>
          <w:szCs w:val="32"/>
          <w:highlight w:val="none"/>
          <w:lang w:eastAsia="zh-CN"/>
        </w:rPr>
        <w:t>其他科学技术支出</w:t>
      </w:r>
      <w:r>
        <w:rPr>
          <w:rFonts w:hint="default" w:ascii="Times New Roman" w:hAnsi="Times New Roman" w:eastAsia="仿宋_GB2312" w:cs="Times New Roman"/>
          <w:color w:val="auto"/>
          <w:sz w:val="32"/>
          <w:szCs w:val="32"/>
          <w:highlight w:val="none"/>
        </w:rPr>
        <w:t>（项）</w:t>
      </w:r>
      <w:r>
        <w:rPr>
          <w:rFonts w:hint="default" w:ascii="Times New Roman" w:hAnsi="Times New Roman" w:eastAsia="仿宋_GB2312" w:cs="Times New Roman"/>
          <w:color w:val="auto"/>
          <w:sz w:val="32"/>
          <w:szCs w:val="32"/>
          <w:highlight w:val="none"/>
          <w:lang w:eastAsia="zh-CN"/>
        </w:rPr>
        <w:t>：反映其他科学技术支出中除以上各项外用于科技方面的支出。</w:t>
      </w:r>
    </w:p>
    <w:p>
      <w:pPr>
        <w:ind w:firstLine="640" w:firstLineChars="200"/>
        <w:rPr>
          <w:rFonts w:hint="default" w:ascii="Times New Roman" w:hAnsi="Times New Roman" w:eastAsia="仿宋_GB2312" w:cs="Times New Roman"/>
          <w:b w:val="0"/>
          <w:bCs w:val="0"/>
          <w:color w:val="auto"/>
          <w:sz w:val="32"/>
          <w:szCs w:val="32"/>
          <w:highlight w:val="none"/>
        </w:rPr>
      </w:pPr>
      <w:r>
        <w:rPr>
          <w:rFonts w:hint="eastAsia" w:eastAsia="仿宋_GB2312" w:cs="Times New Roman"/>
          <w:b w:val="0"/>
          <w:bCs w:val="0"/>
          <w:color w:val="auto"/>
          <w:sz w:val="32"/>
          <w:szCs w:val="32"/>
          <w:highlight w:val="none"/>
          <w:lang w:val="en-US" w:eastAsia="zh-CN"/>
        </w:rPr>
        <w:t>15.</w:t>
      </w:r>
      <w:r>
        <w:rPr>
          <w:rFonts w:hint="default" w:ascii="Times New Roman" w:hAnsi="Times New Roman" w:eastAsia="仿宋_GB2312" w:cs="Times New Roman"/>
          <w:b w:val="0"/>
          <w:bCs w:val="0"/>
          <w:color w:val="auto"/>
          <w:sz w:val="32"/>
          <w:szCs w:val="32"/>
          <w:highlight w:val="none"/>
        </w:rPr>
        <w:t>社会保障和就业支出（类）</w:t>
      </w:r>
      <w:r>
        <w:rPr>
          <w:rStyle w:val="15"/>
          <w:rFonts w:hint="default" w:ascii="Times New Roman" w:hAnsi="Times New Roman" w:eastAsia="仿宋_GB2312" w:cs="Times New Roman"/>
          <w:b w:val="0"/>
          <w:bCs w:val="0"/>
          <w:color w:val="auto"/>
          <w:sz w:val="32"/>
          <w:szCs w:val="32"/>
          <w:highlight w:val="none"/>
          <w:lang w:eastAsia="zh-CN"/>
        </w:rPr>
        <w:t>行政事业单位</w:t>
      </w:r>
      <w:r>
        <w:rPr>
          <w:rStyle w:val="15"/>
          <w:rFonts w:hint="default" w:ascii="Times New Roman" w:hAnsi="Times New Roman" w:eastAsia="仿宋_GB2312" w:cs="Times New Roman"/>
          <w:b w:val="0"/>
          <w:bCs w:val="0"/>
          <w:color w:val="auto"/>
          <w:sz w:val="32"/>
          <w:szCs w:val="32"/>
          <w:highlight w:val="none"/>
          <w:lang w:val="en-US" w:eastAsia="zh-CN"/>
        </w:rPr>
        <w:t>养老支出</w:t>
      </w:r>
      <w:r>
        <w:rPr>
          <w:rFonts w:hint="default" w:ascii="Times New Roman" w:hAnsi="Times New Roman" w:eastAsia="仿宋_GB2312" w:cs="Times New Roman"/>
          <w:b w:val="0"/>
          <w:bCs w:val="0"/>
          <w:color w:val="auto"/>
          <w:sz w:val="32"/>
          <w:szCs w:val="32"/>
          <w:highlight w:val="none"/>
        </w:rPr>
        <w:t>（款）事业单位离退休（项）</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反映事业单位开支的离退休经费。</w:t>
      </w:r>
    </w:p>
    <w:p>
      <w:pPr>
        <w:ind w:firstLine="640" w:firstLineChars="200"/>
        <w:rPr>
          <w:rFonts w:hint="default" w:ascii="Times New Roman" w:hAnsi="Times New Roman" w:eastAsia="仿宋_GB2312" w:cs="Times New Roman"/>
          <w:b w:val="0"/>
          <w:bCs w:val="0"/>
          <w:color w:val="auto"/>
          <w:sz w:val="32"/>
          <w:szCs w:val="32"/>
          <w:highlight w:val="none"/>
        </w:rPr>
      </w:pPr>
      <w:r>
        <w:rPr>
          <w:rFonts w:hint="eastAsia" w:ascii="Times New Roman" w:hAnsi="Times New Roman" w:eastAsia="仿宋_GB2312" w:cs="Times New Roman"/>
          <w:b w:val="0"/>
          <w:bCs w:val="0"/>
          <w:color w:val="auto"/>
          <w:sz w:val="32"/>
          <w:szCs w:val="32"/>
          <w:highlight w:val="none"/>
          <w:lang w:val="en-US" w:eastAsia="zh-CN"/>
        </w:rPr>
        <w:t>1</w:t>
      </w:r>
      <w:r>
        <w:rPr>
          <w:rFonts w:hint="eastAsia" w:eastAsia="仿宋_GB2312" w:cs="Times New Roman"/>
          <w:b w:val="0"/>
          <w:bCs w:val="0"/>
          <w:color w:val="auto"/>
          <w:sz w:val="32"/>
          <w:szCs w:val="32"/>
          <w:highlight w:val="none"/>
          <w:lang w:val="en-US" w:eastAsia="zh-CN"/>
        </w:rPr>
        <w:t>6</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社会保障和就业支出（类）</w:t>
      </w:r>
      <w:r>
        <w:rPr>
          <w:rStyle w:val="15"/>
          <w:rFonts w:hint="default" w:ascii="Times New Roman" w:hAnsi="Times New Roman" w:eastAsia="仿宋_GB2312" w:cs="Times New Roman"/>
          <w:b w:val="0"/>
          <w:bCs w:val="0"/>
          <w:color w:val="auto"/>
          <w:sz w:val="32"/>
          <w:szCs w:val="32"/>
          <w:highlight w:val="none"/>
          <w:lang w:eastAsia="zh-CN"/>
        </w:rPr>
        <w:t>行政事业单位</w:t>
      </w:r>
      <w:r>
        <w:rPr>
          <w:rStyle w:val="15"/>
          <w:rFonts w:hint="default" w:ascii="Times New Roman" w:hAnsi="Times New Roman" w:eastAsia="仿宋_GB2312" w:cs="Times New Roman"/>
          <w:b w:val="0"/>
          <w:bCs w:val="0"/>
          <w:color w:val="auto"/>
          <w:sz w:val="32"/>
          <w:szCs w:val="32"/>
          <w:highlight w:val="none"/>
          <w:lang w:val="en-US" w:eastAsia="zh-CN"/>
        </w:rPr>
        <w:t>养老支出</w:t>
      </w:r>
      <w:r>
        <w:rPr>
          <w:rFonts w:hint="default" w:ascii="Times New Roman" w:hAnsi="Times New Roman" w:eastAsia="仿宋_GB2312" w:cs="Times New Roman"/>
          <w:b w:val="0"/>
          <w:bCs w:val="0"/>
          <w:color w:val="auto"/>
          <w:sz w:val="32"/>
          <w:szCs w:val="32"/>
          <w:highlight w:val="none"/>
        </w:rPr>
        <w:t>（款）机关事业单位基本养老保险缴费支出（项）</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反映机关事业单位实施养老保险制度由单位缴纳的基本养老保险费支出。</w:t>
      </w:r>
    </w:p>
    <w:p>
      <w:pPr>
        <w:ind w:firstLine="640" w:firstLineChars="200"/>
        <w:rPr>
          <w:rFonts w:hint="default" w:ascii="Times New Roman" w:hAnsi="Times New Roman" w:eastAsia="仿宋_GB2312" w:cs="Times New Roman"/>
          <w:b w:val="0"/>
          <w:bCs w:val="0"/>
          <w:color w:val="auto"/>
          <w:sz w:val="32"/>
          <w:szCs w:val="32"/>
          <w:highlight w:val="none"/>
        </w:rPr>
      </w:pPr>
      <w:r>
        <w:rPr>
          <w:rFonts w:hint="eastAsia" w:eastAsia="仿宋_GB2312" w:cs="Times New Roman"/>
          <w:b w:val="0"/>
          <w:bCs w:val="0"/>
          <w:color w:val="auto"/>
          <w:sz w:val="32"/>
          <w:szCs w:val="32"/>
          <w:highlight w:val="none"/>
          <w:lang w:val="en-US" w:eastAsia="zh-CN"/>
        </w:rPr>
        <w:t>17.</w:t>
      </w:r>
      <w:r>
        <w:rPr>
          <w:rFonts w:hint="default" w:ascii="Times New Roman" w:hAnsi="Times New Roman" w:eastAsia="仿宋_GB2312" w:cs="Times New Roman"/>
          <w:b w:val="0"/>
          <w:bCs w:val="0"/>
          <w:color w:val="auto"/>
          <w:sz w:val="32"/>
          <w:szCs w:val="32"/>
          <w:highlight w:val="none"/>
        </w:rPr>
        <w:t>社会保障和就业支出（类）</w:t>
      </w:r>
      <w:r>
        <w:rPr>
          <w:rStyle w:val="15"/>
          <w:rFonts w:hint="default" w:ascii="Times New Roman" w:hAnsi="Times New Roman" w:eastAsia="仿宋_GB2312" w:cs="Times New Roman"/>
          <w:b w:val="0"/>
          <w:bCs w:val="0"/>
          <w:color w:val="auto"/>
          <w:sz w:val="32"/>
          <w:szCs w:val="32"/>
          <w:highlight w:val="none"/>
          <w:lang w:eastAsia="zh-CN"/>
        </w:rPr>
        <w:t>行政事业单位</w:t>
      </w:r>
      <w:r>
        <w:rPr>
          <w:rStyle w:val="15"/>
          <w:rFonts w:hint="default" w:ascii="Times New Roman" w:hAnsi="Times New Roman" w:eastAsia="仿宋_GB2312" w:cs="Times New Roman"/>
          <w:b w:val="0"/>
          <w:bCs w:val="0"/>
          <w:color w:val="auto"/>
          <w:sz w:val="32"/>
          <w:szCs w:val="32"/>
          <w:highlight w:val="none"/>
          <w:lang w:val="en-US" w:eastAsia="zh-CN"/>
        </w:rPr>
        <w:t>养老支出</w:t>
      </w:r>
      <w:r>
        <w:rPr>
          <w:rFonts w:hint="default" w:ascii="Times New Roman" w:hAnsi="Times New Roman" w:eastAsia="仿宋_GB2312" w:cs="Times New Roman"/>
          <w:b w:val="0"/>
          <w:bCs w:val="0"/>
          <w:color w:val="auto"/>
          <w:sz w:val="32"/>
          <w:szCs w:val="32"/>
          <w:highlight w:val="none"/>
        </w:rPr>
        <w:t>（款）机关事业单位职业年金缴费支出（项）</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反映机关事业单位实施养老保险制度由单位</w:t>
      </w:r>
      <w:r>
        <w:rPr>
          <w:rFonts w:hint="default" w:ascii="Times New Roman" w:hAnsi="Times New Roman" w:eastAsia="仿宋_GB2312" w:cs="Times New Roman"/>
          <w:b w:val="0"/>
          <w:bCs w:val="0"/>
          <w:color w:val="auto"/>
          <w:sz w:val="32"/>
          <w:szCs w:val="32"/>
          <w:highlight w:val="none"/>
          <w:lang w:eastAsia="zh-CN"/>
        </w:rPr>
        <w:t>实际</w:t>
      </w:r>
      <w:r>
        <w:rPr>
          <w:rFonts w:hint="default" w:ascii="Times New Roman" w:hAnsi="Times New Roman" w:eastAsia="仿宋_GB2312" w:cs="Times New Roman"/>
          <w:b w:val="0"/>
          <w:bCs w:val="0"/>
          <w:color w:val="auto"/>
          <w:sz w:val="32"/>
          <w:szCs w:val="32"/>
          <w:highlight w:val="none"/>
        </w:rPr>
        <w:t>缴纳的职业年金支出。</w:t>
      </w:r>
    </w:p>
    <w:p>
      <w:pPr>
        <w:pStyle w:val="2"/>
        <w:ind w:firstLine="640" w:firstLineChars="200"/>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rPr>
        <w:t>社会保障和就业支出（类）抚恤（款）死亡抚恤（项）</w:t>
      </w:r>
      <w:r>
        <w:rPr>
          <w:rFonts w:hint="default" w:ascii="Times New Roman" w:hAnsi="Times New Roman" w:eastAsia="仿宋_GB2312" w:cs="Times New Roman"/>
          <w:color w:val="auto"/>
          <w:sz w:val="32"/>
          <w:szCs w:val="32"/>
          <w:highlight w:val="none"/>
          <w:lang w:eastAsia="zh-CN"/>
        </w:rPr>
        <w:t>：反映按规定用于</w:t>
      </w:r>
      <w:r>
        <w:rPr>
          <w:rFonts w:hint="eastAsia" w:ascii="Times New Roman" w:hAnsi="Times New Roman" w:eastAsia="仿宋_GB2312" w:cs="Times New Roman"/>
          <w:color w:val="auto"/>
          <w:sz w:val="32"/>
          <w:szCs w:val="32"/>
          <w:highlight w:val="none"/>
          <w:lang w:eastAsia="zh-CN"/>
        </w:rPr>
        <w:t>烈士和牺牲、</w:t>
      </w:r>
      <w:r>
        <w:rPr>
          <w:rFonts w:hint="default" w:ascii="Times New Roman" w:hAnsi="Times New Roman" w:eastAsia="仿宋_GB2312" w:cs="Times New Roman"/>
          <w:color w:val="auto"/>
          <w:sz w:val="32"/>
          <w:szCs w:val="32"/>
          <w:highlight w:val="none"/>
          <w:lang w:eastAsia="zh-CN"/>
        </w:rPr>
        <w:t>病故人员家属的一次性和定期抚恤金以及丧葬补助费。</w:t>
      </w:r>
    </w:p>
    <w:p>
      <w:pPr>
        <w:rPr>
          <w:rFonts w:hint="default"/>
          <w:color w:val="auto"/>
          <w:highlight w:val="none"/>
          <w:lang w:val="en-US" w:eastAsia="zh-CN"/>
        </w:rPr>
      </w:pPr>
      <w:r>
        <w:rPr>
          <w:rFonts w:hint="eastAsia" w:eastAsia="仿宋_GB2312" w:cs="Times New Roman"/>
          <w:color w:val="auto"/>
          <w:sz w:val="32"/>
          <w:szCs w:val="32"/>
          <w:highlight w:val="none"/>
          <w:lang w:val="en-US" w:eastAsia="zh-CN"/>
        </w:rPr>
        <w:t xml:space="preserve">    19.</w:t>
      </w:r>
      <w:r>
        <w:rPr>
          <w:rFonts w:hint="default" w:ascii="Times New Roman" w:hAnsi="Times New Roman" w:eastAsia="仿宋_GB2312" w:cs="Times New Roman"/>
          <w:color w:val="auto"/>
          <w:sz w:val="32"/>
          <w:szCs w:val="32"/>
          <w:highlight w:val="none"/>
        </w:rPr>
        <w:t>社会保障和就业支出（类）其他社会保障和就业支出（款）其他社会保障和就业支出（项）</w:t>
      </w:r>
      <w:r>
        <w:rPr>
          <w:rFonts w:hint="default" w:ascii="Times New Roman" w:hAnsi="Times New Roman" w:eastAsia="仿宋_GB2312" w:cs="Times New Roman"/>
          <w:color w:val="auto"/>
          <w:sz w:val="32"/>
          <w:szCs w:val="32"/>
          <w:highlight w:val="none"/>
          <w:lang w:eastAsia="zh-CN"/>
        </w:rPr>
        <w:t>：反映</w:t>
      </w:r>
      <w:r>
        <w:rPr>
          <w:rFonts w:hint="eastAsia" w:eastAsia="仿宋_GB2312" w:cs="Times New Roman"/>
          <w:color w:val="auto"/>
          <w:sz w:val="32"/>
          <w:szCs w:val="32"/>
          <w:highlight w:val="none"/>
          <w:lang w:eastAsia="zh-CN"/>
        </w:rPr>
        <w:t>上述项目以外</w:t>
      </w:r>
      <w:r>
        <w:rPr>
          <w:rFonts w:hint="default" w:ascii="Times New Roman" w:hAnsi="Times New Roman" w:eastAsia="仿宋_GB2312" w:cs="Times New Roman"/>
          <w:color w:val="auto"/>
          <w:sz w:val="32"/>
          <w:szCs w:val="32"/>
          <w:highlight w:val="none"/>
          <w:lang w:eastAsia="zh-CN"/>
        </w:rPr>
        <w:t>其他用于</w:t>
      </w:r>
      <w:r>
        <w:rPr>
          <w:rFonts w:hint="default" w:ascii="Times New Roman" w:hAnsi="Times New Roman" w:eastAsia="仿宋_GB2312" w:cs="Times New Roman"/>
          <w:color w:val="auto"/>
          <w:sz w:val="32"/>
          <w:szCs w:val="32"/>
          <w:highlight w:val="none"/>
        </w:rPr>
        <w:t>社会保障和就业</w:t>
      </w:r>
      <w:r>
        <w:rPr>
          <w:rFonts w:hint="default" w:ascii="Times New Roman" w:hAnsi="Times New Roman" w:eastAsia="仿宋_GB2312" w:cs="Times New Roman"/>
          <w:color w:val="auto"/>
          <w:sz w:val="32"/>
          <w:szCs w:val="32"/>
          <w:highlight w:val="none"/>
          <w:lang w:eastAsia="zh-CN"/>
        </w:rPr>
        <w:t>方面的支出。</w:t>
      </w:r>
    </w:p>
    <w:p>
      <w:pPr>
        <w:spacing w:line="58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lang w:val="en-US" w:eastAsia="zh-CN"/>
        </w:rPr>
        <w:t>卫生健康</w:t>
      </w:r>
      <w:r>
        <w:rPr>
          <w:rFonts w:hint="default" w:ascii="Times New Roman" w:hAnsi="Times New Roman" w:eastAsia="仿宋_GB2312" w:cs="Times New Roman"/>
          <w:color w:val="auto"/>
          <w:sz w:val="32"/>
          <w:szCs w:val="32"/>
          <w:highlight w:val="none"/>
        </w:rPr>
        <w:t>支出（类）行政事业单位医疗（款）事业单位医疗（项）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反映财政部门集中安排的事业单位基本医疗保险缴费经费，未参加医疗保险的事业单位的公费医疗经费，按国家规定享受离休人员待遇的医疗经费。</w:t>
      </w:r>
    </w:p>
    <w:p>
      <w:pPr>
        <w:spacing w:line="580" w:lineRule="exact"/>
        <w:ind w:firstLine="640" w:firstLineChars="200"/>
        <w:rPr>
          <w:rFonts w:hint="eastAsia"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住房保障支出（类）住房改革支出（款）住房公积金（项）</w:t>
      </w:r>
      <w:r>
        <w:rPr>
          <w:rFonts w:hint="default" w:ascii="Times New Roman" w:hAnsi="Times New Roman" w:eastAsia="仿宋_GB2312" w:cs="Times New Roman"/>
          <w:color w:val="auto"/>
          <w:sz w:val="32"/>
          <w:szCs w:val="32"/>
          <w:highlight w:val="none"/>
          <w:lang w:eastAsia="zh-CN"/>
        </w:rPr>
        <w:t>：反映行政事业单位按人力资源和社会保障部、财政部规定的基本工资和津贴补贴以及规定比例为职工缴纳的住房公积金</w:t>
      </w:r>
      <w:r>
        <w:rPr>
          <w:rFonts w:hint="eastAsia" w:eastAsia="仿宋_GB2312" w:cs="Times New Roman"/>
          <w:color w:val="auto"/>
          <w:sz w:val="32"/>
          <w:szCs w:val="32"/>
          <w:highlight w:val="none"/>
          <w:lang w:eastAsia="zh-CN"/>
        </w:rPr>
        <w:t>。</w:t>
      </w:r>
    </w:p>
    <w:p>
      <w:pPr>
        <w:spacing w:line="580" w:lineRule="exact"/>
        <w:ind w:firstLine="640" w:firstLineChars="200"/>
        <w:rPr>
          <w:rFonts w:hint="eastAsia"/>
          <w:highlight w:val="none"/>
          <w:lang w:val="en-US" w:eastAsia="zh-CN"/>
        </w:rPr>
      </w:pPr>
      <w:r>
        <w:rPr>
          <w:rFonts w:hint="eastAsia"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住房保障支出（类）住房改革支出（款）</w:t>
      </w:r>
      <w:r>
        <w:rPr>
          <w:rFonts w:hint="eastAsia" w:eastAsia="仿宋_GB2312" w:cs="Times New Roman"/>
          <w:color w:val="auto"/>
          <w:sz w:val="32"/>
          <w:szCs w:val="32"/>
          <w:highlight w:val="none"/>
          <w:lang w:eastAsia="zh-CN"/>
        </w:rPr>
        <w:t>购房补贴</w:t>
      </w:r>
      <w:r>
        <w:rPr>
          <w:rFonts w:hint="default" w:ascii="Times New Roman" w:hAnsi="Times New Roman" w:eastAsia="仿宋_GB2312" w:cs="Times New Roman"/>
          <w:color w:val="auto"/>
          <w:sz w:val="32"/>
          <w:szCs w:val="32"/>
          <w:highlight w:val="none"/>
        </w:rPr>
        <w:t>（项）</w:t>
      </w:r>
      <w:r>
        <w:rPr>
          <w:rFonts w:hint="default" w:ascii="Times New Roman" w:hAnsi="Times New Roman" w:eastAsia="仿宋_GB2312" w:cs="Times New Roman"/>
          <w:color w:val="auto"/>
          <w:sz w:val="32"/>
          <w:szCs w:val="32"/>
          <w:highlight w:val="none"/>
          <w:lang w:eastAsia="zh-CN"/>
        </w:rPr>
        <w:t>：反映</w:t>
      </w:r>
      <w:r>
        <w:rPr>
          <w:rFonts w:hint="eastAsia" w:eastAsia="仿宋_GB2312" w:cs="Times New Roman"/>
          <w:color w:val="auto"/>
          <w:sz w:val="32"/>
          <w:szCs w:val="32"/>
          <w:highlight w:val="none"/>
          <w:lang w:eastAsia="zh-CN"/>
        </w:rPr>
        <w:t>按房改政策规定，行政事业单位</w:t>
      </w:r>
      <w:r>
        <w:rPr>
          <w:rFonts w:hint="eastAsia" w:eastAsia="仿宋_GB2312" w:cs="Times New Roman"/>
          <w:color w:val="auto"/>
          <w:sz w:val="32"/>
          <w:szCs w:val="32"/>
          <w:highlight w:val="none"/>
          <w:lang w:val="en-US" w:eastAsia="zh-CN"/>
        </w:rPr>
        <w:t xml:space="preserve"> 向符合条件职工（含离退休人员）、军队（含武警）向转役复员离退休人员发放的用于购买住房的补贴</w:t>
      </w:r>
      <w:r>
        <w:rPr>
          <w:rFonts w:hint="eastAsia" w:eastAsia="仿宋_GB2312" w:cs="Times New Roman"/>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24</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r>
        <w:rPr>
          <w:rFonts w:ascii="宋体"/>
          <w:b/>
          <w:sz w:val="44"/>
          <w:szCs w:val="44"/>
        </w:rPr>
        <w:br w:type="page"/>
      </w:r>
      <w:bookmarkStart w:id="52" w:name="_Toc15396614"/>
      <w:r>
        <w:rPr>
          <w:rFonts w:hint="eastAsia" w:ascii="黑体" w:hAnsi="黑体" w:eastAsia="黑体"/>
          <w:sz w:val="44"/>
          <w:szCs w:val="44"/>
        </w:rPr>
        <w:t>第</w:t>
      </w:r>
      <w:r>
        <w:rPr>
          <w:rStyle w:val="25"/>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53" w:name="_Toc15396618"/>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项目预算</w:t>
            </w:r>
          </w:p>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rPr>
        <w:t>（注：</w:t>
      </w:r>
      <w:r>
        <w:rPr>
          <w:rFonts w:hint="eastAsia" w:ascii="仿宋_GB2312" w:hAnsi="宋体" w:eastAsia="仿宋_GB2312" w:cs="宋体"/>
          <w:color w:val="000000"/>
          <w:kern w:val="0"/>
          <w:sz w:val="32"/>
          <w:szCs w:val="32"/>
          <w:shd w:val="clear" w:color="auto" w:fill="FFFFFF"/>
          <w:lang w:eastAsia="zh-CN"/>
        </w:rPr>
        <w:t>无</w:t>
      </w:r>
      <w:r>
        <w:rPr>
          <w:rFonts w:hint="eastAsia" w:ascii="仿宋_GB2312" w:hAnsi="宋体" w:eastAsia="仿宋_GB2312" w:cs="宋体"/>
          <w:color w:val="000000"/>
          <w:kern w:val="0"/>
          <w:sz w:val="32"/>
          <w:szCs w:val="32"/>
          <w:shd w:val="clear" w:color="auto" w:fill="FFFFFF"/>
        </w:rPr>
        <w:t>100万元以上（含）特定目标类部门预算项目）</w:t>
      </w:r>
    </w:p>
    <w:p>
      <w:pPr>
        <w:spacing w:line="600" w:lineRule="exact"/>
        <w:jc w:val="center"/>
        <w:outlineLvl w:val="0"/>
        <w:rPr>
          <w:rFonts w:ascii="黑体" w:hAnsi="黑体" w:eastAsia="黑体"/>
          <w:sz w:val="44"/>
          <w:szCs w:val="44"/>
        </w:rPr>
      </w:pPr>
    </w:p>
    <w:p>
      <w:pPr>
        <w:spacing w:line="680" w:lineRule="atLeast"/>
        <w:jc w:val="center"/>
        <w:rPr>
          <w:rFonts w:hint="eastAsia" w:ascii="宋体" w:hAnsi="宋体" w:cs="宋体"/>
          <w:b/>
          <w:bCs/>
          <w:sz w:val="44"/>
          <w:szCs w:val="44"/>
        </w:rPr>
      </w:pPr>
    </w:p>
    <w:p>
      <w:pPr>
        <w:spacing w:line="680" w:lineRule="atLeast"/>
        <w:jc w:val="center"/>
        <w:rPr>
          <w:rFonts w:hint="eastAsia" w:ascii="宋体" w:hAnsi="宋体" w:cs="宋体"/>
          <w:b/>
          <w:bCs/>
          <w:sz w:val="44"/>
          <w:szCs w:val="44"/>
        </w:rPr>
      </w:pPr>
    </w:p>
    <w:p>
      <w:pPr>
        <w:spacing w:line="680" w:lineRule="atLeast"/>
        <w:jc w:val="center"/>
        <w:rPr>
          <w:rFonts w:hint="eastAsia" w:ascii="宋体" w:hAnsi="宋体" w:cs="宋体"/>
          <w:b/>
          <w:bCs/>
          <w:sz w:val="44"/>
          <w:szCs w:val="44"/>
        </w:rPr>
      </w:pPr>
      <w:r>
        <w:rPr>
          <w:rFonts w:hint="eastAsia" w:ascii="宋体" w:hAnsi="宋体" w:cs="宋体"/>
          <w:b/>
          <w:bCs/>
          <w:sz w:val="44"/>
          <w:szCs w:val="44"/>
          <w:lang w:val="en-US" w:eastAsia="zh-CN"/>
        </w:rPr>
        <w:t>2021年</w:t>
      </w:r>
      <w:r>
        <w:rPr>
          <w:rFonts w:hint="eastAsia" w:ascii="宋体" w:hAnsi="宋体" w:cs="宋体"/>
          <w:b/>
          <w:bCs/>
          <w:sz w:val="44"/>
          <w:szCs w:val="44"/>
        </w:rPr>
        <w:t>四川省民族研究所</w:t>
      </w:r>
    </w:p>
    <w:p>
      <w:pPr>
        <w:spacing w:line="680" w:lineRule="atLeast"/>
        <w:jc w:val="center"/>
        <w:rPr>
          <w:rFonts w:hint="eastAsia" w:ascii="宋体" w:hAnsi="宋体" w:cs="宋体"/>
          <w:b/>
          <w:bCs/>
          <w:sz w:val="44"/>
          <w:szCs w:val="44"/>
          <w:lang w:val="en"/>
        </w:rPr>
      </w:pPr>
      <w:r>
        <w:rPr>
          <w:rFonts w:hint="eastAsia" w:ascii="宋体" w:hAnsi="宋体" w:cs="宋体"/>
          <w:b/>
          <w:bCs/>
          <w:sz w:val="44"/>
          <w:szCs w:val="44"/>
          <w:lang w:val="en"/>
        </w:rPr>
        <w:t>科研专项经费项目</w:t>
      </w:r>
      <w:r>
        <w:rPr>
          <w:rFonts w:hint="eastAsia" w:ascii="宋体" w:hAnsi="宋体" w:cs="宋体"/>
          <w:b/>
          <w:bCs/>
          <w:sz w:val="44"/>
          <w:szCs w:val="44"/>
          <w:lang w:val="en" w:eastAsia="zh-CN"/>
        </w:rPr>
        <w:t>支出</w:t>
      </w:r>
      <w:r>
        <w:rPr>
          <w:rFonts w:hint="eastAsia" w:ascii="宋体" w:hAnsi="宋体" w:cs="宋体"/>
          <w:b/>
          <w:bCs/>
          <w:sz w:val="44"/>
          <w:szCs w:val="44"/>
          <w:lang w:val="en"/>
        </w:rPr>
        <w:t>绩效</w:t>
      </w:r>
      <w:r>
        <w:rPr>
          <w:rFonts w:hint="eastAsia" w:ascii="宋体" w:hAnsi="宋体" w:cs="宋体"/>
          <w:b/>
          <w:bCs/>
          <w:sz w:val="44"/>
          <w:szCs w:val="44"/>
          <w:lang w:val="en" w:eastAsia="zh-CN"/>
        </w:rPr>
        <w:t>自评</w:t>
      </w:r>
      <w:r>
        <w:rPr>
          <w:rFonts w:hint="eastAsia" w:ascii="宋体" w:hAnsi="宋体" w:cs="宋体"/>
          <w:b/>
          <w:bCs/>
          <w:sz w:val="44"/>
          <w:szCs w:val="44"/>
          <w:lang w:val="en"/>
        </w:rPr>
        <w:t>报告</w:t>
      </w:r>
    </w:p>
    <w:p>
      <w:pPr>
        <w:pStyle w:val="2"/>
        <w:ind w:left="840" w:hanging="420"/>
        <w:rPr>
          <w:rFonts w:hint="eastAsia"/>
        </w:rPr>
      </w:pPr>
    </w:p>
    <w:p>
      <w:pPr>
        <w:numPr>
          <w:ilvl w:val="0"/>
          <w:numId w:val="6"/>
        </w:numPr>
        <w:spacing w:before="156" w:beforeLines="50" w:after="156" w:afterLines="50"/>
        <w:rPr>
          <w:rFonts w:hint="eastAsia" w:ascii="仿宋_GB2312" w:hAnsi="仿宋" w:eastAsia="仿宋_GB2312"/>
          <w:b/>
          <w:bCs/>
          <w:sz w:val="32"/>
          <w:szCs w:val="32"/>
        </w:rPr>
      </w:pPr>
      <w:r>
        <w:rPr>
          <w:rFonts w:hint="eastAsia" w:ascii="仿宋_GB2312" w:hAnsi="仿宋" w:eastAsia="仿宋_GB2312"/>
          <w:b/>
          <w:bCs/>
          <w:sz w:val="32"/>
          <w:szCs w:val="32"/>
        </w:rPr>
        <w:t>项目基本情况</w:t>
      </w:r>
    </w:p>
    <w:p>
      <w:pPr>
        <w:pStyle w:val="2"/>
        <w:spacing w:line="600" w:lineRule="exact"/>
        <w:ind w:left="0" w:leftChars="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四川省民族研究</w:t>
      </w:r>
      <w:r>
        <w:rPr>
          <w:rFonts w:hint="eastAsia" w:ascii="仿宋_GB2312" w:hAnsi="仿宋_GB2312" w:eastAsia="仿宋_GB2312" w:cs="仿宋_GB2312"/>
          <w:color w:val="000000"/>
          <w:kern w:val="0"/>
          <w:sz w:val="32"/>
          <w:szCs w:val="32"/>
          <w:lang w:eastAsia="zh-CN"/>
        </w:rPr>
        <w:t>所</w:t>
      </w:r>
      <w:r>
        <w:rPr>
          <w:rFonts w:hint="eastAsia" w:ascii="仿宋_GB2312" w:hAnsi="仿宋_GB2312" w:eastAsia="仿宋_GB2312" w:cs="仿宋_GB2312"/>
          <w:color w:val="000000"/>
          <w:kern w:val="0"/>
          <w:sz w:val="32"/>
          <w:szCs w:val="32"/>
        </w:rPr>
        <w:t>隶属于四川省民族宗教委，主要职能是从事民族宗教基础研究，为弘扬民族文化、繁荣哲学社会科学做贡献；从事四川民族地区和宗教领域热点、难点问题应用研究，为省委省政府及省民族宗教委提供决策参考，充分发挥智库作用。</w:t>
      </w:r>
    </w:p>
    <w:p>
      <w:pPr>
        <w:pStyle w:val="2"/>
        <w:spacing w:line="600" w:lineRule="exact"/>
        <w:ind w:left="0" w:leftChars="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设置科研专项经费</w:t>
      </w:r>
      <w:r>
        <w:rPr>
          <w:rFonts w:hint="eastAsia" w:ascii="仿宋_GB2312" w:hAnsi="仿宋_GB2312" w:eastAsia="仿宋_GB2312" w:cs="仿宋_GB2312"/>
          <w:color w:val="000000"/>
          <w:kern w:val="0"/>
          <w:sz w:val="32"/>
          <w:szCs w:val="32"/>
          <w:lang w:eastAsia="zh-CN"/>
        </w:rPr>
        <w:t>是以铸牢中华民族共同体意识为主线</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推进</w:t>
      </w:r>
      <w:r>
        <w:rPr>
          <w:rFonts w:hint="eastAsia" w:ascii="仿宋_GB2312" w:hAnsi="仿宋_GB2312" w:eastAsia="仿宋_GB2312" w:cs="仿宋_GB2312"/>
          <w:color w:val="000000"/>
          <w:kern w:val="0"/>
          <w:sz w:val="32"/>
          <w:szCs w:val="32"/>
        </w:rPr>
        <w:t>民族地区经济发展</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宗教和谐</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社会稳定</w:t>
      </w:r>
      <w:r>
        <w:rPr>
          <w:rFonts w:hint="eastAsia" w:ascii="仿宋_GB2312" w:hAnsi="仿宋_GB2312" w:eastAsia="仿宋_GB2312" w:cs="仿宋_GB2312"/>
          <w:color w:val="000000"/>
          <w:kern w:val="0"/>
          <w:sz w:val="32"/>
          <w:szCs w:val="32"/>
          <w:lang w:eastAsia="zh-CN"/>
        </w:rPr>
        <w:t>开展调查研究，为</w:t>
      </w:r>
      <w:r>
        <w:rPr>
          <w:rFonts w:hint="eastAsia" w:ascii="仿宋_GB2312" w:hAnsi="仿宋_GB2312" w:eastAsia="仿宋_GB2312" w:cs="仿宋_GB2312"/>
          <w:color w:val="000000"/>
          <w:kern w:val="0"/>
          <w:sz w:val="32"/>
          <w:szCs w:val="32"/>
        </w:rPr>
        <w:t>推动治蜀兴川再上新台阶献计献策的</w:t>
      </w:r>
      <w:r>
        <w:rPr>
          <w:rFonts w:hint="eastAsia" w:ascii="仿宋_GB2312" w:hAnsi="仿宋_GB2312" w:eastAsia="仿宋_GB2312" w:cs="仿宋_GB2312"/>
          <w:color w:val="000000"/>
          <w:kern w:val="0"/>
          <w:sz w:val="32"/>
          <w:szCs w:val="32"/>
          <w:lang w:eastAsia="zh-CN"/>
        </w:rPr>
        <w:t>重要举措</w:t>
      </w:r>
      <w:r>
        <w:rPr>
          <w:rFonts w:hint="eastAsia" w:ascii="仿宋_GB2312" w:hAnsi="仿宋_GB2312" w:eastAsia="仿宋_GB2312" w:cs="仿宋_GB2312"/>
          <w:color w:val="000000"/>
          <w:kern w:val="0"/>
          <w:sz w:val="32"/>
          <w:szCs w:val="32"/>
        </w:rPr>
        <w:t>。</w:t>
      </w:r>
    </w:p>
    <w:p>
      <w:pPr>
        <w:numPr>
          <w:ilvl w:val="0"/>
          <w:numId w:val="6"/>
        </w:numPr>
        <w:spacing w:before="156" w:beforeLines="50" w:after="156" w:afterLines="50"/>
        <w:rPr>
          <w:rFonts w:hint="eastAsia" w:ascii="仿宋_GB2312" w:hAnsi="仿宋" w:eastAsia="仿宋_GB2312"/>
          <w:b/>
          <w:bCs/>
          <w:sz w:val="32"/>
          <w:szCs w:val="32"/>
        </w:rPr>
      </w:pPr>
      <w:r>
        <w:rPr>
          <w:rFonts w:hint="eastAsia" w:ascii="仿宋_GB2312" w:hAnsi="仿宋" w:eastAsia="仿宋_GB2312"/>
          <w:b/>
          <w:bCs/>
          <w:sz w:val="32"/>
          <w:szCs w:val="32"/>
        </w:rPr>
        <w:t>项目实施的相关性</w:t>
      </w:r>
    </w:p>
    <w:p>
      <w:pPr>
        <w:pStyle w:val="2"/>
        <w:spacing w:line="600" w:lineRule="exact"/>
        <w:ind w:left="0" w:leftChars="0" w:firstLine="640" w:firstLineChars="200"/>
        <w:rPr>
          <w:rFonts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rPr>
        <w:t>多年来，我所始终秉承“为民族宗教工作服务、为民族地区服务、为少数民族服务、为繁荣哲学社会科学服务”的宗旨，充分发挥我所优势，开展广泛的基础研究，挖掘和弘扬民族文化，促进民族地区经济发展和社会稳定</w:t>
      </w:r>
      <w:r>
        <w:rPr>
          <w:rFonts w:ascii="仿宋_GB2312" w:hAnsi="仿宋_GB2312" w:eastAsia="仿宋_GB2312" w:cs="仿宋_GB2312"/>
          <w:color w:val="000000"/>
          <w:kern w:val="0"/>
          <w:sz w:val="32"/>
          <w:szCs w:val="32"/>
          <w:lang w:val="en"/>
        </w:rPr>
        <w:t>;</w:t>
      </w:r>
      <w:r>
        <w:rPr>
          <w:rFonts w:hint="eastAsia" w:ascii="仿宋_GB2312" w:hAnsi="仿宋_GB2312" w:eastAsia="仿宋_GB2312" w:cs="仿宋_GB2312"/>
          <w:color w:val="000000"/>
          <w:kern w:val="0"/>
          <w:sz w:val="32"/>
          <w:szCs w:val="32"/>
        </w:rPr>
        <w:t>以铸牢中华民族共同体意识为主线展开研究工作，围绕省委省政府决策部署和委党组中心工作进行政务调研，努力为推动四川民族地区跨越式发展，民族团结、宗教和谐献计献策。</w:t>
      </w:r>
    </w:p>
    <w:p>
      <w:pPr>
        <w:numPr>
          <w:ilvl w:val="0"/>
          <w:numId w:val="0"/>
        </w:numPr>
        <w:spacing w:before="156" w:beforeLines="50" w:after="156" w:afterLines="50"/>
        <w:rPr>
          <w:rFonts w:hint="eastAsia" w:ascii="仿宋_GB2312" w:hAnsi="仿宋" w:eastAsia="仿宋_GB2312"/>
          <w:b/>
          <w:bCs/>
          <w:sz w:val="32"/>
          <w:szCs w:val="32"/>
        </w:rPr>
      </w:pPr>
      <w:r>
        <w:rPr>
          <w:rFonts w:hint="eastAsia" w:ascii="仿宋_GB2312" w:hAnsi="仿宋" w:eastAsia="仿宋_GB2312"/>
          <w:b/>
          <w:bCs/>
          <w:sz w:val="32"/>
          <w:szCs w:val="32"/>
          <w:lang w:eastAsia="zh-CN"/>
        </w:rPr>
        <w:t>三、</w:t>
      </w:r>
      <w:r>
        <w:rPr>
          <w:rFonts w:hint="eastAsia" w:ascii="仿宋_GB2312" w:hAnsi="仿宋" w:eastAsia="仿宋_GB2312"/>
          <w:b/>
          <w:bCs/>
          <w:sz w:val="32"/>
          <w:szCs w:val="32"/>
        </w:rPr>
        <w:t>项目实施</w:t>
      </w:r>
      <w:r>
        <w:rPr>
          <w:rFonts w:hint="eastAsia" w:ascii="仿宋_GB2312" w:hAnsi="仿宋" w:eastAsia="仿宋_GB2312"/>
          <w:b/>
          <w:bCs/>
          <w:sz w:val="32"/>
          <w:szCs w:val="32"/>
          <w:lang w:eastAsia="zh-CN"/>
        </w:rPr>
        <w:t>的</w:t>
      </w:r>
      <w:r>
        <w:rPr>
          <w:rFonts w:hint="eastAsia" w:ascii="仿宋_GB2312" w:hAnsi="仿宋" w:eastAsia="仿宋_GB2312"/>
          <w:b/>
          <w:bCs/>
          <w:sz w:val="32"/>
          <w:szCs w:val="32"/>
        </w:rPr>
        <w:t>有效性</w:t>
      </w:r>
    </w:p>
    <w:p>
      <w:pPr>
        <w:spacing w:line="600" w:lineRule="exact"/>
        <w:ind w:firstLine="640" w:firstLineChars="200"/>
        <w:rPr>
          <w:rFonts w:hint="eastAsia"/>
        </w:rPr>
      </w:pPr>
      <w:r>
        <w:rPr>
          <w:rFonts w:hint="eastAsia" w:ascii="仿宋_GB2312" w:hAnsi="仿宋_GB2312" w:eastAsia="仿宋_GB2312" w:cs="仿宋_GB2312"/>
          <w:sz w:val="32"/>
          <w:szCs w:val="32"/>
        </w:rPr>
        <w:t>我所为财政全额拨款的公益一类事业单位，设有三个研究室、图书资料室和办公室。此外，四川省“格萨尔”领导小组办公室、中国西南民族研究学会办公室设在我所，四川省民族研究会挂靠在我所。</w:t>
      </w:r>
      <w:r>
        <w:rPr>
          <w:rFonts w:hint="eastAsia" w:ascii="仿宋_GB2312" w:hAnsi="仿宋_GB2312" w:eastAsia="仿宋_GB2312" w:cs="仿宋_GB2312"/>
          <w:color w:val="000000"/>
          <w:kern w:val="0"/>
          <w:sz w:val="32"/>
          <w:szCs w:val="32"/>
        </w:rPr>
        <w:t>我所在第三批国家民委民族理论政策研究基地评估中被评为“良好”，从2011年基地设立开始，已连续三轮成功申请成为国家民委民族理论政策研究基地建设单位。</w:t>
      </w:r>
      <w:r>
        <w:rPr>
          <w:rFonts w:hint="eastAsia" w:ascii="仿宋_GB2312" w:hAnsi="仿宋_GB2312" w:eastAsia="仿宋_GB2312" w:cs="仿宋_GB2312"/>
          <w:sz w:val="32"/>
          <w:szCs w:val="32"/>
        </w:rPr>
        <w:t>目前，有在职人员</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人，其中</w:t>
      </w:r>
      <w:r>
        <w:rPr>
          <w:rFonts w:hint="eastAsia" w:ascii="仿宋_GB2312" w:hAnsi="仿宋_GB2312" w:eastAsia="仿宋_GB2312" w:cs="仿宋_GB2312"/>
          <w:sz w:val="32"/>
          <w:szCs w:val="32"/>
          <w:lang w:eastAsia="zh-CN"/>
        </w:rPr>
        <w:t>专业技术</w:t>
      </w:r>
      <w:r>
        <w:rPr>
          <w:rFonts w:hint="eastAsia" w:ascii="仿宋_GB2312" w:hAnsi="仿宋_GB2312" w:eastAsia="仿宋_GB2312" w:cs="仿宋_GB2312"/>
          <w:sz w:val="32"/>
          <w:szCs w:val="32"/>
        </w:rPr>
        <w:t>人员2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人，研究领域为民族学、人类学、民族史学、中国哲学、民俗学、少数民族语言文字、经济学等。管理制度建设方面，我所于2020年</w:t>
      </w:r>
      <w:r>
        <w:rPr>
          <w:rFonts w:hint="eastAsia" w:ascii="仿宋_GB2312" w:hAnsi="仿宋_GB2312" w:eastAsia="仿宋_GB2312" w:cs="仿宋_GB2312"/>
          <w:sz w:val="32"/>
          <w:szCs w:val="32"/>
          <w:lang w:val="zh-TW"/>
        </w:rPr>
        <w:t>起草并完善</w:t>
      </w:r>
      <w:r>
        <w:rPr>
          <w:rFonts w:hint="eastAsia" w:ascii="仿宋_GB2312" w:hAnsi="仿宋_GB2312" w:eastAsia="仿宋_GB2312" w:cs="仿宋_GB2312"/>
          <w:sz w:val="32"/>
          <w:szCs w:val="32"/>
          <w:lang w:val="zh-TW" w:eastAsia="zh-TW"/>
        </w:rPr>
        <w:t>《四川省民族宗教事务委员会科研项目管理暂行办法》《四川省民族宗教事务委员会科研项目资金管理办法》</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修订完善《四川省民族研究所财务管理实施办法》《四川省民族研究所项目资金管理暂行办法》《四川省民族研究所项目资金田野调查支出经费报销办法》。</w:t>
      </w:r>
    </w:p>
    <w:p>
      <w:pPr>
        <w:numPr>
          <w:ilvl w:val="0"/>
          <w:numId w:val="0"/>
        </w:numPr>
        <w:spacing w:before="156" w:beforeLines="50" w:after="156" w:afterLines="50"/>
        <w:rPr>
          <w:rFonts w:hint="eastAsia" w:ascii="仿宋_GB2312" w:hAnsi="仿宋" w:eastAsia="仿宋_GB2312"/>
          <w:b/>
          <w:bCs/>
          <w:sz w:val="32"/>
          <w:szCs w:val="32"/>
        </w:rPr>
      </w:pPr>
      <w:r>
        <w:rPr>
          <w:rFonts w:hint="eastAsia" w:ascii="仿宋_GB2312" w:hAnsi="仿宋" w:eastAsia="仿宋_GB2312"/>
          <w:b/>
          <w:bCs/>
          <w:sz w:val="32"/>
          <w:szCs w:val="32"/>
          <w:lang w:eastAsia="zh-CN"/>
        </w:rPr>
        <w:t>四、</w:t>
      </w:r>
      <w:r>
        <w:rPr>
          <w:rFonts w:hint="eastAsia" w:ascii="仿宋_GB2312" w:hAnsi="仿宋" w:eastAsia="仿宋_GB2312"/>
          <w:b/>
          <w:bCs/>
          <w:sz w:val="32"/>
          <w:szCs w:val="32"/>
        </w:rPr>
        <w:t>项目绩效目标</w:t>
      </w:r>
      <w:r>
        <w:rPr>
          <w:rFonts w:hint="eastAsia" w:ascii="仿宋_GB2312" w:hAnsi="仿宋" w:eastAsia="仿宋_GB2312"/>
          <w:b/>
          <w:bCs/>
          <w:sz w:val="32"/>
          <w:szCs w:val="32"/>
          <w:lang w:eastAsia="zh-CN"/>
        </w:rPr>
        <w:t>及完成情况</w:t>
      </w:r>
    </w:p>
    <w:p>
      <w:pPr>
        <w:pStyle w:val="2"/>
        <w:spacing w:line="600" w:lineRule="exact"/>
        <w:ind w:left="0" w:leftChars="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kern w:val="0"/>
          <w:sz w:val="32"/>
          <w:szCs w:val="32"/>
          <w:lang w:val="en-US" w:eastAsia="zh-CN"/>
        </w:rPr>
        <w:t>2021年，我所</w:t>
      </w:r>
      <w:r>
        <w:rPr>
          <w:rFonts w:hint="eastAsia" w:ascii="仿宋_GB2312" w:hAnsi="仿宋_GB2312" w:eastAsia="仿宋_GB2312" w:cs="仿宋_GB2312"/>
          <w:color w:val="000000"/>
          <w:kern w:val="0"/>
          <w:sz w:val="32"/>
          <w:szCs w:val="32"/>
        </w:rPr>
        <w:t>开展民族宗教调研10余次</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完成调研报告7篇，</w:t>
      </w:r>
      <w:r>
        <w:rPr>
          <w:rFonts w:hint="eastAsia" w:ascii="仿宋_GB2312" w:hAnsi="仿宋_GB2312" w:eastAsia="仿宋_GB2312" w:cs="仿宋_GB2312"/>
          <w:color w:val="auto"/>
          <w:kern w:val="0"/>
          <w:sz w:val="32"/>
          <w:szCs w:val="32"/>
        </w:rPr>
        <w:t>相关论文成果</w:t>
      </w:r>
      <w:r>
        <w:rPr>
          <w:rFonts w:hint="default" w:ascii="仿宋_GB2312" w:hAnsi="仿宋_GB2312" w:eastAsia="仿宋_GB2312" w:cs="仿宋_GB2312"/>
          <w:color w:val="auto"/>
          <w:kern w:val="0"/>
          <w:sz w:val="32"/>
          <w:szCs w:val="32"/>
          <w:lang w:val="en"/>
        </w:rPr>
        <w:t>3</w:t>
      </w:r>
      <w:r>
        <w:rPr>
          <w:rFonts w:hint="eastAsia" w:ascii="仿宋_GB2312" w:hAnsi="仿宋_GB2312" w:eastAsia="仿宋_GB2312" w:cs="仿宋_GB2312"/>
          <w:color w:val="auto"/>
          <w:kern w:val="0"/>
          <w:sz w:val="32"/>
          <w:szCs w:val="32"/>
        </w:rPr>
        <w:t>篇</w:t>
      </w:r>
      <w:r>
        <w:rPr>
          <w:rFonts w:hint="eastAsia" w:ascii="仿宋_GB2312" w:hAnsi="仿宋_GB2312" w:eastAsia="仿宋_GB2312" w:cs="仿宋_GB2312"/>
          <w:color w:val="auto"/>
          <w:kern w:val="0"/>
          <w:sz w:val="32"/>
          <w:szCs w:val="32"/>
          <w:lang w:eastAsia="zh-CN"/>
        </w:rPr>
        <w:t>，完成既定目标任务</w:t>
      </w:r>
      <w:r>
        <w:rPr>
          <w:rFonts w:hint="eastAsia" w:ascii="仿宋_GB2312" w:hAnsi="仿宋_GB2312" w:eastAsia="仿宋_GB2312" w:cs="仿宋_GB2312"/>
          <w:color w:val="000000"/>
          <w:kern w:val="0"/>
          <w:sz w:val="32"/>
          <w:szCs w:val="32"/>
          <w:lang w:eastAsia="zh-CN"/>
        </w:rPr>
        <w:t>，达到</w:t>
      </w:r>
      <w:r>
        <w:rPr>
          <w:rFonts w:hint="eastAsia" w:ascii="仿宋_GB2312" w:hAnsi="仿宋_GB2312" w:eastAsia="仿宋_GB2312" w:cs="仿宋_GB2312"/>
          <w:color w:val="000000"/>
          <w:kern w:val="0"/>
          <w:sz w:val="32"/>
          <w:szCs w:val="32"/>
        </w:rPr>
        <w:t>项目效果指标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推动</w:t>
      </w:r>
      <w:r>
        <w:rPr>
          <w:rFonts w:hint="eastAsia" w:ascii="仿宋_GB2312" w:hAnsi="仿宋_GB2312" w:eastAsia="仿宋_GB2312" w:cs="仿宋_GB2312"/>
          <w:color w:val="000000"/>
          <w:kern w:val="0"/>
          <w:sz w:val="32"/>
          <w:szCs w:val="32"/>
          <w:lang w:eastAsia="zh-CN"/>
        </w:rPr>
        <w:t>了</w:t>
      </w:r>
      <w:r>
        <w:rPr>
          <w:rFonts w:hint="eastAsia" w:ascii="仿宋_GB2312" w:hAnsi="仿宋_GB2312" w:eastAsia="仿宋_GB2312" w:cs="仿宋_GB2312"/>
          <w:color w:val="000000"/>
          <w:kern w:val="0"/>
          <w:sz w:val="32"/>
          <w:szCs w:val="32"/>
        </w:rPr>
        <w:t>民族宗教工作的开展，促进民族团结、宗教和谐</w:t>
      </w:r>
      <w:r>
        <w:rPr>
          <w:rFonts w:hint="eastAsia" w:ascii="仿宋_GB2312" w:hAnsi="仿宋_GB2312" w:eastAsia="仿宋_GB2312" w:cs="仿宋_GB2312"/>
          <w:color w:val="auto"/>
          <w:kern w:val="0"/>
          <w:sz w:val="32"/>
          <w:szCs w:val="32"/>
        </w:rPr>
        <w:t>、民族地区经济发展和社会稳定。</w:t>
      </w:r>
    </w:p>
    <w:p>
      <w:pPr>
        <w:pStyle w:val="2"/>
        <w:spacing w:line="600" w:lineRule="exact"/>
        <w:ind w:left="0" w:leftChars="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可持续性指标：预计项目影响年限≧20年，成果使用年限≧10年。</w:t>
      </w:r>
    </w:p>
    <w:p>
      <w:pPr>
        <w:numPr>
          <w:ilvl w:val="0"/>
          <w:numId w:val="0"/>
        </w:numPr>
        <w:rPr>
          <w:rFonts w:hint="eastAsia" w:ascii="仿宋_GB2312" w:hAnsi="仿宋" w:eastAsia="仿宋_GB2312"/>
          <w:b/>
          <w:bCs/>
          <w:color w:val="auto"/>
          <w:sz w:val="32"/>
          <w:szCs w:val="32"/>
        </w:rPr>
      </w:pPr>
      <w:r>
        <w:rPr>
          <w:rFonts w:hint="eastAsia" w:ascii="仿宋_GB2312" w:hAnsi="仿宋" w:eastAsia="仿宋_GB2312"/>
          <w:b/>
          <w:bCs/>
          <w:color w:val="auto"/>
          <w:sz w:val="32"/>
          <w:szCs w:val="32"/>
          <w:lang w:eastAsia="zh-CN"/>
        </w:rPr>
        <w:t>五、</w:t>
      </w:r>
      <w:r>
        <w:rPr>
          <w:rFonts w:hint="eastAsia" w:ascii="仿宋_GB2312" w:hAnsi="仿宋" w:eastAsia="仿宋_GB2312"/>
          <w:b/>
          <w:bCs/>
          <w:color w:val="auto"/>
          <w:sz w:val="32"/>
          <w:szCs w:val="32"/>
        </w:rPr>
        <w:t>项目</w:t>
      </w:r>
      <w:r>
        <w:rPr>
          <w:rFonts w:hint="eastAsia" w:ascii="仿宋_GB2312" w:hAnsi="仿宋" w:eastAsia="仿宋_GB2312"/>
          <w:b/>
          <w:bCs/>
          <w:color w:val="auto"/>
          <w:sz w:val="32"/>
          <w:szCs w:val="32"/>
          <w:lang w:eastAsia="zh-CN"/>
        </w:rPr>
        <w:t>经费执行情况</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资金来源为财政拨款，预算申请数</w:t>
      </w:r>
      <w:r>
        <w:rPr>
          <w:rFonts w:hint="eastAsia" w:ascii="仿宋_GB2312" w:hAnsi="仿宋" w:eastAsia="仿宋_GB2312"/>
          <w:sz w:val="32"/>
          <w:szCs w:val="32"/>
          <w:lang w:val="en-US" w:eastAsia="zh-CN"/>
        </w:rPr>
        <w:t>72</w:t>
      </w:r>
      <w:r>
        <w:rPr>
          <w:rFonts w:hint="eastAsia" w:ascii="仿宋_GB2312" w:hAnsi="仿宋" w:eastAsia="仿宋_GB2312"/>
          <w:sz w:val="32"/>
          <w:szCs w:val="32"/>
        </w:rPr>
        <w:t>万元。预算测算标准及测算过程：</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开展政务调研和田野调查产生的向导费、翻译费、误工费等10万元；</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.调查中的租车费用</w:t>
      </w:r>
      <w:r>
        <w:rPr>
          <w:rFonts w:hint="eastAsia" w:ascii="仿宋_GB2312" w:hAnsi="仿宋" w:eastAsia="仿宋_GB2312"/>
          <w:sz w:val="32"/>
          <w:szCs w:val="32"/>
          <w:lang w:val="en-US" w:eastAsia="zh-CN"/>
        </w:rPr>
        <w:t>10</w:t>
      </w:r>
      <w:r>
        <w:rPr>
          <w:rFonts w:hint="eastAsia" w:ascii="仿宋_GB2312" w:hAnsi="仿宋" w:eastAsia="仿宋_GB2312"/>
          <w:sz w:val="32"/>
          <w:szCs w:val="32"/>
        </w:rPr>
        <w:t>万元；</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hAnsi="仿宋" w:eastAsia="仿宋_GB2312"/>
          <w:sz w:val="32"/>
          <w:szCs w:val="32"/>
          <w:lang w:eastAsia="zh-CN"/>
        </w:rPr>
        <w:t>用于科研课题研究的印刷费</w:t>
      </w:r>
      <w:r>
        <w:rPr>
          <w:rFonts w:hint="eastAsia" w:ascii="仿宋_GB2312" w:hAnsi="仿宋" w:eastAsia="仿宋_GB2312"/>
          <w:sz w:val="32"/>
          <w:szCs w:val="32"/>
          <w:lang w:val="en-US" w:eastAsia="zh-CN"/>
        </w:rPr>
        <w:t>4万元</w:t>
      </w:r>
      <w:r>
        <w:rPr>
          <w:rFonts w:hint="eastAsia" w:ascii="仿宋_GB2312" w:hAnsi="仿宋" w:eastAsia="仿宋_GB2312"/>
          <w:sz w:val="32"/>
          <w:szCs w:val="32"/>
        </w:rPr>
        <w:t>；</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.专家咨询费3万元，预计咨询10余次。</w:t>
      </w:r>
    </w:p>
    <w:p>
      <w:pPr>
        <w:pStyle w:val="6"/>
        <w:rPr>
          <w:rFonts w:hint="default" w:eastAsia="仿宋_GB2312"/>
          <w:lang w:val="en-US" w:eastAsia="zh-CN"/>
        </w:rPr>
      </w:pPr>
      <w:r>
        <w:rPr>
          <w:rFonts w:hint="eastAsia" w:hAnsi="仿宋"/>
          <w:sz w:val="32"/>
          <w:szCs w:val="32"/>
          <w:lang w:val="en-US" w:eastAsia="zh-CN"/>
        </w:rPr>
        <w:t xml:space="preserve">    5.开展调研的差旅费43万元。</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6.其他商品服务支出2万元。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lang w:val="en-US" w:eastAsia="zh-CN"/>
        </w:rPr>
      </w:pPr>
      <w:r>
        <w:rPr>
          <w:rFonts w:hint="eastAsia" w:ascii="仿宋_GB2312" w:hAnsi="宋体" w:eastAsia="仿宋_GB2312"/>
          <w:color w:val="auto"/>
          <w:sz w:val="32"/>
          <w:szCs w:val="32"/>
          <w:lang w:val="zh-CN"/>
        </w:rPr>
        <w:t>截止</w:t>
      </w:r>
      <w:r>
        <w:rPr>
          <w:rFonts w:hint="eastAsia" w:ascii="仿宋_GB2312" w:hAnsi="宋体" w:eastAsia="仿宋_GB2312"/>
          <w:color w:val="auto"/>
          <w:sz w:val="32"/>
          <w:szCs w:val="32"/>
          <w:lang w:val="en-US" w:eastAsia="zh-CN"/>
        </w:rPr>
        <w:t>2021年12月31日，项目共计支出</w:t>
      </w:r>
      <w:r>
        <w:rPr>
          <w:rStyle w:val="15"/>
          <w:rFonts w:hint="eastAsia" w:ascii="仿宋" w:hAnsi="仿宋" w:eastAsia="仿宋"/>
          <w:b w:val="0"/>
          <w:bCs/>
          <w:sz w:val="32"/>
          <w:szCs w:val="32"/>
        </w:rPr>
        <w:t>57.62万元，完成预算80.03</w:t>
      </w:r>
      <w:r>
        <w:rPr>
          <w:rStyle w:val="15"/>
          <w:rFonts w:ascii="仿宋" w:hAnsi="仿宋" w:eastAsia="仿宋"/>
          <w:b w:val="0"/>
          <w:bCs/>
          <w:sz w:val="32"/>
          <w:szCs w:val="32"/>
        </w:rPr>
        <w:t>%</w:t>
      </w:r>
      <w:r>
        <w:rPr>
          <w:rFonts w:hint="eastAsia" w:eastAsia="仿宋_GB2312" w:cs="Times New Roman"/>
          <w:color w:val="auto"/>
          <w:sz w:val="32"/>
          <w:szCs w:val="32"/>
          <w:lang w:val="en-US" w:eastAsia="zh-CN"/>
        </w:rPr>
        <w:t>，</w:t>
      </w:r>
      <w:r>
        <w:rPr>
          <w:rFonts w:hint="eastAsia" w:ascii="仿宋_GB2312" w:hAnsi="宋体" w:eastAsia="仿宋_GB2312"/>
          <w:color w:val="auto"/>
          <w:sz w:val="32"/>
          <w:szCs w:val="32"/>
          <w:lang w:val="zh-CN"/>
        </w:rPr>
        <w:t>支付依据合规合法，资金支付与预算相符。</w:t>
      </w:r>
    </w:p>
    <w:p>
      <w:pPr>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六、项目评价结论及建议</w:t>
      </w:r>
    </w:p>
    <w:p>
      <w:pPr>
        <w:numPr>
          <w:ilvl w:val="0"/>
          <w:numId w:val="0"/>
        </w:numPr>
        <w:spacing w:line="360" w:lineRule="auto"/>
        <w:ind w:firstLine="640" w:firstLineChars="200"/>
        <w:jc w:val="left"/>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1. 评价结论</w:t>
      </w:r>
    </w:p>
    <w:p>
      <w:pPr>
        <w:numPr>
          <w:ilvl w:val="0"/>
          <w:numId w:val="0"/>
        </w:numPr>
        <w:spacing w:line="360" w:lineRule="auto"/>
        <w:jc w:val="left"/>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项目研究达到任务书要求，但经费执行进度有待提高。</w:t>
      </w:r>
    </w:p>
    <w:p>
      <w:pPr>
        <w:numPr>
          <w:ilvl w:val="0"/>
          <w:numId w:val="0"/>
        </w:numPr>
        <w:spacing w:line="360" w:lineRule="auto"/>
        <w:ind w:firstLine="640" w:firstLineChars="200"/>
        <w:jc w:val="left"/>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2.存在的问题</w:t>
      </w:r>
    </w:p>
    <w:p>
      <w:pPr>
        <w:spacing w:line="360" w:lineRule="auto"/>
        <w:ind w:firstLine="560"/>
        <w:jc w:val="left"/>
        <w:rPr>
          <w:rFonts w:hint="eastAsia"/>
          <w:lang w:val="en-US" w:eastAsia="zh-CN"/>
        </w:rPr>
      </w:pPr>
      <w:r>
        <w:rPr>
          <w:rFonts w:hint="eastAsia" w:ascii="仿宋_GB2312" w:hAnsi="仿宋_GB2312" w:eastAsia="仿宋_GB2312" w:cs="仿宋"/>
          <w:sz w:val="32"/>
          <w:szCs w:val="28"/>
          <w:lang w:val="en-US" w:eastAsia="zh-CN"/>
        </w:rPr>
        <w:t>通过本次项目实施情况，单位科研人员开展的科研项目，严格</w:t>
      </w:r>
      <w:r>
        <w:rPr>
          <w:rFonts w:hint="eastAsia" w:ascii="仿宋_GB2312" w:hAnsi="仿宋_GB2312" w:eastAsia="仿宋_GB2312" w:cs="仿宋"/>
          <w:color w:val="000000"/>
          <w:sz w:val="32"/>
          <w:szCs w:val="28"/>
          <w:lang w:val="en-US" w:eastAsia="zh-CN"/>
        </w:rPr>
        <w:t>按照</w:t>
      </w:r>
      <w:r>
        <w:rPr>
          <w:rFonts w:hint="eastAsia" w:ascii="仿宋" w:hAnsi="仿宋" w:eastAsia="仿宋" w:cs="仿宋"/>
          <w:sz w:val="32"/>
          <w:szCs w:val="32"/>
          <w:lang w:val="en-US" w:eastAsia="zh-CN"/>
        </w:rPr>
        <w:t>《四川省民研所科研业务费项目管理实施办法》</w:t>
      </w:r>
      <w:r>
        <w:rPr>
          <w:rFonts w:hint="eastAsia" w:ascii="仿宋_GB2312" w:hAnsi="仿宋_GB2312" w:eastAsia="仿宋_GB2312" w:cs="仿宋"/>
          <w:sz w:val="32"/>
          <w:szCs w:val="28"/>
          <w:lang w:val="en-US" w:eastAsia="zh-CN"/>
        </w:rPr>
        <w:t>执行，管理制度比较完善，各项制度落实到位。但是，项目执行中仍然存在一些问题，一是部分经费预算编制不合理、不科学，预算执行进度较慢。加上疫情影响，调研时间较晚，致使部分项目调整预算执行；二是科研经费信息化管理滞后，难以对</w:t>
      </w:r>
      <w:r>
        <w:rPr>
          <w:rFonts w:hint="eastAsia" w:ascii="仿宋_GB2312" w:hAnsi="仿宋_GB2312" w:eastAsia="仿宋_GB2312" w:cs="仿宋"/>
          <w:b w:val="0"/>
          <w:i w:val="0"/>
          <w:caps w:val="0"/>
          <w:color w:val="000000"/>
          <w:spacing w:val="9"/>
          <w:sz w:val="32"/>
          <w:szCs w:val="28"/>
          <w:shd w:val="clear" w:color="auto" w:fill="FFFFFF"/>
        </w:rPr>
        <w:t>科研项目各个阶段全过程的管理与控制</w:t>
      </w:r>
      <w:r>
        <w:rPr>
          <w:rFonts w:hint="eastAsia" w:ascii="仿宋_GB2312" w:hAnsi="仿宋_GB2312" w:eastAsia="仿宋_GB2312" w:cs="仿宋"/>
          <w:b w:val="0"/>
          <w:i w:val="0"/>
          <w:caps w:val="0"/>
          <w:color w:val="000000"/>
          <w:spacing w:val="9"/>
          <w:sz w:val="32"/>
          <w:szCs w:val="28"/>
          <w:shd w:val="clear" w:color="auto" w:fill="FFFFFF"/>
          <w:lang w:eastAsia="zh-CN"/>
        </w:rPr>
        <w:t>，加之中期检查力度不大，管理模式被动。</w:t>
      </w:r>
    </w:p>
    <w:p>
      <w:pPr>
        <w:numPr>
          <w:ilvl w:val="0"/>
          <w:numId w:val="0"/>
        </w:numPr>
        <w:spacing w:line="360" w:lineRule="auto"/>
        <w:ind w:firstLine="640" w:firstLineChars="200"/>
        <w:jc w:val="left"/>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3.相关建议</w:t>
      </w:r>
    </w:p>
    <w:p>
      <w:pPr>
        <w:numPr>
          <w:ilvl w:val="0"/>
          <w:numId w:val="0"/>
        </w:numPr>
        <w:spacing w:line="360" w:lineRule="auto"/>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我</w:t>
      </w:r>
      <w:r>
        <w:rPr>
          <w:rFonts w:hint="eastAsia" w:ascii="楷体" w:hAnsi="楷体" w:eastAsia="楷体" w:cs="楷体"/>
          <w:color w:val="000000"/>
          <w:sz w:val="32"/>
          <w:szCs w:val="32"/>
          <w:lang w:val="en-US" w:eastAsia="zh-CN"/>
        </w:rPr>
        <w:t>单位</w:t>
      </w:r>
      <w:r>
        <w:rPr>
          <w:rFonts w:hint="eastAsia" w:ascii="仿宋" w:hAnsi="仿宋" w:eastAsia="仿宋" w:cs="仿宋"/>
          <w:sz w:val="32"/>
          <w:szCs w:val="32"/>
        </w:rPr>
        <w:t>将加强项目管理</w:t>
      </w:r>
      <w:r>
        <w:rPr>
          <w:rFonts w:hint="eastAsia" w:ascii="仿宋" w:hAnsi="仿宋" w:eastAsia="仿宋" w:cs="仿宋"/>
          <w:sz w:val="32"/>
          <w:szCs w:val="32"/>
          <w:lang w:eastAsia="zh-CN"/>
        </w:rPr>
        <w:t>和制度学习</w:t>
      </w:r>
      <w:r>
        <w:rPr>
          <w:rFonts w:hint="eastAsia" w:ascii="仿宋" w:hAnsi="仿宋" w:eastAsia="仿宋" w:cs="仿宋"/>
          <w:sz w:val="32"/>
          <w:szCs w:val="32"/>
        </w:rPr>
        <w:t>，具体措施如下</w:t>
      </w:r>
      <w:r>
        <w:rPr>
          <w:rFonts w:hint="eastAsia" w:ascii="仿宋" w:hAnsi="仿宋" w:eastAsia="仿宋" w:cs="仿宋"/>
          <w:sz w:val="32"/>
          <w:szCs w:val="32"/>
          <w:lang w:eastAsia="zh-CN"/>
        </w:rPr>
        <w:t>：</w:t>
      </w:r>
    </w:p>
    <w:p>
      <w:pPr>
        <w:spacing w:line="360" w:lineRule="auto"/>
        <w:ind w:firstLine="560"/>
        <w:jc w:val="left"/>
        <w:rPr>
          <w:rFonts w:hint="eastAsia" w:ascii="仿宋" w:hAnsi="仿宋" w:eastAsia="仿宋" w:cs="仿宋"/>
          <w:color w:val="000000"/>
          <w:sz w:val="32"/>
          <w:szCs w:val="32"/>
          <w:shd w:val="clear" w:color="auto" w:fill="FFFFFF"/>
        </w:rPr>
      </w:pPr>
      <w:r>
        <w:rPr>
          <w:rFonts w:hint="eastAsia" w:ascii="楷体" w:hAnsi="楷体" w:eastAsia="楷体" w:cs="楷体"/>
          <w:color w:val="000000"/>
          <w:sz w:val="32"/>
          <w:szCs w:val="32"/>
          <w:shd w:val="clear" w:color="auto" w:fill="FFFFFF"/>
          <w:lang w:val="en-US" w:eastAsia="zh-CN"/>
        </w:rPr>
        <w:t>（1）加大财经管理制度宣传力度，提高科研人员对科研经费的管理能力。</w:t>
      </w:r>
      <w:r>
        <w:rPr>
          <w:rFonts w:hint="eastAsia" w:ascii="仿宋" w:hAnsi="仿宋" w:eastAsia="仿宋" w:cs="仿宋"/>
          <w:color w:val="000000"/>
          <w:spacing w:val="-8"/>
          <w:sz w:val="32"/>
          <w:szCs w:val="32"/>
          <w:shd w:val="clear" w:color="auto" w:fill="FFFFFF"/>
        </w:rPr>
        <w:t>认真学习</w:t>
      </w:r>
      <w:r>
        <w:rPr>
          <w:rFonts w:hint="eastAsia" w:ascii="仿宋" w:hAnsi="仿宋" w:eastAsia="仿宋" w:cs="仿宋"/>
          <w:sz w:val="32"/>
          <w:szCs w:val="32"/>
          <w:lang w:val="en-US" w:eastAsia="zh-CN"/>
        </w:rPr>
        <w:t>《四川省民研所科研业务费项目管理实施办法》</w:t>
      </w:r>
      <w:r>
        <w:rPr>
          <w:rFonts w:hint="eastAsia" w:ascii="仿宋" w:hAnsi="仿宋" w:eastAsia="仿宋" w:cs="仿宋"/>
          <w:sz w:val="32"/>
          <w:szCs w:val="32"/>
        </w:rPr>
        <w:t>。</w:t>
      </w:r>
      <w:r>
        <w:rPr>
          <w:rFonts w:hint="eastAsia" w:ascii="仿宋" w:hAnsi="仿宋" w:eastAsia="仿宋" w:cs="仿宋"/>
          <w:color w:val="000000"/>
          <w:spacing w:val="-7"/>
          <w:sz w:val="32"/>
          <w:szCs w:val="32"/>
          <w:shd w:val="clear" w:color="auto" w:fill="FFFFFF"/>
        </w:rPr>
        <w:t>根据实际情况不</w:t>
      </w:r>
      <w:r>
        <w:rPr>
          <w:rFonts w:hint="eastAsia" w:ascii="仿宋" w:hAnsi="仿宋" w:eastAsia="仿宋" w:cs="仿宋"/>
          <w:color w:val="000000"/>
          <w:spacing w:val="-10"/>
          <w:sz w:val="32"/>
          <w:szCs w:val="32"/>
          <w:shd w:val="clear" w:color="auto" w:fill="FFFFFF"/>
        </w:rPr>
        <w:t>定期的邀请科研经费管理方面的专家开展</w:t>
      </w:r>
      <w:r>
        <w:rPr>
          <w:rFonts w:hint="eastAsia" w:ascii="仿宋" w:hAnsi="仿宋" w:eastAsia="仿宋" w:cs="仿宋"/>
          <w:color w:val="000000"/>
          <w:spacing w:val="-10"/>
          <w:sz w:val="32"/>
          <w:szCs w:val="32"/>
          <w:shd w:val="clear" w:color="auto" w:fill="FFFFFF"/>
          <w:lang w:val="en-US" w:eastAsia="zh-CN"/>
        </w:rPr>
        <w:t>相</w:t>
      </w:r>
      <w:r>
        <w:rPr>
          <w:rFonts w:hint="eastAsia" w:ascii="仿宋" w:hAnsi="仿宋" w:eastAsia="仿宋" w:cs="仿宋"/>
          <w:color w:val="000000"/>
          <w:spacing w:val="-10"/>
          <w:sz w:val="32"/>
          <w:szCs w:val="32"/>
          <w:shd w:val="clear" w:color="auto" w:fill="FFFFFF"/>
        </w:rPr>
        <w:t>关</w:t>
      </w:r>
      <w:r>
        <w:rPr>
          <w:rFonts w:hint="eastAsia" w:ascii="仿宋" w:hAnsi="仿宋" w:eastAsia="仿宋" w:cs="仿宋"/>
          <w:color w:val="000000"/>
          <w:sz w:val="32"/>
          <w:szCs w:val="32"/>
          <w:shd w:val="clear" w:color="auto" w:fill="FFFFFF"/>
        </w:rPr>
        <w:t>培训，</w:t>
      </w:r>
      <w:r>
        <w:rPr>
          <w:rFonts w:hint="eastAsia" w:ascii="仿宋" w:hAnsi="仿宋" w:eastAsia="仿宋" w:cs="仿宋"/>
          <w:color w:val="000000"/>
          <w:sz w:val="32"/>
          <w:szCs w:val="32"/>
          <w:shd w:val="clear" w:color="auto" w:fill="FFFFFF"/>
          <w:lang w:val="en-US" w:eastAsia="zh-CN"/>
        </w:rPr>
        <w:t>同时，不定期派科研人员参加与财务管理的相关培训，</w:t>
      </w:r>
      <w:r>
        <w:rPr>
          <w:rFonts w:hint="eastAsia" w:ascii="仿宋" w:hAnsi="仿宋" w:eastAsia="仿宋" w:cs="仿宋"/>
          <w:color w:val="000000"/>
          <w:spacing w:val="-7"/>
          <w:sz w:val="32"/>
          <w:szCs w:val="32"/>
          <w:shd w:val="clear" w:color="auto" w:fill="FFFFFF"/>
        </w:rPr>
        <w:t>采用多形式、</w:t>
      </w:r>
      <w:r>
        <w:rPr>
          <w:rFonts w:hint="eastAsia" w:ascii="仿宋" w:hAnsi="仿宋" w:eastAsia="仿宋" w:cs="仿宋"/>
          <w:color w:val="000000"/>
          <w:spacing w:val="-9"/>
          <w:sz w:val="32"/>
          <w:szCs w:val="32"/>
          <w:shd w:val="clear" w:color="auto" w:fill="FFFFFF"/>
        </w:rPr>
        <w:t>题材多样的宣传手段，增强科研人员合理</w:t>
      </w:r>
      <w:r>
        <w:rPr>
          <w:rFonts w:hint="eastAsia" w:ascii="仿宋" w:hAnsi="仿宋" w:eastAsia="仿宋" w:cs="仿宋"/>
          <w:color w:val="000000"/>
          <w:spacing w:val="-9"/>
          <w:sz w:val="32"/>
          <w:szCs w:val="32"/>
          <w:shd w:val="clear" w:color="auto" w:fill="FFFFFF"/>
          <w:lang w:val="en-US" w:eastAsia="zh-CN"/>
        </w:rPr>
        <w:t>合规</w:t>
      </w:r>
      <w:r>
        <w:rPr>
          <w:rFonts w:hint="eastAsia" w:ascii="仿宋" w:hAnsi="仿宋" w:eastAsia="仿宋" w:cs="仿宋"/>
          <w:color w:val="000000"/>
          <w:spacing w:val="-8"/>
          <w:sz w:val="32"/>
          <w:szCs w:val="32"/>
          <w:shd w:val="clear" w:color="auto" w:fill="FFFFFF"/>
        </w:rPr>
        <w:t>合法使用科研经费的意识，</w:t>
      </w:r>
      <w:r>
        <w:rPr>
          <w:rFonts w:hint="eastAsia" w:ascii="仿宋" w:hAnsi="仿宋" w:eastAsia="仿宋" w:cs="仿宋"/>
          <w:color w:val="000000"/>
          <w:spacing w:val="-10"/>
          <w:sz w:val="32"/>
          <w:szCs w:val="32"/>
          <w:shd w:val="clear" w:color="auto" w:fill="FFFFFF"/>
          <w:lang w:eastAsia="zh-CN"/>
        </w:rPr>
        <w:t>增强</w:t>
      </w:r>
      <w:r>
        <w:rPr>
          <w:rFonts w:hint="eastAsia" w:ascii="仿宋" w:hAnsi="仿宋" w:eastAsia="仿宋" w:cs="仿宋"/>
          <w:color w:val="000000"/>
          <w:spacing w:val="-10"/>
          <w:sz w:val="32"/>
          <w:szCs w:val="32"/>
          <w:shd w:val="clear" w:color="auto" w:fill="FFFFFF"/>
        </w:rPr>
        <w:t>对科研经费的管理能力</w:t>
      </w:r>
      <w:r>
        <w:rPr>
          <w:rFonts w:hint="eastAsia" w:ascii="仿宋" w:hAnsi="仿宋" w:eastAsia="仿宋" w:cs="仿宋"/>
          <w:color w:val="000000"/>
          <w:sz w:val="32"/>
          <w:szCs w:val="32"/>
          <w:shd w:val="clear" w:color="auto" w:fill="FFFFFF"/>
        </w:rPr>
        <w:t>。</w:t>
      </w:r>
    </w:p>
    <w:p>
      <w:pPr>
        <w:pStyle w:val="31"/>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color w:val="000000"/>
          <w:spacing w:val="-6"/>
          <w:sz w:val="32"/>
          <w:szCs w:val="32"/>
        </w:rPr>
      </w:pPr>
      <w:r>
        <w:rPr>
          <w:rFonts w:hint="eastAsia" w:ascii="楷体" w:hAnsi="楷体" w:eastAsia="楷体" w:cs="楷体"/>
          <w:color w:val="000000"/>
          <w:sz w:val="32"/>
          <w:szCs w:val="32"/>
          <w:shd w:val="clear" w:color="auto" w:fill="FFFFFF"/>
          <w:lang w:val="en-US" w:eastAsia="zh-CN"/>
        </w:rPr>
        <w:t>（2）</w:t>
      </w:r>
      <w:r>
        <w:rPr>
          <w:rFonts w:hint="eastAsia" w:ascii="楷体" w:hAnsi="楷体" w:eastAsia="楷体" w:cs="楷体"/>
          <w:color w:val="000000"/>
          <w:kern w:val="2"/>
          <w:sz w:val="32"/>
          <w:szCs w:val="32"/>
          <w:shd w:val="clear" w:color="auto" w:fill="FFFFFF"/>
          <w:lang w:val="en-US" w:eastAsia="zh-CN" w:bidi="ar-SA"/>
        </w:rPr>
        <w:t>强化科研经费使用的监督管理。</w:t>
      </w:r>
      <w:r>
        <w:rPr>
          <w:rFonts w:hint="eastAsia" w:ascii="仿宋" w:hAnsi="仿宋" w:eastAsia="仿宋" w:cs="仿宋"/>
          <w:color w:val="000000"/>
          <w:kern w:val="2"/>
          <w:sz w:val="32"/>
          <w:szCs w:val="32"/>
          <w:shd w:val="clear" w:color="auto" w:fill="FFFFFF"/>
          <w:lang w:val="en-US" w:eastAsia="zh-CN" w:bidi="ar-SA"/>
        </w:rPr>
        <w:t>科研经费支出严格按照批准的预算执行，明确经费使用和管理的职责</w:t>
      </w:r>
      <w:r>
        <w:rPr>
          <w:rFonts w:hint="eastAsia" w:ascii="仿宋" w:hAnsi="仿宋" w:eastAsia="仿宋" w:cs="仿宋"/>
          <w:color w:val="000000"/>
          <w:spacing w:val="-8"/>
          <w:sz w:val="32"/>
          <w:szCs w:val="32"/>
          <w:shd w:val="clear" w:color="auto" w:fill="FFFFFF"/>
        </w:rPr>
        <w:t>权限，重点规范人员费、</w:t>
      </w:r>
      <w:r>
        <w:rPr>
          <w:rFonts w:hint="eastAsia" w:ascii="仿宋" w:hAnsi="仿宋" w:eastAsia="仿宋" w:cs="仿宋"/>
          <w:color w:val="000000"/>
          <w:spacing w:val="-19"/>
          <w:sz w:val="32"/>
          <w:szCs w:val="32"/>
          <w:shd w:val="clear" w:color="auto" w:fill="FFFFFF"/>
        </w:rPr>
        <w:t>会议费、</w:t>
      </w:r>
      <w:r>
        <w:rPr>
          <w:rFonts w:hint="eastAsia" w:ascii="仿宋" w:hAnsi="仿宋" w:eastAsia="仿宋" w:cs="仿宋"/>
          <w:color w:val="000000"/>
          <w:spacing w:val="-9"/>
          <w:sz w:val="32"/>
          <w:szCs w:val="32"/>
          <w:shd w:val="clear" w:color="auto" w:fill="FFFFFF"/>
        </w:rPr>
        <w:t>差旅费</w:t>
      </w:r>
      <w:r>
        <w:rPr>
          <w:rFonts w:hint="eastAsia" w:ascii="仿宋" w:hAnsi="仿宋" w:eastAsia="仿宋" w:cs="仿宋"/>
          <w:color w:val="000000"/>
          <w:spacing w:val="-9"/>
          <w:sz w:val="32"/>
          <w:szCs w:val="32"/>
          <w:shd w:val="clear" w:color="auto" w:fill="FFFFFF"/>
          <w:lang w:val="en-US" w:eastAsia="zh-CN"/>
        </w:rPr>
        <w:t>及其他费用等</w:t>
      </w:r>
      <w:r>
        <w:rPr>
          <w:rFonts w:hint="eastAsia" w:ascii="仿宋" w:hAnsi="仿宋" w:eastAsia="仿宋" w:cs="仿宋"/>
          <w:color w:val="000000"/>
          <w:spacing w:val="-11"/>
          <w:sz w:val="32"/>
          <w:szCs w:val="32"/>
          <w:shd w:val="clear" w:color="auto" w:fill="FFFFFF"/>
        </w:rPr>
        <w:t>，</w:t>
      </w:r>
      <w:r>
        <w:rPr>
          <w:rFonts w:hint="eastAsia" w:ascii="仿宋" w:hAnsi="仿宋" w:eastAsia="仿宋" w:cs="仿宋"/>
          <w:color w:val="000000"/>
          <w:spacing w:val="-7"/>
          <w:sz w:val="32"/>
          <w:szCs w:val="32"/>
          <w:shd w:val="clear" w:color="auto" w:fill="FFFFFF"/>
        </w:rPr>
        <w:t>确保资金的合理使用</w:t>
      </w:r>
      <w:r>
        <w:rPr>
          <w:rFonts w:hint="eastAsia" w:ascii="仿宋" w:hAnsi="仿宋" w:eastAsia="仿宋" w:cs="仿宋"/>
          <w:color w:val="000000"/>
          <w:spacing w:val="-6"/>
          <w:sz w:val="32"/>
          <w:szCs w:val="32"/>
          <w:shd w:val="clear" w:color="auto" w:fill="FFFFFF"/>
        </w:rPr>
        <w:t>和安全</w:t>
      </w:r>
      <w:r>
        <w:rPr>
          <w:rFonts w:hint="eastAsia" w:ascii="仿宋" w:hAnsi="仿宋" w:eastAsia="仿宋" w:cs="仿宋"/>
          <w:color w:val="000000"/>
          <w:spacing w:val="-6"/>
          <w:sz w:val="32"/>
          <w:szCs w:val="32"/>
          <w:shd w:val="clear" w:color="auto" w:fill="FFFFFF"/>
          <w:lang w:val="en-US" w:eastAsia="zh-CN"/>
        </w:rPr>
        <w:t>高</w:t>
      </w:r>
      <w:r>
        <w:rPr>
          <w:rFonts w:hint="eastAsia" w:ascii="仿宋" w:hAnsi="仿宋" w:eastAsia="仿宋" w:cs="仿宋"/>
          <w:color w:val="000000"/>
          <w:spacing w:val="-6"/>
          <w:sz w:val="32"/>
          <w:szCs w:val="32"/>
          <w:shd w:val="clear" w:color="auto" w:fill="FFFFFF"/>
        </w:rPr>
        <w:t>效。</w:t>
      </w:r>
    </w:p>
    <w:p>
      <w:pPr>
        <w:pStyle w:val="31"/>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color w:val="000000"/>
          <w:spacing w:val="-8"/>
          <w:sz w:val="32"/>
          <w:szCs w:val="32"/>
        </w:rPr>
      </w:pPr>
      <w:r>
        <w:rPr>
          <w:rFonts w:hint="eastAsia" w:ascii="楷体" w:hAnsi="楷体" w:eastAsia="楷体" w:cs="楷体"/>
          <w:color w:val="000000"/>
          <w:kern w:val="2"/>
          <w:sz w:val="32"/>
          <w:szCs w:val="32"/>
          <w:shd w:val="clear" w:color="auto" w:fill="FFFFFF"/>
          <w:lang w:val="en-US" w:eastAsia="zh-CN" w:bidi="ar-SA"/>
        </w:rPr>
        <w:t>（3）加强科研经费信息化管理。</w:t>
      </w:r>
      <w:r>
        <w:rPr>
          <w:rFonts w:hint="eastAsia" w:ascii="仿宋" w:hAnsi="仿宋" w:eastAsia="仿宋" w:cs="仿宋"/>
          <w:color w:val="000000"/>
          <w:kern w:val="2"/>
          <w:sz w:val="32"/>
          <w:szCs w:val="32"/>
          <w:shd w:val="clear" w:color="auto" w:fill="FFFFFF"/>
          <w:lang w:val="en-US" w:eastAsia="zh-CN" w:bidi="ar-SA"/>
        </w:rPr>
        <w:t>在科研经费管理部门加快科研经费信息化管理步伐的同时，我单位将</w:t>
      </w:r>
      <w:r>
        <w:rPr>
          <w:rFonts w:hint="eastAsia" w:ascii="仿宋" w:hAnsi="仿宋" w:eastAsia="仿宋" w:cs="仿宋"/>
          <w:bCs/>
          <w:color w:val="000000"/>
          <w:spacing w:val="-4"/>
          <w:sz w:val="32"/>
          <w:szCs w:val="32"/>
          <w:shd w:val="clear" w:color="auto" w:fill="FFFFFF"/>
        </w:rPr>
        <w:t>做好科研项目经费信息化管理工作，</w:t>
      </w:r>
      <w:r>
        <w:rPr>
          <w:rFonts w:hint="eastAsia" w:ascii="仿宋" w:hAnsi="仿宋" w:eastAsia="仿宋" w:cs="仿宋"/>
          <w:color w:val="000000"/>
          <w:spacing w:val="9"/>
          <w:sz w:val="32"/>
          <w:szCs w:val="32"/>
          <w:shd w:val="clear" w:color="auto" w:fill="FFFFFF"/>
        </w:rPr>
        <w:t>实现对科研项目各个阶段全过程的管理与控制，</w:t>
      </w:r>
      <w:r>
        <w:rPr>
          <w:rFonts w:hint="eastAsia" w:ascii="仿宋" w:hAnsi="仿宋" w:eastAsia="仿宋" w:cs="仿宋"/>
          <w:color w:val="000000"/>
          <w:spacing w:val="-11"/>
          <w:sz w:val="32"/>
          <w:szCs w:val="32"/>
          <w:shd w:val="clear" w:color="auto" w:fill="FFFFFF"/>
        </w:rPr>
        <w:t>将被动式管理变为主动式管理，从而</w:t>
      </w:r>
      <w:r>
        <w:rPr>
          <w:rFonts w:hint="eastAsia" w:ascii="仿宋" w:hAnsi="仿宋" w:eastAsia="仿宋" w:cs="仿宋"/>
          <w:color w:val="000000"/>
          <w:spacing w:val="-9"/>
          <w:sz w:val="32"/>
          <w:szCs w:val="32"/>
          <w:shd w:val="clear" w:color="auto" w:fill="FFFFFF"/>
        </w:rPr>
        <w:t>提高</w:t>
      </w:r>
      <w:r>
        <w:rPr>
          <w:rFonts w:hint="eastAsia" w:ascii="仿宋" w:hAnsi="仿宋" w:eastAsia="仿宋" w:cs="仿宋"/>
          <w:color w:val="000000"/>
          <w:spacing w:val="-8"/>
          <w:sz w:val="32"/>
          <w:szCs w:val="32"/>
          <w:shd w:val="clear" w:color="auto" w:fill="FFFFFF"/>
        </w:rPr>
        <w:t>科研经费管理的工作效率。</w:t>
      </w:r>
    </w:p>
    <w:p>
      <w:pPr>
        <w:spacing w:line="360" w:lineRule="auto"/>
        <w:ind w:firstLine="640" w:firstLineChars="200"/>
        <w:rPr>
          <w:rFonts w:hint="eastAsia" w:ascii="仿宋" w:hAnsi="仿宋" w:eastAsia="仿宋" w:cs="仿宋"/>
          <w:sz w:val="32"/>
          <w:szCs w:val="32"/>
        </w:rPr>
      </w:pPr>
    </w:p>
    <w:p>
      <w:pPr>
        <w:spacing w:line="600" w:lineRule="exact"/>
        <w:jc w:val="center"/>
        <w:outlineLvl w:val="0"/>
        <w:rPr>
          <w:rFonts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6"/>
          <w:rFonts w:hint="eastAsia" w:ascii="仿宋" w:hAnsi="仿宋" w:eastAsia="仿宋"/>
          <w:b w:val="0"/>
          <w:bCs w:val="0"/>
        </w:rPr>
        <w:t>入决算表</w:t>
      </w:r>
      <w:bookmarkEnd w:id="55"/>
    </w:p>
    <w:p>
      <w:pPr>
        <w:pStyle w:val="4"/>
        <w:rPr>
          <w:rFonts w:ascii="仿宋" w:hAnsi="仿宋" w:eastAsia="仿宋"/>
        </w:rPr>
      </w:pPr>
      <w:bookmarkStart w:id="56"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7"/>
    </w:p>
    <w:p>
      <w:pPr>
        <w:pStyle w:val="4"/>
        <w:rPr>
          <w:rStyle w:val="26"/>
          <w:rFonts w:ascii="仿宋" w:hAnsi="仿宋" w:eastAsia="仿宋"/>
          <w:b w:val="0"/>
          <w:bCs w:val="0"/>
        </w:rPr>
      </w:pPr>
      <w:bookmarkStart w:id="58"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3"/>
    </w:p>
    <w:p>
      <w:pPr>
        <w:pStyle w:val="4"/>
        <w:rPr>
          <w:rFonts w:ascii="仿宋" w:hAnsi="仿宋" w:eastAsia="仿宋"/>
        </w:rPr>
      </w:pPr>
      <w:bookmarkStart w:id="64"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4"/>
    </w:p>
    <w:p>
      <w:pPr>
        <w:pStyle w:val="4"/>
        <w:rPr>
          <w:rFonts w:ascii="仿宋" w:hAnsi="仿宋" w:eastAsia="仿宋"/>
        </w:rPr>
      </w:pPr>
      <w:bookmarkStart w:id="65"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65"/>
    </w:p>
    <w:p>
      <w:pPr>
        <w:pStyle w:val="4"/>
        <w:rPr>
          <w:rStyle w:val="26"/>
          <w:rFonts w:ascii="仿宋" w:hAnsi="仿宋" w:eastAsia="仿宋"/>
          <w:b w:val="0"/>
          <w:bCs w:val="0"/>
        </w:rPr>
      </w:pPr>
      <w:bookmarkStart w:id="66"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66"/>
    </w:p>
    <w:p>
      <w:pPr>
        <w:rPr>
          <w:rFonts w:eastAsia="仿宋"/>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ED06D"/>
    <w:multiLevelType w:val="singleLevel"/>
    <w:tmpl w:val="9C5ED06D"/>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E8814E66"/>
    <w:multiLevelType w:val="singleLevel"/>
    <w:tmpl w:val="E8814E66"/>
    <w:lvl w:ilvl="0" w:tentative="0">
      <w:start w:val="3"/>
      <w:numFmt w:val="decimal"/>
      <w:lvlText w:val="%1."/>
      <w:lvlJc w:val="left"/>
      <w:pPr>
        <w:tabs>
          <w:tab w:val="left" w:pos="312"/>
        </w:tabs>
      </w:p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749E7CBE"/>
    <w:multiLevelType w:val="singleLevel"/>
    <w:tmpl w:val="749E7CBE"/>
    <w:lvl w:ilvl="0" w:tentative="0">
      <w:start w:val="1"/>
      <w:numFmt w:val="chineseCounting"/>
      <w:suff w:val="nothing"/>
      <w:lvlText w:val="%1、"/>
      <w:lvlJc w:val="left"/>
      <w:rPr>
        <w:rFonts w:hint="eastAsia"/>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0OGY1ZTUwZjBjMGE2Y2RiMWFlMjY0ZGZmZjgyNj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1F7998"/>
    <w:rsid w:val="002006CD"/>
    <w:rsid w:val="00202B36"/>
    <w:rsid w:val="00204B7A"/>
    <w:rsid w:val="00204CDE"/>
    <w:rsid w:val="00207637"/>
    <w:rsid w:val="0021101A"/>
    <w:rsid w:val="00220536"/>
    <w:rsid w:val="0022085F"/>
    <w:rsid w:val="00235629"/>
    <w:rsid w:val="00243890"/>
    <w:rsid w:val="00260C38"/>
    <w:rsid w:val="002616C0"/>
    <w:rsid w:val="00265372"/>
    <w:rsid w:val="002662AA"/>
    <w:rsid w:val="00280496"/>
    <w:rsid w:val="00294DC9"/>
    <w:rsid w:val="00295495"/>
    <w:rsid w:val="002A31DE"/>
    <w:rsid w:val="002B2613"/>
    <w:rsid w:val="002C629C"/>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6969"/>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1BFD"/>
    <w:rsid w:val="006748A4"/>
    <w:rsid w:val="00681A31"/>
    <w:rsid w:val="00683E73"/>
    <w:rsid w:val="006A3141"/>
    <w:rsid w:val="006A5E34"/>
    <w:rsid w:val="006B2422"/>
    <w:rsid w:val="006B2B9A"/>
    <w:rsid w:val="006B3B3A"/>
    <w:rsid w:val="006C1937"/>
    <w:rsid w:val="006F020C"/>
    <w:rsid w:val="007127B7"/>
    <w:rsid w:val="0071798E"/>
    <w:rsid w:val="007262C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0AB9"/>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67F63"/>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B4990"/>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37C30"/>
    <w:rsid w:val="00F417B1"/>
    <w:rsid w:val="00F45853"/>
    <w:rsid w:val="00F602DF"/>
    <w:rsid w:val="00F754A1"/>
    <w:rsid w:val="00F81FD9"/>
    <w:rsid w:val="00F841AA"/>
    <w:rsid w:val="00F84A94"/>
    <w:rsid w:val="00F87E96"/>
    <w:rsid w:val="00FA23E8"/>
    <w:rsid w:val="00FD3CC1"/>
    <w:rsid w:val="00FF1E02"/>
    <w:rsid w:val="00FF30B4"/>
    <w:rsid w:val="010970FF"/>
    <w:rsid w:val="025F129F"/>
    <w:rsid w:val="026D0C60"/>
    <w:rsid w:val="03143469"/>
    <w:rsid w:val="0561501B"/>
    <w:rsid w:val="07C43E49"/>
    <w:rsid w:val="0A2032A3"/>
    <w:rsid w:val="0B8A37D8"/>
    <w:rsid w:val="0C126C56"/>
    <w:rsid w:val="0C6C4AAF"/>
    <w:rsid w:val="0D7346A7"/>
    <w:rsid w:val="0E6D6359"/>
    <w:rsid w:val="10BE7768"/>
    <w:rsid w:val="10C055FF"/>
    <w:rsid w:val="118107EC"/>
    <w:rsid w:val="11DD6519"/>
    <w:rsid w:val="12ED5CBA"/>
    <w:rsid w:val="16227BAD"/>
    <w:rsid w:val="16BB723D"/>
    <w:rsid w:val="17A02F3F"/>
    <w:rsid w:val="18015F3F"/>
    <w:rsid w:val="1A381F10"/>
    <w:rsid w:val="1BE8440E"/>
    <w:rsid w:val="1D155CEE"/>
    <w:rsid w:val="1E94410E"/>
    <w:rsid w:val="1F7B3EB9"/>
    <w:rsid w:val="20F57F95"/>
    <w:rsid w:val="21724954"/>
    <w:rsid w:val="22274967"/>
    <w:rsid w:val="2381345B"/>
    <w:rsid w:val="23A24FD3"/>
    <w:rsid w:val="240371BF"/>
    <w:rsid w:val="24800E1A"/>
    <w:rsid w:val="24B46621"/>
    <w:rsid w:val="25C741E6"/>
    <w:rsid w:val="263537A8"/>
    <w:rsid w:val="27842671"/>
    <w:rsid w:val="292E4C0A"/>
    <w:rsid w:val="29FD04D3"/>
    <w:rsid w:val="2A5612D7"/>
    <w:rsid w:val="2ABE7A3E"/>
    <w:rsid w:val="2BC355DA"/>
    <w:rsid w:val="2BDC7DC2"/>
    <w:rsid w:val="2D4C03BF"/>
    <w:rsid w:val="2EFA178C"/>
    <w:rsid w:val="30B46D73"/>
    <w:rsid w:val="31095761"/>
    <w:rsid w:val="319F7F4E"/>
    <w:rsid w:val="32025CA4"/>
    <w:rsid w:val="36B85C8D"/>
    <w:rsid w:val="3714453E"/>
    <w:rsid w:val="38357F2B"/>
    <w:rsid w:val="386817BB"/>
    <w:rsid w:val="39AE70AB"/>
    <w:rsid w:val="3C0C0783"/>
    <w:rsid w:val="3F9F3A96"/>
    <w:rsid w:val="40B7508E"/>
    <w:rsid w:val="43747266"/>
    <w:rsid w:val="4660447C"/>
    <w:rsid w:val="47217705"/>
    <w:rsid w:val="47BC2508"/>
    <w:rsid w:val="49380D36"/>
    <w:rsid w:val="493C27E9"/>
    <w:rsid w:val="49456A93"/>
    <w:rsid w:val="496F39ED"/>
    <w:rsid w:val="498521CD"/>
    <w:rsid w:val="49E629F4"/>
    <w:rsid w:val="49F64E79"/>
    <w:rsid w:val="49FF41D3"/>
    <w:rsid w:val="4BE068DB"/>
    <w:rsid w:val="4BF6002B"/>
    <w:rsid w:val="4D2F177E"/>
    <w:rsid w:val="4E3F66C2"/>
    <w:rsid w:val="4ECE2238"/>
    <w:rsid w:val="512A365A"/>
    <w:rsid w:val="51DB4B86"/>
    <w:rsid w:val="538C4D94"/>
    <w:rsid w:val="53D2096B"/>
    <w:rsid w:val="54B67C44"/>
    <w:rsid w:val="55333C3E"/>
    <w:rsid w:val="562D2186"/>
    <w:rsid w:val="563125BE"/>
    <w:rsid w:val="56DA6CB5"/>
    <w:rsid w:val="56EE5A9E"/>
    <w:rsid w:val="576B6A5C"/>
    <w:rsid w:val="57D44E83"/>
    <w:rsid w:val="58600D3B"/>
    <w:rsid w:val="5E37526C"/>
    <w:rsid w:val="5F7847AA"/>
    <w:rsid w:val="5FD57B17"/>
    <w:rsid w:val="61E373A2"/>
    <w:rsid w:val="63C02A2F"/>
    <w:rsid w:val="64CA39A1"/>
    <w:rsid w:val="678F2094"/>
    <w:rsid w:val="67EA222A"/>
    <w:rsid w:val="6851207B"/>
    <w:rsid w:val="69A05FCE"/>
    <w:rsid w:val="69F268C0"/>
    <w:rsid w:val="6A0F27BF"/>
    <w:rsid w:val="6A5C2130"/>
    <w:rsid w:val="6B3B1049"/>
    <w:rsid w:val="6BD67F84"/>
    <w:rsid w:val="6BE75EB6"/>
    <w:rsid w:val="6C4A05C8"/>
    <w:rsid w:val="6C7F675E"/>
    <w:rsid w:val="6D694FA3"/>
    <w:rsid w:val="6E1E085D"/>
    <w:rsid w:val="6EBC7636"/>
    <w:rsid w:val="6F054F2D"/>
    <w:rsid w:val="70BD180A"/>
    <w:rsid w:val="710E4CE3"/>
    <w:rsid w:val="72734D90"/>
    <w:rsid w:val="72FC77E5"/>
    <w:rsid w:val="79E7B28D"/>
    <w:rsid w:val="7B31720F"/>
    <w:rsid w:val="7F494EC8"/>
    <w:rsid w:val="7F8C0EB8"/>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jc w:val="left"/>
    </w:pPr>
    <w:rPr>
      <w:rFonts w:ascii="Calibri" w:hAnsi="Calibri"/>
      <w:kern w:val="0"/>
      <w:szCs w:val="21"/>
    </w:rPr>
  </w:style>
  <w:style w:type="paragraph" w:styleId="6">
    <w:name w:val="Body Text"/>
    <w:basedOn w:val="1"/>
    <w:next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8"/>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Normal (Web)"/>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1</a:t>
            </a:r>
            <a:r>
              <a:rPr lang="zh-CN" altLang="en-US"/>
              <a:t>：收、支决算总计变动情况图                             </a:t>
            </a:r>
            <a:endParaRPr lang="zh-CN" altLang="en-US"/>
          </a:p>
        </c:rich>
      </c:tx>
      <c:layout/>
      <c:overlay val="0"/>
      <c:spPr>
        <a:noFill/>
        <a:ln>
          <a:noFill/>
        </a:ln>
        <a:effectLst/>
      </c:spPr>
    </c:title>
    <c:autoTitleDeleted val="0"/>
    <c:plotArea>
      <c:layout>
        <c:manualLayout>
          <c:layoutTarget val="inner"/>
          <c:xMode val="edge"/>
          <c:yMode val="edge"/>
          <c:x val="0.1412196016131"/>
          <c:y val="0.177451609768686"/>
          <c:w val="0.745985579860687"/>
          <c:h val="0.746023088404664"/>
        </c:manualLayout>
      </c:layout>
      <c:barChart>
        <c:barDir val="col"/>
        <c:grouping val="clustered"/>
        <c:varyColors val="0"/>
        <c:ser>
          <c:idx val="0"/>
          <c:order val="0"/>
          <c:tx>
            <c:strRef>
              <c:f>Sheet1!$B$1</c:f>
              <c:strCache>
                <c:ptCount val="1"/>
                <c:pt idx="0">
                  <c:v>2020年度</c:v>
                </c:pt>
              </c:strCache>
            </c:strRef>
          </c:tx>
          <c:spPr>
            <a:solidFill>
              <a:schemeClr val="accent1"/>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收支总计</c:v>
                </c:pt>
              </c:strCache>
            </c:strRef>
          </c:cat>
          <c:val>
            <c:numRef>
              <c:f>Sheet1!$B$2</c:f>
              <c:numCache>
                <c:formatCode>General</c:formatCode>
                <c:ptCount val="1"/>
                <c:pt idx="0">
                  <c:v>597.39</c:v>
                </c:pt>
              </c:numCache>
            </c:numRef>
          </c:val>
        </c:ser>
        <c:ser>
          <c:idx val="1"/>
          <c:order val="1"/>
          <c:tx>
            <c:strRef>
              <c:f>Sheet1!$C$1</c:f>
              <c:strCache>
                <c:ptCount val="1"/>
                <c:pt idx="0">
                  <c:v>2021年度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收支总计</c:v>
                </c:pt>
              </c:strCache>
            </c:strRef>
          </c:cat>
          <c:val>
            <c:numRef>
              <c:f>Sheet1!$C$2</c:f>
              <c:numCache>
                <c:formatCode>General</c:formatCode>
                <c:ptCount val="1"/>
                <c:pt idx="0">
                  <c:v>883.95</c:v>
                </c:pt>
              </c:numCache>
            </c:numRef>
          </c:val>
        </c:ser>
        <c:dLbls>
          <c:showLegendKey val="0"/>
          <c:showVal val="0"/>
          <c:showCatName val="0"/>
          <c:showSerName val="0"/>
          <c:showPercent val="0"/>
          <c:showBubbleSize val="0"/>
        </c:dLbls>
        <c:gapWidth val="150"/>
        <c:axId val="993432829"/>
        <c:axId val="265725943"/>
      </c:barChart>
      <c:catAx>
        <c:axId val="993432829"/>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725943"/>
        <c:crosses val="autoZero"/>
        <c:auto val="1"/>
        <c:lblAlgn val="ctr"/>
        <c:lblOffset val="100"/>
        <c:noMultiLvlLbl val="0"/>
      </c:catAx>
      <c:valAx>
        <c:axId val="265725943"/>
        <c:scaling>
          <c:orientation val="minMax"/>
          <c:max val="9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432829"/>
        <c:crosses val="autoZero"/>
        <c:crossBetween val="between"/>
        <c:majorUnit val="100"/>
        <c:minorUnit val="5"/>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4</a:t>
            </a:r>
            <a:r>
              <a:rPr lang="zh-CN" altLang="en-US"/>
              <a:t>：财政拨款收、支总计变动情况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Sheet1!$B$2</c:f>
              <c:numCache>
                <c:formatCode>General</c:formatCode>
                <c:ptCount val="1"/>
                <c:pt idx="0">
                  <c:v>722.64</c:v>
                </c:pt>
              </c:numCache>
            </c:numRef>
          </c:val>
        </c:ser>
        <c:ser>
          <c:idx val="1"/>
          <c:order val="1"/>
          <c:tx>
            <c:strRef>
              <c:f>Sheet1!$C$1</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Sheet1!$C$2</c:f>
              <c:numCache>
                <c:formatCode>General</c:formatCode>
                <c:ptCount val="1"/>
                <c:pt idx="0">
                  <c:v>459.42</c:v>
                </c:pt>
              </c:numCache>
            </c:numRef>
          </c:val>
        </c:ser>
        <c:dLbls>
          <c:showLegendKey val="0"/>
          <c:showVal val="1"/>
          <c:showCatName val="0"/>
          <c:showSerName val="0"/>
          <c:showPercent val="0"/>
          <c:showBubbleSize val="0"/>
        </c:dLbls>
        <c:gapWidth val="150"/>
        <c:axId val="869982217"/>
        <c:axId val="480266717"/>
      </c:barChart>
      <c:catAx>
        <c:axId val="869982217"/>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0266717"/>
        <c:crosses val="autoZero"/>
        <c:auto val="1"/>
        <c:lblAlgn val="ctr"/>
        <c:lblOffset val="100"/>
        <c:noMultiLvlLbl val="0"/>
      </c:catAx>
      <c:valAx>
        <c:axId val="480266717"/>
        <c:scaling>
          <c:orientation val="minMax"/>
          <c:max val="8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982217"/>
        <c:crosses val="autoZero"/>
        <c:crossBetween val="between"/>
        <c:majorUnit val="100"/>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5</a:t>
            </a:r>
            <a:r>
              <a:rPr lang="zh-CN" altLang="en-US"/>
              <a:t>：一般公共预算财政拨款支出决算变动情况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Sheet1!$B$2</c:f>
              <c:numCache>
                <c:formatCode>General</c:formatCode>
                <c:ptCount val="1"/>
                <c:pt idx="0">
                  <c:v>722.64</c:v>
                </c:pt>
              </c:numCache>
            </c:numRef>
          </c:val>
        </c:ser>
        <c:ser>
          <c:idx val="1"/>
          <c:order val="1"/>
          <c:tx>
            <c:strRef>
              <c:f>Sheet1!$C$1</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Sheet1!$C$2</c:f>
              <c:numCache>
                <c:formatCode>General</c:formatCode>
                <c:ptCount val="1"/>
                <c:pt idx="0">
                  <c:v>459.42</c:v>
                </c:pt>
              </c:numCache>
            </c:numRef>
          </c:val>
        </c:ser>
        <c:dLbls>
          <c:showLegendKey val="0"/>
          <c:showVal val="0"/>
          <c:showCatName val="0"/>
          <c:showSerName val="0"/>
          <c:showPercent val="0"/>
          <c:showBubbleSize val="0"/>
        </c:dLbls>
        <c:gapWidth val="150"/>
        <c:axId val="662969087"/>
        <c:axId val="9740102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c15:sqref>
                        </c15:formulaRef>
                      </c:ext>
                    </c:extLst>
                    <c:strCache>
                      <c:ptCount val="1"/>
                      <c:pt idx="0">
                        <c:v>一般公共预算财政拨款</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6296908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401024"/>
        <c:crosses val="autoZero"/>
        <c:auto val="1"/>
        <c:lblAlgn val="ctr"/>
        <c:lblOffset val="100"/>
        <c:noMultiLvlLbl val="0"/>
      </c:catAx>
      <c:valAx>
        <c:axId val="974010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2969087"/>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6</a:t>
            </a:r>
            <a:r>
              <a:rPr lang="zh-CN" altLang="en-US"/>
              <a:t>：一般公共预算财政拨款支出决算结构</a:t>
            </a:r>
            <a:endParaRPr lang="zh-CN" altLang="en-US"/>
          </a:p>
        </c:rich>
      </c:tx>
      <c:layout>
        <c:manualLayout>
          <c:xMode val="edge"/>
          <c:yMode val="edge"/>
          <c:x val="0.0816063764561619"/>
          <c:y val="0.0342757067800851"/>
        </c:manualLayout>
      </c:layout>
      <c:overlay val="0"/>
      <c:spPr>
        <a:noFill/>
        <a:ln>
          <a:noFill/>
        </a:ln>
        <a:effectLst/>
      </c:spPr>
    </c:title>
    <c:autoTitleDeleted val="0"/>
    <c:plotArea>
      <c:layout>
        <c:manualLayout>
          <c:layoutTarget val="inner"/>
          <c:xMode val="edge"/>
          <c:yMode val="edge"/>
          <c:x val="0.190006131207848"/>
          <c:y val="0.162097476066144"/>
          <c:w val="0.44316370324954"/>
          <c:h val="0.786335944299391"/>
        </c:manualLayout>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科学技术</c:v>
                </c:pt>
                <c:pt idx="1">
                  <c:v>住房保障支出</c:v>
                </c:pt>
                <c:pt idx="2">
                  <c:v>一般公共服务</c:v>
                </c:pt>
                <c:pt idx="3">
                  <c:v>社会保障和就业</c:v>
                </c:pt>
                <c:pt idx="4">
                  <c:v>医疗卫生支出</c:v>
                </c:pt>
                <c:pt idx="5">
                  <c:v>教育支出</c:v>
                </c:pt>
              </c:strCache>
            </c:strRef>
          </c:cat>
          <c:val>
            <c:numRef>
              <c:f>Sheet1!$B$2:$B$7</c:f>
              <c:numCache>
                <c:formatCode>General</c:formatCode>
                <c:ptCount val="6"/>
                <c:pt idx="0">
                  <c:v>251.13</c:v>
                </c:pt>
                <c:pt idx="1">
                  <c:v>184.23</c:v>
                </c:pt>
                <c:pt idx="2">
                  <c:v>159.28</c:v>
                </c:pt>
                <c:pt idx="3">
                  <c:v>101.59</c:v>
                </c:pt>
                <c:pt idx="4">
                  <c:v>24.09</c:v>
                </c:pt>
                <c:pt idx="5">
                  <c:v>2.32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7</a:t>
            </a:r>
            <a:r>
              <a:rPr lang="zh-CN" altLang="en-US"/>
              <a:t>：“三公”经费财政拨款支出结构</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543626651861799"/>
                  <c:y val="0.053078884732457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3.11</c:v>
                </c:pt>
                <c:pt idx="2">
                  <c:v>0.56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8135593220339"/>
          <c:y val="0.44712682760965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7924</Words>
  <Characters>10657</Characters>
  <Lines>52</Lines>
  <Paragraphs>14</Paragraphs>
  <TotalTime>1</TotalTime>
  <ScaleCrop>false</ScaleCrop>
  <LinksUpToDate>false</LinksUpToDate>
  <CharactersWithSpaces>10711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2022-08-30T08:53:00Z</dcterms:created>
  <dc:creator>曹颖</dc:creator>
  <cp:lastModifiedBy>123</cp:lastModifiedBy>
  <cp:lastPrinted>2022-08-30T09:27:00Z</cp:lastPrinted>
  <dcterms:modified xsi:type="dcterms:W3CDTF">2022-11-14T08:29:04Z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33F7F8ED833A492EBEBC0FEE3B742778</vt:lpwstr>
  </property>
</Properties>
</file>