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1" w:name="_Toc15377425"/>
      <w:bookmarkStart w:id="2" w:name="_Toc15396475"/>
      <w:bookmarkStart w:id="3" w:name="_Toc15377193"/>
      <w:bookmarkStart w:id="4" w:name="_Toc15396597"/>
      <w:bookmarkStart w:id="5" w:name="_Toc15378441"/>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21</w:t>
      </w:r>
      <w:r>
        <w:rPr>
          <w:rFonts w:hint="eastAsia" w:ascii="方正小标宋简体" w:hAnsi="方正小标宋简体" w:eastAsia="方正小标宋简体" w:cs="方正小标宋简体"/>
          <w:color w:val="auto"/>
          <w:sz w:val="52"/>
          <w:szCs w:val="52"/>
          <w:highlight w:val="none"/>
        </w:rPr>
        <w:t>年度</w:t>
      </w:r>
      <w:bookmarkEnd w:id="1"/>
      <w:bookmarkEnd w:id="2"/>
      <w:bookmarkEnd w:id="3"/>
      <w:bookmarkEnd w:id="4"/>
      <w:bookmarkEnd w:id="5"/>
      <w:bookmarkStart w:id="6" w:name="_Toc15396476"/>
      <w:bookmarkStart w:id="7" w:name="_Toc15396598"/>
      <w:bookmarkStart w:id="8" w:name="_Toc15378442"/>
      <w:bookmarkStart w:id="9" w:name="_Toc15377426"/>
      <w:bookmarkStart w:id="10" w:name="_Toc1537719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lang w:val="en-US" w:eastAsia="zh-CN"/>
        </w:rPr>
      </w:pPr>
      <w:r>
        <w:rPr>
          <w:rFonts w:hint="eastAsia" w:ascii="方正小标宋简体" w:hAnsi="方正小标宋简体" w:eastAsia="方正小标宋简体" w:cs="方正小标宋简体"/>
          <w:color w:val="auto"/>
          <w:sz w:val="52"/>
          <w:szCs w:val="52"/>
          <w:highlight w:val="none"/>
        </w:rPr>
        <w:t>四川省</w:t>
      </w:r>
      <w:bookmarkEnd w:id="0"/>
      <w:bookmarkStart w:id="11" w:name="_Toc15306268"/>
      <w:r>
        <w:rPr>
          <w:rFonts w:hint="eastAsia" w:ascii="方正小标宋简体" w:hAnsi="方正小标宋简体" w:eastAsia="方正小标宋简体" w:cs="方正小标宋简体"/>
          <w:color w:val="auto"/>
          <w:sz w:val="52"/>
          <w:szCs w:val="52"/>
          <w:highlight w:val="none"/>
          <w:lang w:val="en-US" w:eastAsia="zh-CN"/>
        </w:rPr>
        <w:t>民族宗教事务委员会</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52"/>
          <w:szCs w:val="52"/>
          <w:highlight w:val="none"/>
          <w:lang w:val="en-US" w:eastAsia="zh-CN"/>
        </w:rPr>
        <w:t>机关服务中心</w:t>
      </w:r>
      <w:r>
        <w:rPr>
          <w:rFonts w:hint="eastAsia" w:ascii="方正小标宋简体" w:hAnsi="方正小标宋简体" w:eastAsia="方正小标宋简体" w:cs="方正小标宋简体"/>
          <w:color w:val="auto"/>
          <w:sz w:val="52"/>
          <w:szCs w:val="52"/>
          <w:highlight w:val="none"/>
          <w:lang w:eastAsia="zh-CN"/>
        </w:rPr>
        <w:t>单位</w:t>
      </w:r>
      <w:r>
        <w:rPr>
          <w:rFonts w:hint="eastAsia" w:ascii="方正小标宋简体" w:hAnsi="方正小标宋简体" w:eastAsia="方正小标宋简体" w:cs="方正小标宋简体"/>
          <w:color w:val="auto"/>
          <w:sz w:val="52"/>
          <w:szCs w:val="5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2"/>
        <w:pageBreakBefore w:val="0"/>
        <w:kinsoku/>
        <w:wordWrap/>
        <w:overflowPunct/>
        <w:topLinePunct w:val="0"/>
        <w:bidi w:val="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4</w:t>
      </w:r>
    </w:p>
    <w:p>
      <w:pPr>
        <w:pStyle w:val="14"/>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4</w:t>
      </w:r>
    </w:p>
    <w:p>
      <w:pPr>
        <w:pStyle w:val="14"/>
        <w:adjustRightInd w:val="0"/>
        <w:snapToGrid w:val="0"/>
        <w:spacing w:line="440" w:lineRule="exact"/>
        <w:jc w:val="left"/>
        <w:rPr>
          <w:rFonts w:hint="eastAsia" w:ascii="Times New Roman" w:hAnsi="Times New Roman" w:cs="Times New Roman"/>
          <w:color w:val="auto"/>
          <w:sz w:val="24"/>
          <w:szCs w:val="24"/>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4</w:t>
      </w:r>
    </w:p>
    <w:p>
      <w:pPr>
        <w:pStyle w:val="14"/>
        <w:adjustRightInd w:val="0"/>
        <w:snapToGrid w:val="0"/>
        <w:spacing w:line="440" w:lineRule="exact"/>
        <w:jc w:val="left"/>
        <w:rPr>
          <w:rFonts w:hint="eastAsia"/>
          <w:lang w:eastAsia="zh-CN"/>
        </w:rPr>
      </w:pPr>
      <w:r>
        <w:rPr>
          <w:rFonts w:hint="eastAsia"/>
          <w:color w:val="auto"/>
          <w:sz w:val="24"/>
          <w:highlight w:val="none"/>
          <w:lang w:val="en-US" w:eastAsia="zh-CN"/>
        </w:rPr>
        <w:t>三、机构设置情况</w:t>
      </w:r>
      <w:r>
        <w:rPr>
          <w:rFonts w:hint="default"/>
          <w:color w:val="auto"/>
          <w:sz w:val="24"/>
          <w:highlight w:val="none"/>
          <w:lang w:val="en-US" w:eastAsia="zh-CN"/>
        </w:rPr>
        <w:t>.....................................................................................</w:t>
      </w:r>
      <w:r>
        <w:rPr>
          <w:rFonts w:hint="eastAsia"/>
          <w:color w:val="auto"/>
          <w:sz w:val="24"/>
          <w:highlight w:val="none"/>
          <w:lang w:val="en-US" w:eastAsia="zh-CN"/>
        </w:rPr>
        <w:t>5</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6</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6</w:t>
      </w:r>
    </w:p>
    <w:p>
      <w:pPr>
        <w:pStyle w:val="12"/>
        <w:pageBreakBefore w:val="0"/>
        <w:kinsoku/>
        <w:wordWrap/>
        <w:overflowPunct/>
        <w:topLinePunct w:val="0"/>
        <w:bidi w:val="0"/>
        <w:adjustRightInd w:val="0"/>
        <w:snapToGrid w:val="0"/>
        <w:spacing w:before="0" w:line="440" w:lineRule="exact"/>
        <w:ind w:left="420" w:leftChars="20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二、收入决算情况说明</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6</w:t>
      </w:r>
    </w:p>
    <w:p>
      <w:pPr>
        <w:pStyle w:val="12"/>
        <w:pageBreakBefore w:val="0"/>
        <w:kinsoku/>
        <w:wordWrap/>
        <w:overflowPunct/>
        <w:topLinePunct w:val="0"/>
        <w:bidi w:val="0"/>
        <w:adjustRightInd w:val="0"/>
        <w:snapToGrid w:val="0"/>
        <w:spacing w:before="0" w:line="440" w:lineRule="exact"/>
        <w:ind w:left="0" w:leftChars="0" w:firstLine="420" w:firstLineChars="175"/>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三、支出决算情况说明</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7</w:t>
      </w:r>
    </w:p>
    <w:p>
      <w:pPr>
        <w:pStyle w:val="14"/>
        <w:pageBreakBefore w:val="0"/>
        <w:kinsoku/>
        <w:wordWrap/>
        <w:overflowPunct/>
        <w:topLinePunct w:val="0"/>
        <w:bidi w:val="0"/>
        <w:adjustRightInd w:val="0"/>
        <w:snapToGrid w:val="0"/>
        <w:spacing w:line="440" w:lineRule="exact"/>
        <w:jc w:val="left"/>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四、财政拨款收入支出决算总体情况说明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4"/>
        <w:pageBreakBefore w:val="0"/>
        <w:kinsoku/>
        <w:wordWrap/>
        <w:overflowPunct/>
        <w:topLinePunct w:val="0"/>
        <w:bidi w:val="0"/>
        <w:adjustRightInd w:val="0"/>
        <w:snapToGrid w:val="0"/>
        <w:spacing w:line="440" w:lineRule="exact"/>
        <w:jc w:val="left"/>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五、一般公共预算财政拨款支出决算情况说明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8</w:t>
      </w:r>
    </w:p>
    <w:p>
      <w:pPr>
        <w:pStyle w:val="14"/>
        <w:pageBreakBefore w:val="0"/>
        <w:kinsoku/>
        <w:wordWrap/>
        <w:overflowPunct/>
        <w:topLinePunct w:val="0"/>
        <w:bidi w:val="0"/>
        <w:adjustRightInd w:val="0"/>
        <w:snapToGrid w:val="0"/>
        <w:spacing w:line="440" w:lineRule="exact"/>
        <w:jc w:val="left"/>
        <w:rPr>
          <w:rFonts w:hint="eastAsia" w:cs="Times New Roman"/>
          <w:color w:val="auto"/>
          <w:sz w:val="24"/>
          <w:szCs w:val="24"/>
          <w:lang w:val="en-US" w:eastAsia="zh-CN"/>
        </w:rPr>
      </w:pPr>
      <w:r>
        <w:rPr>
          <w:rFonts w:hint="eastAsia" w:asciiTheme="minorEastAsia" w:hAnsiTheme="minorEastAsia" w:eastAsiaTheme="minorEastAsia" w:cstheme="minorEastAsia"/>
          <w:color w:val="auto"/>
          <w:sz w:val="24"/>
          <w:szCs w:val="24"/>
          <w:highlight w:val="none"/>
        </w:rPr>
        <w:t>六、一般公共预算财政拨款基本支出决算情况说明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11</w:t>
      </w:r>
    </w:p>
    <w:p>
      <w:pPr>
        <w:pStyle w:val="14"/>
        <w:pageBreakBefore w:val="0"/>
        <w:kinsoku/>
        <w:wordWrap/>
        <w:overflowPunct/>
        <w:topLinePunct w:val="0"/>
        <w:bidi w:val="0"/>
        <w:adjustRightInd w:val="0"/>
        <w:snapToGrid w:val="0"/>
        <w:spacing w:line="440" w:lineRule="exact"/>
        <w:jc w:val="left"/>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三公”经费财政拨款支出决算情况说明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11</w:t>
      </w:r>
    </w:p>
    <w:p>
      <w:pPr>
        <w:pStyle w:val="14"/>
        <w:pageBreakBefore w:val="0"/>
        <w:kinsoku/>
        <w:wordWrap/>
        <w:overflowPunct/>
        <w:topLinePunct w:val="0"/>
        <w:bidi w:val="0"/>
        <w:adjustRightInd w:val="0"/>
        <w:snapToGrid w:val="0"/>
        <w:spacing w:line="440" w:lineRule="exact"/>
        <w:jc w:val="left"/>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八、政府性基金预算支出决算情况说明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13</w:t>
      </w:r>
    </w:p>
    <w:p>
      <w:pPr>
        <w:pStyle w:val="14"/>
        <w:pageBreakBefore w:val="0"/>
        <w:kinsoku/>
        <w:wordWrap/>
        <w:overflowPunct/>
        <w:topLinePunct w:val="0"/>
        <w:bidi w:val="0"/>
        <w:adjustRightInd w:val="0"/>
        <w:snapToGrid w:val="0"/>
        <w:spacing w:line="440" w:lineRule="exact"/>
        <w:ind w:leftChars="0"/>
        <w:jc w:val="left"/>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九、</w:t>
      </w:r>
      <w:r>
        <w:rPr>
          <w:rFonts w:hint="eastAsia" w:asciiTheme="minorEastAsia" w:hAnsiTheme="minorEastAsia" w:eastAsiaTheme="minorEastAsia" w:cstheme="minorEastAsia"/>
          <w:color w:val="auto"/>
          <w:sz w:val="24"/>
          <w:szCs w:val="24"/>
          <w:highlight w:val="none"/>
          <w:lang w:eastAsia="zh-CN"/>
        </w:rPr>
        <w:t>国</w:t>
      </w:r>
      <w:r>
        <w:rPr>
          <w:rFonts w:hint="eastAsia" w:asciiTheme="minorEastAsia" w:hAnsiTheme="minorEastAsia" w:eastAsiaTheme="minorEastAsia" w:cstheme="minorEastAsia"/>
          <w:color w:val="auto"/>
          <w:sz w:val="24"/>
          <w:szCs w:val="24"/>
          <w:highlight w:val="none"/>
        </w:rPr>
        <w:t>有资本经营预算支出决算情况说明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13</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szCs w:val="24"/>
          <w:highlight w:val="none"/>
        </w:rPr>
      </w:pPr>
      <w:r>
        <w:rPr>
          <w:rStyle w:val="17"/>
          <w:rFonts w:hint="eastAsia" w:asciiTheme="minorEastAsia" w:hAnsiTheme="minorEastAsia" w:eastAsiaTheme="minorEastAsia" w:cstheme="minorEastAsia"/>
          <w:color w:val="auto"/>
          <w:sz w:val="24"/>
          <w:szCs w:val="24"/>
          <w:highlight w:val="none"/>
          <w:u w:val="none"/>
          <w:lang w:eastAsia="zh-CN"/>
        </w:rPr>
        <w:t>十</w:t>
      </w:r>
      <w:r>
        <w:rPr>
          <w:rStyle w:val="17"/>
          <w:rFonts w:hint="eastAsia" w:asciiTheme="minorEastAsia" w:hAnsiTheme="minorEastAsia" w:eastAsiaTheme="minorEastAsia" w:cstheme="minorEastAsia"/>
          <w:color w:val="auto"/>
          <w:sz w:val="24"/>
          <w:szCs w:val="24"/>
          <w:highlight w:val="none"/>
          <w:u w:val="none"/>
        </w:rPr>
        <w:t>、</w:t>
      </w:r>
      <w:r>
        <w:rPr>
          <w:rFonts w:hint="eastAsia" w:asciiTheme="minorEastAsia" w:hAnsiTheme="minorEastAsia" w:eastAsiaTheme="minorEastAsia" w:cstheme="minorEastAsia"/>
          <w:color w:val="auto"/>
          <w:sz w:val="24"/>
          <w:szCs w:val="24"/>
          <w:highlight w:val="none"/>
        </w:rPr>
        <w:t>其他重要事项的情况说明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13</w:t>
      </w:r>
    </w:p>
    <w:p>
      <w:pPr>
        <w:pStyle w:val="12"/>
        <w:adjustRightInd w:val="0"/>
        <w:snapToGrid w:val="0"/>
        <w:spacing w:before="0" w:line="440" w:lineRule="exact"/>
        <w:jc w:val="left"/>
        <w:rPr>
          <w:rFonts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15</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kern w:val="2"/>
          <w:sz w:val="24"/>
          <w:szCs w:val="24"/>
          <w:lang w:val="en-US" w:eastAsia="zh-CN" w:bidi="ar-SA"/>
        </w:rPr>
        <w:t>.</w:t>
      </w:r>
      <w:r>
        <w:rPr>
          <w:rFonts w:hint="default" w:ascii="Times New Roman" w:hAnsi="Times New Roman" w:cs="Times New Roman"/>
          <w:color w:val="auto"/>
          <w:sz w:val="24"/>
          <w:szCs w:val="24"/>
          <w:lang w:val="en-US" w:eastAsia="zh-CN"/>
        </w:rPr>
        <w:t>........</w:t>
      </w:r>
      <w:r>
        <w:rPr>
          <w:rFonts w:hint="eastAsia" w:ascii="Times New Roman" w:hAnsi="Times New Roman" w:eastAsia="宋体" w:cs="Times New Roman"/>
          <w:color w:val="auto"/>
          <w:kern w:val="2"/>
          <w:sz w:val="24"/>
          <w:szCs w:val="24"/>
          <w:lang w:val="en-US" w:eastAsia="zh-CN" w:bidi="ar-SA"/>
        </w:rPr>
        <w:t>18</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4"/>
        <w:pageBreakBefore w:val="0"/>
        <w:kinsoku/>
        <w:wordWrap/>
        <w:overflowPunct/>
        <w:topLinePunct w:val="0"/>
        <w:bidi w:val="0"/>
        <w:adjustRightInd w:val="0"/>
        <w:snapToGrid w:val="0"/>
        <w:spacing w:line="440" w:lineRule="exact"/>
        <w:jc w:val="left"/>
        <w:rPr>
          <w:rFonts w:hint="default" w:ascii="Times New Roman" w:hAnsi="Times New Roman" w:eastAsia="仿宋" w:cs="Times New Roman"/>
          <w:color w:val="auto"/>
          <w:sz w:val="24"/>
          <w:highlight w:val="none"/>
          <w:lang w:val="en-US"/>
        </w:rPr>
      </w:pPr>
      <w:bookmarkStart w:id="12" w:name="_Toc15377196"/>
      <w:bookmarkStart w:id="13" w:name="_Toc15396599"/>
      <w:r>
        <w:rPr>
          <w:rFonts w:hint="default" w:ascii="Times New Roman" w:hAnsi="Times New Roman" w:eastAsia="仿宋" w:cs="Times New Roman"/>
          <w:color w:val="auto"/>
          <w:sz w:val="24"/>
          <w:highlight w:val="none"/>
        </w:rPr>
        <w:t>一、</w:t>
      </w:r>
      <w:r>
        <w:rPr>
          <w:rFonts w:hint="default" w:ascii="Times New Roman" w:hAnsi="Times New Roman" w:cs="Times New Roman"/>
          <w:color w:val="auto"/>
          <w:sz w:val="24"/>
          <w:highlight w:val="none"/>
        </w:rPr>
        <w:t>收入支出决算总表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二、收入决算表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三、支出决算表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eastAsia" w:ascii="Times New Roman" w:hAnsi="Times New Roman" w:cs="Times New Roman"/>
          <w:color w:val="auto"/>
          <w:sz w:val="24"/>
          <w:szCs w:val="24"/>
          <w:lang w:val="en-US" w:eastAsia="zh-CN"/>
        </w:rPr>
      </w:pPr>
      <w:r>
        <w:rPr>
          <w:rFonts w:hint="default" w:ascii="Times New Roman" w:hAnsi="Times New Roman" w:cs="Times New Roman" w:eastAsiaTheme="minorEastAsia"/>
          <w:color w:val="auto"/>
          <w:sz w:val="24"/>
          <w:highlight w:val="none"/>
        </w:rPr>
        <w:t>四、财政拨款收入支出决算总表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eastAsia" w:ascii="Times New Roman" w:hAnsi="Times New Roman" w:cs="Times New Roman"/>
          <w:color w:val="auto"/>
          <w:sz w:val="24"/>
          <w:szCs w:val="24"/>
          <w:lang w:val="en-US" w:eastAsia="zh-CN"/>
        </w:rPr>
      </w:pPr>
      <w:r>
        <w:rPr>
          <w:rFonts w:hint="default" w:ascii="Times New Roman" w:hAnsi="Times New Roman" w:cs="Times New Roman" w:eastAsiaTheme="minorEastAsia"/>
          <w:color w:val="auto"/>
          <w:sz w:val="24"/>
          <w:highlight w:val="none"/>
        </w:rPr>
        <w:t>五、财政拨款支出决算明细表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六、一般公共预算财政拨款支出决算表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eastAsia" w:ascii="Times New Roman" w:hAnsi="Times New Roman" w:cs="Times New Roman"/>
          <w:color w:val="auto"/>
          <w:sz w:val="24"/>
          <w:szCs w:val="24"/>
          <w:lang w:val="en-US" w:eastAsia="zh-CN"/>
        </w:rPr>
      </w:pPr>
      <w:r>
        <w:rPr>
          <w:rFonts w:hint="default" w:ascii="Times New Roman" w:hAnsi="Times New Roman" w:cs="Times New Roman" w:eastAsiaTheme="minorEastAsia"/>
          <w:color w:val="auto"/>
          <w:sz w:val="24"/>
          <w:highlight w:val="none"/>
        </w:rPr>
        <w:t>七、一般公共预算财政拨款支出决算明细表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八、一般公共预算财政拨款基本支出决算表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eastAsia" w:ascii="Times New Roman" w:hAnsi="Times New Roman" w:cs="Times New Roman"/>
          <w:color w:val="auto"/>
          <w:sz w:val="24"/>
          <w:szCs w:val="24"/>
          <w:lang w:val="en-US" w:eastAsia="zh-CN"/>
        </w:rPr>
      </w:pPr>
      <w:r>
        <w:rPr>
          <w:rFonts w:hint="default" w:ascii="Times New Roman" w:hAnsi="Times New Roman" w:cs="Times New Roman" w:eastAsiaTheme="minorEastAsia"/>
          <w:color w:val="auto"/>
          <w:sz w:val="24"/>
          <w:highlight w:val="none"/>
        </w:rPr>
        <w:t>九、一般公共预算财政拨款项目支出决算表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十、一般公共预算财政拨款“三公”经费支出决算表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十一、政府性基金预算财政拨款收入支出决算表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十二、政府性基金预算财政拨款“三公”经费支出决算表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rPr>
      </w:pPr>
      <w:r>
        <w:rPr>
          <w:rFonts w:hint="default" w:ascii="Times New Roman" w:hAnsi="Times New Roman" w:cs="Times New Roman" w:eastAsiaTheme="minorEastAsia"/>
          <w:color w:val="auto"/>
          <w:sz w:val="24"/>
          <w:highlight w:val="none"/>
        </w:rPr>
        <w:t>十三、国有资本经营预算</w:t>
      </w:r>
      <w:r>
        <w:rPr>
          <w:rFonts w:hint="default" w:ascii="Times New Roman" w:hAnsi="Times New Roman" w:cs="Times New Roman" w:eastAsiaTheme="minorEastAsia"/>
          <w:color w:val="auto"/>
          <w:sz w:val="24"/>
          <w:highlight w:val="none"/>
          <w:lang w:eastAsia="zh-CN"/>
        </w:rPr>
        <w:t>财政拨款收入</w:t>
      </w:r>
      <w:r>
        <w:rPr>
          <w:rFonts w:hint="default" w:ascii="Times New Roman" w:hAnsi="Times New Roman" w:cs="Times New Roman" w:eastAsiaTheme="minorEastAsia"/>
          <w:color w:val="auto"/>
          <w:sz w:val="24"/>
          <w:highlight w:val="none"/>
        </w:rPr>
        <w:t>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4"/>
        <w:pageBreakBefore w:val="0"/>
        <w:kinsoku/>
        <w:wordWrap/>
        <w:overflowPunct/>
        <w:topLinePunct w:val="0"/>
        <w:bidi w:val="0"/>
        <w:adjustRightInd w:val="0"/>
        <w:snapToGrid w:val="0"/>
        <w:spacing w:line="440" w:lineRule="exact"/>
        <w:jc w:val="left"/>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eastAsiaTheme="minorEastAsia"/>
          <w:color w:val="auto"/>
          <w:sz w:val="24"/>
          <w:highlight w:val="none"/>
          <w:lang w:val="en-US" w:eastAsia="zh-CN"/>
        </w:rPr>
        <w:t>十四、国有资本经营预算财政拨款支出决算表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widowControl/>
        <w:spacing w:line="44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3"/>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Style w:val="28"/>
          <w:rFonts w:hint="eastAsia" w:ascii="黑体" w:hAnsi="黑体" w:eastAsia="黑体"/>
          <w:b w:val="0"/>
          <w:bCs w:val="0"/>
          <w:color w:val="auto"/>
          <w:highlight w:val="none"/>
          <w:lang w:eastAsia="zh-CN"/>
        </w:rPr>
      </w:pPr>
      <w:bookmarkStart w:id="14" w:name="_Toc15396600"/>
      <w:bookmarkStart w:id="15" w:name="_Toc15377197"/>
      <w:r>
        <w:rPr>
          <w:rStyle w:val="28"/>
          <w:rFonts w:hint="eastAsia" w:ascii="黑体" w:hAnsi="黑体" w:eastAsia="黑体"/>
          <w:b w:val="0"/>
          <w:bCs w:val="0"/>
          <w:color w:val="auto"/>
          <w:highlight w:val="none"/>
        </w:rPr>
        <w:t>职能</w:t>
      </w:r>
      <w:r>
        <w:rPr>
          <w:rStyle w:val="28"/>
          <w:rFonts w:hint="eastAsia" w:ascii="黑体" w:hAnsi="黑体" w:eastAsia="黑体"/>
          <w:b w:val="0"/>
          <w:bCs w:val="0"/>
          <w:color w:val="auto"/>
          <w:highlight w:val="none"/>
          <w:lang w:eastAsia="zh-CN"/>
        </w:rPr>
        <w:t>简介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一是</w:t>
      </w:r>
      <w:r>
        <w:rPr>
          <w:rFonts w:hint="eastAsia" w:ascii="仿宋_GB2312" w:hAnsi="仿宋_GB2312" w:eastAsia="仿宋_GB2312" w:cs="仿宋_GB2312"/>
          <w:color w:val="000000"/>
          <w:sz w:val="32"/>
          <w:szCs w:val="32"/>
        </w:rPr>
        <w:t>负责机关车辆、通讯、文印、物业管理等服务保障工作</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二是</w:t>
      </w:r>
      <w:r>
        <w:rPr>
          <w:rFonts w:hint="eastAsia" w:ascii="仿宋_GB2312" w:hAnsi="仿宋_GB2312" w:eastAsia="仿宋_GB2312" w:cs="仿宋_GB2312"/>
          <w:color w:val="000000"/>
          <w:sz w:val="32"/>
          <w:szCs w:val="32"/>
        </w:rPr>
        <w:t>承担机关委托的部分行政管理的事务性工作；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三是</w:t>
      </w:r>
      <w:r>
        <w:rPr>
          <w:rFonts w:hint="eastAsia" w:ascii="仿宋_GB2312" w:hAnsi="仿宋_GB2312" w:eastAsia="仿宋_GB2312" w:cs="仿宋_GB2312"/>
          <w:color w:val="000000"/>
          <w:sz w:val="32"/>
          <w:szCs w:val="32"/>
        </w:rPr>
        <w:t>负责机关交其使用的固定资产的管理和经营性资产的经营管理工作等</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四是</w:t>
      </w:r>
      <w:r>
        <w:rPr>
          <w:rFonts w:hint="eastAsia" w:ascii="仿宋_GB2312" w:hAnsi="仿宋_GB2312" w:eastAsia="仿宋_GB2312" w:cs="仿宋_GB2312"/>
          <w:color w:val="000000"/>
          <w:sz w:val="32"/>
          <w:szCs w:val="32"/>
        </w:rPr>
        <w:t>完成</w:t>
      </w:r>
      <w:r>
        <w:rPr>
          <w:rFonts w:hint="eastAsia" w:ascii="仿宋_GB2312" w:hAnsi="仿宋_GB2312" w:eastAsia="仿宋_GB2312" w:cs="仿宋_GB2312"/>
          <w:color w:val="000000"/>
          <w:sz w:val="32"/>
          <w:szCs w:val="32"/>
          <w:lang w:val="en-US" w:eastAsia="zh-CN"/>
        </w:rPr>
        <w:t>省</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省</w:t>
      </w:r>
      <w:r>
        <w:rPr>
          <w:rFonts w:hint="eastAsia" w:ascii="仿宋_GB2312" w:hAnsi="仿宋_GB2312" w:eastAsia="仿宋_GB2312" w:cs="仿宋_GB2312"/>
          <w:color w:val="000000"/>
          <w:sz w:val="32"/>
          <w:szCs w:val="32"/>
        </w:rPr>
        <w:t>政府及</w:t>
      </w:r>
      <w:r>
        <w:rPr>
          <w:rFonts w:hint="eastAsia" w:ascii="仿宋_GB2312" w:hAnsi="仿宋_GB2312" w:eastAsia="仿宋_GB2312" w:cs="仿宋_GB2312"/>
          <w:color w:val="000000"/>
          <w:sz w:val="32"/>
          <w:szCs w:val="32"/>
          <w:lang w:val="en-US" w:eastAsia="zh-CN"/>
        </w:rPr>
        <w:t>省民族宗教委</w:t>
      </w:r>
      <w:r>
        <w:rPr>
          <w:rFonts w:hint="eastAsia" w:ascii="仿宋_GB2312" w:hAnsi="仿宋_GB2312" w:eastAsia="仿宋_GB2312" w:cs="仿宋_GB2312"/>
          <w:color w:val="000000"/>
          <w:sz w:val="32"/>
          <w:szCs w:val="32"/>
        </w:rPr>
        <w:t>交办的其他事项。</w:t>
      </w:r>
    </w:p>
    <w:p>
      <w:pPr>
        <w:pageBreakBefore w:val="0"/>
        <w:numPr>
          <w:ilvl w:val="0"/>
          <w:numId w:val="0"/>
        </w:numPr>
        <w:kinsoku/>
        <w:wordWrap/>
        <w:overflowPunct/>
        <w:topLinePunct w:val="0"/>
        <w:autoSpaceDE/>
        <w:autoSpaceDN/>
        <w:bidi w:val="0"/>
        <w:adjustRightInd/>
        <w:snapToGrid/>
        <w:spacing w:line="600" w:lineRule="exact"/>
        <w:ind w:firstLine="420" w:firstLineChars="200"/>
        <w:textAlignment w:val="auto"/>
        <w:rPr>
          <w:rFonts w:hint="eastAsia"/>
        </w:rPr>
      </w:pPr>
    </w:p>
    <w:p>
      <w:pPr>
        <w:pStyle w:val="4"/>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bookmarkStart w:id="73" w:name="_GoBack"/>
      <w:bookmarkEnd w:id="73"/>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000000"/>
          <w:sz w:val="32"/>
          <w:szCs w:val="32"/>
          <w:lang w:val="en-US" w:eastAsia="zh-CN"/>
        </w:rPr>
        <w:t>一是做好疫情防控工作，</w:t>
      </w:r>
      <w:r>
        <w:rPr>
          <w:rFonts w:hint="eastAsia" w:ascii="仿宋_GB2312" w:hAnsi="仿宋_GB2312" w:eastAsia="仿宋_GB2312" w:cs="仿宋_GB2312"/>
          <w:sz w:val="32"/>
          <w:szCs w:val="32"/>
          <w:shd w:val="clear" w:color="auto" w:fill="FFFFFF"/>
          <w:lang w:val="en-US" w:eastAsia="zh-CN"/>
        </w:rPr>
        <w:t>以</w:t>
      </w:r>
      <w:r>
        <w:rPr>
          <w:rFonts w:hint="eastAsia" w:ascii="仿宋_GB2312" w:hAnsi="仿宋_GB2312" w:eastAsia="仿宋_GB2312" w:cs="仿宋_GB2312"/>
          <w:sz w:val="32"/>
          <w:szCs w:val="32"/>
          <w:shd w:val="clear" w:color="auto" w:fill="FFFFFF"/>
          <w:lang w:eastAsia="zh-CN"/>
        </w:rPr>
        <w:t>“针尖大的窟窿能漏过斗大的风”</w:t>
      </w:r>
      <w:r>
        <w:rPr>
          <w:rFonts w:hint="eastAsia" w:ascii="仿宋_GB2312" w:hAnsi="仿宋_GB2312" w:eastAsia="仿宋_GB2312" w:cs="仿宋_GB2312"/>
          <w:sz w:val="32"/>
          <w:szCs w:val="32"/>
          <w:shd w:val="clear" w:color="auto" w:fill="FFFFFF"/>
          <w:lang w:val="en-US" w:eastAsia="zh-CN"/>
        </w:rPr>
        <w:t>的谨慎态度，毫不松懈的抓好办公区</w:t>
      </w:r>
      <w:r>
        <w:rPr>
          <w:rFonts w:hint="eastAsia" w:ascii="仿宋_GB2312" w:hAnsi="仿宋_GB2312" w:eastAsia="仿宋_GB2312" w:cs="仿宋_GB2312"/>
          <w:color w:val="auto"/>
          <w:sz w:val="32"/>
          <w:szCs w:val="32"/>
          <w:shd w:val="clear" w:color="auto" w:fill="FFFFFF"/>
          <w:lang w:val="en-US" w:eastAsia="zh-CN"/>
        </w:rPr>
        <w:t>疫情防控常态化工作。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二是做好物业管理安全保障工作，从消防安全、办公环境优化等方面制定并实施了安全生产月主题活动方案，</w:t>
      </w:r>
      <w:r>
        <w:rPr>
          <w:rFonts w:hint="eastAsia" w:ascii="仿宋_GB2312" w:hAnsi="仿宋_GB2312" w:eastAsia="仿宋_GB2312" w:cs="仿宋_GB2312"/>
          <w:sz w:val="32"/>
          <w:szCs w:val="32"/>
          <w:lang w:val="en-US" w:eastAsia="zh-CN"/>
        </w:rPr>
        <w:t>落实明厨亮灶，规范库管验收，打造安心食堂，</w:t>
      </w:r>
      <w:r>
        <w:rPr>
          <w:rFonts w:hint="eastAsia" w:ascii="仿宋_GB2312" w:hAnsi="仿宋_GB2312" w:eastAsia="仿宋_GB2312" w:cs="仿宋_GB2312"/>
          <w:color w:val="000000"/>
          <w:sz w:val="32"/>
          <w:szCs w:val="32"/>
          <w:lang w:eastAsia="zh-CN"/>
        </w:rPr>
        <w:t>全年未发生任何安全事故</w:t>
      </w:r>
      <w:r>
        <w:rPr>
          <w:rFonts w:hint="eastAsia" w:ascii="仿宋_GB2312" w:hAnsi="仿宋_GB2312" w:eastAsia="仿宋_GB2312" w:cs="仿宋_GB2312"/>
          <w:color w:val="000000"/>
          <w:sz w:val="32"/>
          <w:szCs w:val="32"/>
          <w:lang w:val="en-US" w:eastAsia="zh-CN"/>
        </w:rPr>
        <w:t>。</w:t>
      </w:r>
    </w:p>
    <w:p>
      <w:pPr>
        <w:pStyle w:val="13"/>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000000"/>
          <w:kern w:val="2"/>
          <w:sz w:val="32"/>
          <w:szCs w:val="32"/>
          <w:lang w:val="en-US" w:eastAsia="zh-CN"/>
        </w:rPr>
        <w:t>三是</w:t>
      </w:r>
      <w:r>
        <w:rPr>
          <w:rFonts w:hint="eastAsia" w:ascii="仿宋_GB2312" w:hAnsi="仿宋_GB2312" w:eastAsia="仿宋_GB2312" w:cs="仿宋_GB2312"/>
          <w:b w:val="0"/>
          <w:bCs w:val="0"/>
          <w:color w:val="000000"/>
          <w:kern w:val="2"/>
          <w:sz w:val="32"/>
          <w:szCs w:val="32"/>
          <w:lang w:eastAsia="zh-CN"/>
        </w:rPr>
        <w:t>尽心尽力助力乡村振兴，</w:t>
      </w:r>
      <w:r>
        <w:rPr>
          <w:rFonts w:hint="eastAsia" w:ascii="仿宋_GB2312" w:hAnsi="仿宋_GB2312" w:eastAsia="仿宋_GB2312" w:cs="仿宋_GB2312"/>
          <w:color w:val="000000"/>
          <w:kern w:val="2"/>
          <w:sz w:val="32"/>
          <w:szCs w:val="32"/>
        </w:rPr>
        <w:t>主动联系结对帮扶对象</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sz w:val="32"/>
          <w:szCs w:val="32"/>
        </w:rPr>
        <w:t>了解其生活现状、困难和需求等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832</w:t>
      </w:r>
      <w:r>
        <w:rPr>
          <w:rFonts w:hint="eastAsia" w:ascii="仿宋_GB2312" w:hAnsi="仿宋_GB2312" w:eastAsia="仿宋_GB2312" w:cs="仿宋_GB2312"/>
          <w:sz w:val="32"/>
          <w:szCs w:val="32"/>
          <w:lang w:eastAsia="zh-CN"/>
        </w:rPr>
        <w:t>”平台上采购色达县帮扶产品。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color w:val="000000"/>
          <w:sz w:val="32"/>
          <w:szCs w:val="32"/>
          <w:lang w:val="en-US" w:eastAsia="zh-CN"/>
        </w:rPr>
        <w:t>节能及国资管理稳步推进，荣获2021年度省直公共机构节水型单位，荣获节约型机关荣誉称号。</w:t>
      </w:r>
    </w:p>
    <w:p>
      <w:pPr>
        <w:pStyle w:val="13"/>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五是</w:t>
      </w:r>
      <w:r>
        <w:rPr>
          <w:rFonts w:hint="eastAsia" w:ascii="仿宋_GB2312" w:hAnsi="仿宋_GB2312" w:eastAsia="仿宋_GB2312" w:cs="仿宋_GB2312"/>
          <w:color w:val="000000"/>
          <w:sz w:val="32"/>
          <w:szCs w:val="32"/>
        </w:rPr>
        <w:t>摸清家底、盘点固定、封存闲置、合理调配办公用房。</w:t>
      </w:r>
      <w:r>
        <w:rPr>
          <w:rFonts w:hint="eastAsia" w:ascii="仿宋_GB2312" w:hAnsi="仿宋_GB2312" w:eastAsia="仿宋_GB2312" w:cs="仿宋_GB2312"/>
          <w:sz w:val="32"/>
          <w:szCs w:val="32"/>
          <w:lang w:val="en-US" w:eastAsia="zh-CN"/>
        </w:rPr>
        <w:t>全面的清理统计了委重点资产，全面清理、汇总委机关及下属事业单位所有闲置封存物资，建立闲置封存物资台账，</w:t>
      </w:r>
      <w:r>
        <w:rPr>
          <w:rFonts w:hint="eastAsia" w:ascii="仿宋_GB2312" w:hAnsi="仿宋_GB2312" w:eastAsia="仿宋_GB2312" w:cs="仿宋_GB2312"/>
          <w:color w:val="000000"/>
          <w:sz w:val="32"/>
          <w:szCs w:val="32"/>
          <w:lang w:eastAsia="zh-CN"/>
        </w:rPr>
        <w:t>完成了年度办公用房信息统计</w:t>
      </w:r>
      <w:r>
        <w:rPr>
          <w:rFonts w:hint="eastAsia" w:ascii="仿宋_GB2312" w:hAnsi="仿宋_GB2312" w:eastAsia="仿宋_GB2312" w:cs="仿宋_GB2312"/>
          <w:color w:val="000000"/>
          <w:sz w:val="32"/>
          <w:szCs w:val="32"/>
          <w:lang w:val="en-US" w:eastAsia="zh-CN"/>
        </w:rPr>
        <w:t>工作。</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pStyle w:val="4"/>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三、机构设置情况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本单位无内设机构。</w:t>
      </w:r>
    </w:p>
    <w:p>
      <w:pPr>
        <w:pStyle w:val="2"/>
        <w:pageBreakBefore w:val="0"/>
        <w:kinsoku/>
        <w:wordWrap/>
        <w:overflowPunct/>
        <w:topLinePunct w:val="0"/>
        <w:autoSpaceDE/>
        <w:autoSpaceDN/>
        <w:bidi w:val="0"/>
        <w:adjustRightInd/>
        <w:snapToGrid/>
        <w:spacing w:line="600" w:lineRule="exact"/>
        <w:ind w:firstLine="420" w:firstLineChars="200"/>
        <w:textAlignment w:val="auto"/>
        <w:rPr>
          <w:rFonts w:hint="eastAsia"/>
          <w:lang w:val="en-US" w:eastAsia="zh-CN"/>
        </w:rPr>
      </w:pP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7"/>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16"/>
      <w:bookmarkEnd w:id="17"/>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619.72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80.3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14.89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lang w:val="en-US" w:eastAsia="zh-CN"/>
        </w:rPr>
        <w:t>单位人员增加，人员经费增加。</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0" w:name="_Toc15396604"/>
      <w:bookmarkStart w:id="21" w:name="_Toc15377206"/>
      <w:r>
        <w:rPr>
          <w:rFonts w:hint="default" w:ascii="Times New Roman" w:hAnsi="Times New Roman" w:eastAsia="仿宋" w:cs="Times New Roman"/>
          <w:color w:val="auto"/>
          <w:sz w:val="32"/>
          <w:szCs w:val="32"/>
        </w:rPr>
        <w:drawing>
          <wp:anchor distT="0" distB="0" distL="114300" distR="114300" simplePos="0" relativeHeight="251659264" behindDoc="0" locked="0" layoutInCell="1" allowOverlap="1">
            <wp:simplePos x="0" y="0"/>
            <wp:positionH relativeFrom="column">
              <wp:posOffset>330200</wp:posOffset>
            </wp:positionH>
            <wp:positionV relativeFrom="paragraph">
              <wp:posOffset>134620</wp:posOffset>
            </wp:positionV>
            <wp:extent cx="4893310" cy="2929890"/>
            <wp:effectExtent l="4445" t="4445" r="17145" b="1841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611.85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611.83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99.999</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rPr>
          <w:rFonts w:hint="default"/>
          <w:lang w:eastAsia="zh-CN"/>
        </w:rPr>
      </w:pPr>
      <w:r>
        <w:rPr>
          <w:rFonts w:hint="default" w:ascii="Times New Roman" w:hAnsi="Times New Roman" w:eastAsia="仿宋" w:cs="Times New Roman"/>
          <w:color w:val="auto"/>
          <w:sz w:val="32"/>
          <w:szCs w:val="32"/>
          <w:lang w:eastAsia="zh-CN"/>
        </w:rPr>
        <w:drawing>
          <wp:anchor distT="0" distB="0" distL="114300" distR="114300" simplePos="0" relativeHeight="251660288" behindDoc="0" locked="0" layoutInCell="1" allowOverlap="1">
            <wp:simplePos x="0" y="0"/>
            <wp:positionH relativeFrom="column">
              <wp:posOffset>689610</wp:posOffset>
            </wp:positionH>
            <wp:positionV relativeFrom="paragraph">
              <wp:posOffset>-9076055</wp:posOffset>
            </wp:positionV>
            <wp:extent cx="3796030" cy="2206625"/>
            <wp:effectExtent l="4445" t="5080" r="9525" b="1714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612.17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446.83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72.99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165.34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27.01</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default" w:ascii="Times New Roman" w:hAnsi="Times New Roman" w:eastAsia="仿宋_GB2312" w:cs="Times New Roman"/>
          <w:color w:val="auto"/>
          <w:sz w:val="32"/>
          <w:szCs w:val="32"/>
          <w:lang w:eastAsia="zh-CN"/>
        </w:rPr>
        <w:drawing>
          <wp:anchor distT="0" distB="0" distL="114300" distR="114300" simplePos="0" relativeHeight="251669504" behindDoc="0" locked="0" layoutInCell="1" allowOverlap="1">
            <wp:simplePos x="0" y="0"/>
            <wp:positionH relativeFrom="column">
              <wp:posOffset>241935</wp:posOffset>
            </wp:positionH>
            <wp:positionV relativeFrom="paragraph">
              <wp:posOffset>252095</wp:posOffset>
            </wp:positionV>
            <wp:extent cx="4889500" cy="2602865"/>
            <wp:effectExtent l="4445" t="4445" r="20955" b="2159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8"/>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611.83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96.07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18.63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人员增加，人员经费增加。</w:t>
      </w:r>
    </w:p>
    <w:p>
      <w:pPr>
        <w:spacing w:line="600" w:lineRule="exact"/>
        <w:rPr>
          <w:rFonts w:ascii="仿宋" w:hAnsi="仿宋" w:eastAsia="仿宋"/>
          <w:color w:val="auto"/>
          <w:sz w:val="32"/>
          <w:szCs w:val="32"/>
          <w:highlight w:val="none"/>
        </w:rPr>
      </w:pPr>
      <w:r>
        <w:rPr>
          <w:rFonts w:hint="default" w:ascii="Times New Roman" w:hAnsi="Times New Roman" w:eastAsia="仿宋_GB2312" w:cs="Times New Roman"/>
          <w:b/>
          <w:color w:val="auto"/>
          <w:sz w:val="32"/>
          <w:szCs w:val="32"/>
          <w:lang w:eastAsia="zh-CN"/>
        </w:rPr>
        <w:drawing>
          <wp:anchor distT="0" distB="0" distL="114300" distR="114300" simplePos="0" relativeHeight="251683840" behindDoc="0" locked="0" layoutInCell="1" allowOverlap="1">
            <wp:simplePos x="0" y="0"/>
            <wp:positionH relativeFrom="column">
              <wp:posOffset>711200</wp:posOffset>
            </wp:positionH>
            <wp:positionV relativeFrom="paragraph">
              <wp:posOffset>-8547100</wp:posOffset>
            </wp:positionV>
            <wp:extent cx="3923665" cy="2963545"/>
            <wp:effectExtent l="4445" t="4445" r="15240" b="2286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611.83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99.999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96.07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18.63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人员增加，人员经费增加。</w:t>
      </w:r>
    </w:p>
    <w:p>
      <w:pPr>
        <w:pStyle w:val="7"/>
      </w:pPr>
    </w:p>
    <w:p>
      <w:pPr>
        <w:spacing w:line="600" w:lineRule="exact"/>
        <w:ind w:firstLine="640" w:firstLineChars="200"/>
        <w:rPr>
          <w:rFonts w:ascii="仿宋" w:hAnsi="仿宋" w:eastAsia="仿宋"/>
          <w:color w:val="auto"/>
          <w:sz w:val="32"/>
          <w:szCs w:val="32"/>
          <w:highlight w:val="none"/>
        </w:rPr>
      </w:pPr>
      <w:r>
        <w:rPr>
          <w:rFonts w:hint="default" w:ascii="Times New Roman" w:hAnsi="Times New Roman" w:eastAsia="仿宋_GB2312" w:cs="Times New Roman"/>
          <w:color w:val="auto"/>
          <w:sz w:val="32"/>
          <w:szCs w:val="32"/>
          <w:lang w:eastAsia="zh-CN"/>
        </w:rPr>
        <w:drawing>
          <wp:anchor distT="0" distB="0" distL="114300" distR="114300" simplePos="0" relativeHeight="251704320" behindDoc="0" locked="0" layoutInCell="1" allowOverlap="1">
            <wp:simplePos x="0" y="0"/>
            <wp:positionH relativeFrom="column">
              <wp:posOffset>591820</wp:posOffset>
            </wp:positionH>
            <wp:positionV relativeFrom="paragraph">
              <wp:posOffset>5080</wp:posOffset>
            </wp:positionV>
            <wp:extent cx="3813175" cy="2466975"/>
            <wp:effectExtent l="4445" t="4445" r="11430" b="508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611.83</w:t>
      </w:r>
      <w:r>
        <w:rPr>
          <w:rFonts w:hint="eastAsia" w:ascii="仿宋" w:hAnsi="仿宋" w:eastAsia="仿宋"/>
          <w:color w:val="auto"/>
          <w:sz w:val="32"/>
          <w:szCs w:val="32"/>
          <w:highlight w:val="none"/>
        </w:rPr>
        <w:t>万元，主要</w:t>
      </w:r>
      <w:r>
        <w:rPr>
          <w:rFonts w:hint="default" w:ascii="Times New Roman" w:hAnsi="Times New Roman" w:eastAsia="仿宋_GB2312" w:cs="Times New Roman"/>
          <w:color w:val="auto"/>
          <w:sz w:val="32"/>
          <w:szCs w:val="32"/>
          <w:lang w:eastAsia="zh-CN"/>
        </w:rPr>
        <w:drawing>
          <wp:anchor distT="0" distB="0" distL="114300" distR="114300" simplePos="0" relativeHeight="251731968" behindDoc="0" locked="0" layoutInCell="1" allowOverlap="1">
            <wp:simplePos x="0" y="0"/>
            <wp:positionH relativeFrom="column">
              <wp:posOffset>132715</wp:posOffset>
            </wp:positionH>
            <wp:positionV relativeFrom="paragraph">
              <wp:posOffset>2074545</wp:posOffset>
            </wp:positionV>
            <wp:extent cx="4549140" cy="2814955"/>
            <wp:effectExtent l="4445" t="4445" r="18415" b="1905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用于以下方面</w:t>
      </w:r>
      <w:r>
        <w:rPr>
          <w:rFonts w:ascii="仿宋" w:hAnsi="仿宋" w:eastAsia="仿宋"/>
          <w:color w:val="auto"/>
          <w:sz w:val="32"/>
          <w:szCs w:val="32"/>
          <w:highlight w:val="none"/>
        </w:rPr>
        <w:t>:</w:t>
      </w:r>
      <w:r>
        <w:rPr>
          <w:rFonts w:hint="default" w:ascii="仿宋" w:hAnsi="仿宋" w:eastAsia="仿宋"/>
          <w:b/>
          <w:bCs/>
          <w:color w:val="auto"/>
          <w:sz w:val="32"/>
          <w:szCs w:val="32"/>
          <w:highlight w:val="none"/>
        </w:rPr>
        <w:t>一般公共服务（类）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eastAsia" w:eastAsia="仿宋_GB2312" w:cs="Times New Roman"/>
          <w:color w:val="000000" w:themeColor="text1"/>
          <w:sz w:val="32"/>
          <w:szCs w:val="32"/>
          <w:lang w:val="en-US" w:eastAsia="zh-CN"/>
          <w14:textFill>
            <w14:solidFill>
              <w14:schemeClr w14:val="tx1"/>
            </w14:solidFill>
          </w14:textFill>
        </w:rPr>
        <w:t>536.50</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eastAsia" w:eastAsia="仿宋_GB2312" w:cs="Times New Roman"/>
          <w:color w:val="000000" w:themeColor="text1"/>
          <w:sz w:val="32"/>
          <w:szCs w:val="32"/>
          <w:lang w:val="en-US" w:eastAsia="zh-CN"/>
          <w14:textFill>
            <w14:solidFill>
              <w14:schemeClr w14:val="tx1"/>
            </w14:solidFill>
          </w14:textFill>
        </w:rPr>
        <w:t>87.69</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仿宋" w:hAnsi="仿宋" w:eastAsia="仿宋"/>
          <w:b/>
          <w:bCs/>
          <w:color w:val="auto"/>
          <w:sz w:val="32"/>
          <w:szCs w:val="32"/>
          <w:highlight w:val="none"/>
          <w:lang w:val="en-US" w:eastAsia="zh-CN"/>
        </w:rPr>
        <w:t>教育（类）</w:t>
      </w:r>
      <w:r>
        <w:rPr>
          <w:rFonts w:hint="eastAsia" w:eastAsia="仿宋_GB2312" w:cs="Times New Roman"/>
          <w:color w:val="000000" w:themeColor="text1"/>
          <w:sz w:val="32"/>
          <w:szCs w:val="32"/>
          <w:lang w:val="en-US" w:eastAsia="zh-CN"/>
          <w14:textFill>
            <w14:solidFill>
              <w14:schemeClr w14:val="tx1"/>
            </w14:solidFill>
          </w14:textFill>
        </w:rPr>
        <w:t>支出0.31万元，占0.05%；</w:t>
      </w:r>
      <w:r>
        <w:rPr>
          <w:rFonts w:hint="default" w:ascii="仿宋" w:hAnsi="仿宋" w:eastAsia="仿宋"/>
          <w:b/>
          <w:bCs/>
          <w:color w:val="auto"/>
          <w:sz w:val="32"/>
          <w:szCs w:val="32"/>
          <w:highlight w:val="none"/>
          <w:lang w:val="en-US" w:eastAsia="zh-CN"/>
        </w:rPr>
        <w:t>社会保障和就业</w:t>
      </w:r>
      <w:r>
        <w:rPr>
          <w:rFonts w:hint="default" w:ascii="仿宋" w:hAnsi="仿宋" w:eastAsia="仿宋"/>
          <w:b/>
          <w:bCs/>
          <w:color w:val="auto"/>
          <w:sz w:val="32"/>
          <w:szCs w:val="32"/>
          <w:highlight w:val="none"/>
        </w:rPr>
        <w:t>（类）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eastAsia" w:eastAsia="仿宋_GB2312" w:cs="Times New Roman"/>
          <w:color w:val="000000" w:themeColor="text1"/>
          <w:sz w:val="32"/>
          <w:szCs w:val="32"/>
          <w:lang w:val="en-US" w:eastAsia="zh-CN"/>
          <w14:textFill>
            <w14:solidFill>
              <w14:schemeClr w14:val="tx1"/>
            </w14:solidFill>
          </w14:textFill>
        </w:rPr>
        <w:t>37.79</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eastAsia" w:eastAsia="仿宋_GB2312" w:cs="Times New Roman"/>
          <w:color w:val="000000" w:themeColor="text1"/>
          <w:sz w:val="32"/>
          <w:szCs w:val="32"/>
          <w:lang w:val="en-US" w:eastAsia="zh-CN"/>
          <w14:textFill>
            <w14:solidFill>
              <w14:schemeClr w14:val="tx1"/>
            </w14:solidFill>
          </w14:textFill>
        </w:rPr>
        <w:t>6.18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eastAsia" w:eastAsia="仿宋_GB2312" w:cs="Times New Roman"/>
          <w:color w:val="000000" w:themeColor="text1"/>
          <w:sz w:val="32"/>
          <w:szCs w:val="32"/>
          <w:lang w:val="en-US" w:eastAsia="zh-CN"/>
          <w14:textFill>
            <w14:solidFill>
              <w14:schemeClr w14:val="tx1"/>
            </w14:solidFill>
          </w14:textFill>
        </w:rPr>
        <w:t>7.75</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eastAsia="仿宋_GB2312" w:cs="Times New Roman"/>
          <w:color w:val="000000" w:themeColor="text1"/>
          <w:sz w:val="32"/>
          <w:szCs w:val="32"/>
          <w:lang w:val="en-US" w:eastAsia="zh-CN"/>
          <w14:textFill>
            <w14:solidFill>
              <w14:schemeClr w14:val="tx1"/>
            </w14:solidFill>
          </w14:textFill>
        </w:rPr>
        <w:t>27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仿宋" w:hAnsi="仿宋" w:eastAsia="仿宋"/>
          <w:b/>
          <w:bCs/>
          <w:color w:val="auto"/>
          <w:sz w:val="32"/>
          <w:szCs w:val="32"/>
          <w:highlight w:val="none"/>
        </w:rPr>
        <w:t>住房保障</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eastAsia" w:eastAsia="仿宋_GB2312" w:cs="Times New Roman"/>
          <w:color w:val="000000" w:themeColor="text1"/>
          <w:sz w:val="32"/>
          <w:szCs w:val="32"/>
          <w:lang w:val="en-US" w:eastAsia="zh-CN"/>
          <w14:textFill>
            <w14:solidFill>
              <w14:schemeClr w14:val="tx1"/>
            </w14:solidFill>
          </w14:textFill>
        </w:rPr>
        <w:t>29.48</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eastAsia" w:eastAsia="仿宋_GB2312" w:cs="Times New Roman"/>
          <w:color w:val="000000" w:themeColor="text1"/>
          <w:sz w:val="32"/>
          <w:szCs w:val="32"/>
          <w:lang w:val="en-US" w:eastAsia="zh-CN"/>
          <w14:textFill>
            <w14:solidFill>
              <w14:schemeClr w14:val="tx1"/>
            </w14:solidFill>
          </w14:textFill>
        </w:rPr>
        <w:t>4.81</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611.83万元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98.71</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3" w:firstLineChars="200"/>
        <w:rPr>
          <w:rFonts w:hint="default"/>
        </w:rPr>
      </w:pPr>
      <w:r>
        <w:rPr>
          <w:rStyle w:val="16"/>
          <w:rFonts w:hint="eastAsia" w:ascii="仿宋" w:hAnsi="仿宋" w:eastAsia="仿宋"/>
          <w:bCs/>
          <w:color w:val="auto"/>
          <w:sz w:val="32"/>
          <w:szCs w:val="32"/>
          <w:highlight w:val="none"/>
          <w:lang w:val="en-US" w:eastAsia="zh-CN"/>
        </w:rPr>
        <w:t>1.</w:t>
      </w:r>
      <w:r>
        <w:rPr>
          <w:rStyle w:val="16"/>
          <w:rFonts w:hint="eastAsia" w:ascii="仿宋" w:hAnsi="仿宋" w:eastAsia="仿宋"/>
          <w:bCs/>
          <w:color w:val="auto"/>
          <w:sz w:val="32"/>
          <w:szCs w:val="32"/>
          <w:highlight w:val="none"/>
        </w:rPr>
        <w:t>一般公共服务（类）</w:t>
      </w:r>
      <w:r>
        <w:rPr>
          <w:rStyle w:val="16"/>
          <w:rFonts w:hint="default" w:ascii="Times New Roman" w:hAnsi="Times New Roman" w:eastAsia="仿宋_GB2312" w:cs="Times New Roman"/>
          <w:bCs/>
          <w:color w:val="auto"/>
          <w:sz w:val="32"/>
          <w:szCs w:val="32"/>
          <w:lang w:eastAsia="zh-CN"/>
        </w:rPr>
        <w:t>民族事务</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机关服务</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 xml:space="preserve"> </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369.65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97.99</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，决算数小于预算数的主要原因是</w:t>
      </w:r>
      <w:r>
        <w:rPr>
          <w:rStyle w:val="16"/>
          <w:rFonts w:hint="default" w:ascii="Times New Roman" w:hAnsi="Times New Roman" w:eastAsia="仿宋_GB2312" w:cs="Times New Roman"/>
          <w:b w:val="0"/>
          <w:bCs/>
          <w:color w:val="000000"/>
          <w:sz w:val="32"/>
          <w:szCs w:val="32"/>
          <w:lang w:val="en-US" w:eastAsia="zh-CN"/>
        </w:rPr>
        <w:t>受疫情影响，</w:t>
      </w:r>
      <w:r>
        <w:rPr>
          <w:rFonts w:hint="default" w:ascii="Times New Roman" w:hAnsi="Times New Roman" w:eastAsia="仿宋_GB2312" w:cs="Times New Roman"/>
          <w:color w:val="auto"/>
          <w:sz w:val="32"/>
          <w:szCs w:val="32"/>
          <w:lang w:val="en-US" w:eastAsia="zh-CN"/>
        </w:rPr>
        <w:t>一般性支出减少</w:t>
      </w:r>
      <w:r>
        <w:rPr>
          <w:rStyle w:val="16"/>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Fonts w:hint="default"/>
        </w:rPr>
      </w:pPr>
      <w:r>
        <w:rPr>
          <w:rStyle w:val="16"/>
          <w:rFonts w:hint="eastAsia" w:ascii="仿宋" w:hAnsi="仿宋" w:eastAsia="仿宋"/>
          <w:bCs/>
          <w:color w:val="auto"/>
          <w:sz w:val="32"/>
          <w:szCs w:val="32"/>
          <w:highlight w:val="none"/>
          <w:lang w:val="en-US" w:eastAsia="zh-CN"/>
        </w:rPr>
        <w:t>2.</w:t>
      </w:r>
      <w:r>
        <w:rPr>
          <w:rStyle w:val="16"/>
          <w:rFonts w:hint="default" w:ascii="仿宋" w:hAnsi="仿宋" w:eastAsia="仿宋"/>
          <w:bCs/>
          <w:color w:val="auto"/>
          <w:sz w:val="32"/>
          <w:szCs w:val="32"/>
          <w:highlight w:val="none"/>
        </w:rPr>
        <w:t>一般公共服务</w:t>
      </w:r>
      <w:r>
        <w:rPr>
          <w:rStyle w:val="16"/>
          <w:rFonts w:hint="default" w:ascii="仿宋" w:hAnsi="仿宋" w:eastAsia="仿宋"/>
          <w:bCs/>
          <w:color w:val="auto"/>
          <w:sz w:val="32"/>
          <w:szCs w:val="32"/>
          <w:highlight w:val="none"/>
          <w:lang w:eastAsia="zh-CN"/>
        </w:rPr>
        <w:t>支出</w:t>
      </w:r>
      <w:r>
        <w:rPr>
          <w:rStyle w:val="16"/>
          <w:rFonts w:hint="default" w:ascii="仿宋" w:hAnsi="仿宋" w:eastAsia="仿宋"/>
          <w:bCs/>
          <w:color w:val="auto"/>
          <w:sz w:val="32"/>
          <w:szCs w:val="32"/>
          <w:highlight w:val="none"/>
        </w:rPr>
        <w:t>（类）</w:t>
      </w:r>
      <w:r>
        <w:rPr>
          <w:rStyle w:val="16"/>
          <w:rFonts w:hint="default" w:ascii="仿宋" w:hAnsi="仿宋" w:eastAsia="仿宋"/>
          <w:bCs/>
          <w:color w:val="auto"/>
          <w:sz w:val="32"/>
          <w:szCs w:val="32"/>
          <w:highlight w:val="none"/>
          <w:lang w:eastAsia="zh-CN"/>
        </w:rPr>
        <w:t>民族事务</w:t>
      </w:r>
      <w:r>
        <w:rPr>
          <w:rStyle w:val="16"/>
          <w:rFonts w:hint="default"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事业运行</w:t>
      </w:r>
      <w:r>
        <w:rPr>
          <w:rStyle w:val="16"/>
          <w:rFonts w:hint="default" w:ascii="仿宋" w:hAnsi="仿宋" w:eastAsia="仿宋"/>
          <w:bCs/>
          <w:color w:val="auto"/>
          <w:sz w:val="32"/>
          <w:szCs w:val="32"/>
          <w:highlight w:val="none"/>
        </w:rPr>
        <w:t>（项）:</w:t>
      </w:r>
      <w:r>
        <w:rPr>
          <w:rStyle w:val="16"/>
          <w:rFonts w:hint="default" w:ascii="仿宋" w:hAnsi="仿宋" w:eastAsia="仿宋"/>
          <w:b w:val="0"/>
          <w:bCs w:val="0"/>
          <w:color w:val="auto"/>
          <w:sz w:val="32"/>
          <w:szCs w:val="32"/>
          <w:highlight w:val="none"/>
        </w:rPr>
        <w:t>支出决算为</w:t>
      </w:r>
      <w:r>
        <w:rPr>
          <w:rStyle w:val="16"/>
          <w:rFonts w:hint="eastAsia" w:ascii="仿宋" w:hAnsi="仿宋" w:eastAsia="仿宋"/>
          <w:b w:val="0"/>
          <w:bCs w:val="0"/>
          <w:color w:val="auto"/>
          <w:sz w:val="32"/>
          <w:szCs w:val="32"/>
          <w:highlight w:val="none"/>
          <w:lang w:val="en-US" w:eastAsia="zh-CN"/>
        </w:rPr>
        <w:t>1.86</w:t>
      </w:r>
      <w:r>
        <w:rPr>
          <w:rStyle w:val="16"/>
          <w:rFonts w:hint="default" w:ascii="仿宋" w:hAnsi="仿宋" w:eastAsia="仿宋"/>
          <w:b w:val="0"/>
          <w:bCs w:val="0"/>
          <w:color w:val="auto"/>
          <w:sz w:val="32"/>
          <w:szCs w:val="32"/>
          <w:highlight w:val="none"/>
        </w:rPr>
        <w:t>万元，完成预算</w:t>
      </w:r>
      <w:r>
        <w:rPr>
          <w:rStyle w:val="16"/>
          <w:rFonts w:hint="eastAsia" w:ascii="仿宋" w:hAnsi="仿宋" w:eastAsia="仿宋"/>
          <w:b w:val="0"/>
          <w:bCs w:val="0"/>
          <w:color w:val="auto"/>
          <w:sz w:val="32"/>
          <w:szCs w:val="32"/>
          <w:highlight w:val="none"/>
          <w:lang w:val="en-US" w:eastAsia="zh-CN"/>
        </w:rPr>
        <w:t>100</w:t>
      </w:r>
      <w:r>
        <w:rPr>
          <w:rStyle w:val="16"/>
          <w:rFonts w:hint="default" w:ascii="仿宋" w:hAnsi="仿宋" w:eastAsia="仿宋"/>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rPr>
      </w:pPr>
      <w:r>
        <w:rPr>
          <w:rStyle w:val="16"/>
          <w:rFonts w:hint="eastAsia" w:ascii="仿宋" w:hAnsi="仿宋" w:eastAsia="仿宋"/>
          <w:bCs/>
          <w:color w:val="auto"/>
          <w:sz w:val="32"/>
          <w:szCs w:val="32"/>
          <w:highlight w:val="none"/>
          <w:lang w:val="en-US" w:eastAsia="zh-CN"/>
        </w:rPr>
        <w:t>3.</w:t>
      </w:r>
      <w:r>
        <w:rPr>
          <w:rStyle w:val="16"/>
          <w:rFonts w:hint="default" w:ascii="仿宋" w:hAnsi="仿宋" w:eastAsia="仿宋"/>
          <w:bCs/>
          <w:color w:val="auto"/>
          <w:sz w:val="32"/>
          <w:szCs w:val="32"/>
          <w:highlight w:val="none"/>
          <w:lang w:val="en-US" w:eastAsia="zh-CN"/>
        </w:rPr>
        <w:t>一般</w:t>
      </w:r>
      <w:r>
        <w:rPr>
          <w:rStyle w:val="16"/>
          <w:rFonts w:hint="default" w:ascii="仿宋" w:hAnsi="仿宋" w:eastAsia="仿宋"/>
          <w:bCs/>
          <w:color w:val="auto"/>
          <w:sz w:val="32"/>
          <w:szCs w:val="32"/>
          <w:highlight w:val="none"/>
        </w:rPr>
        <w:t>公共服务</w:t>
      </w:r>
      <w:r>
        <w:rPr>
          <w:rStyle w:val="16"/>
          <w:rFonts w:hint="default" w:ascii="仿宋" w:hAnsi="仿宋" w:eastAsia="仿宋"/>
          <w:bCs/>
          <w:color w:val="auto"/>
          <w:sz w:val="32"/>
          <w:szCs w:val="32"/>
          <w:highlight w:val="none"/>
          <w:lang w:eastAsia="zh-CN"/>
        </w:rPr>
        <w:t>支出</w:t>
      </w:r>
      <w:r>
        <w:rPr>
          <w:rStyle w:val="16"/>
          <w:rFonts w:hint="default" w:ascii="仿宋" w:hAnsi="仿宋" w:eastAsia="仿宋"/>
          <w:bCs/>
          <w:color w:val="auto"/>
          <w:sz w:val="32"/>
          <w:szCs w:val="32"/>
          <w:highlight w:val="none"/>
        </w:rPr>
        <w:t>（类）</w:t>
      </w:r>
      <w:r>
        <w:rPr>
          <w:rStyle w:val="16"/>
          <w:rFonts w:hint="default" w:ascii="仿宋" w:hAnsi="仿宋" w:eastAsia="仿宋"/>
          <w:bCs/>
          <w:color w:val="auto"/>
          <w:sz w:val="32"/>
          <w:szCs w:val="32"/>
          <w:highlight w:val="none"/>
          <w:lang w:eastAsia="zh-CN"/>
        </w:rPr>
        <w:t>民族事务</w:t>
      </w:r>
      <w:r>
        <w:rPr>
          <w:rStyle w:val="16"/>
          <w:rFonts w:hint="default" w:ascii="仿宋" w:hAnsi="仿宋" w:eastAsia="仿宋"/>
          <w:bCs/>
          <w:color w:val="auto"/>
          <w:sz w:val="32"/>
          <w:szCs w:val="32"/>
          <w:highlight w:val="none"/>
        </w:rPr>
        <w:t>（款）</w:t>
      </w:r>
      <w:r>
        <w:rPr>
          <w:rStyle w:val="16"/>
          <w:rFonts w:hint="default" w:ascii="仿宋" w:hAnsi="仿宋" w:eastAsia="仿宋"/>
          <w:bCs/>
          <w:color w:val="auto"/>
          <w:sz w:val="32"/>
          <w:szCs w:val="32"/>
          <w:highlight w:val="none"/>
          <w:lang w:eastAsia="zh-CN"/>
        </w:rPr>
        <w:t>其他民族事务支出</w:t>
      </w:r>
      <w:r>
        <w:rPr>
          <w:rStyle w:val="16"/>
          <w:rFonts w:hint="default" w:ascii="仿宋" w:hAnsi="仿宋" w:eastAsia="仿宋"/>
          <w:bCs/>
          <w:color w:val="auto"/>
          <w:sz w:val="32"/>
          <w:szCs w:val="32"/>
          <w:highlight w:val="none"/>
        </w:rPr>
        <w:t>（项）:</w:t>
      </w:r>
      <w:r>
        <w:rPr>
          <w:rStyle w:val="16"/>
          <w:rFonts w:hint="default" w:ascii="仿宋" w:hAnsi="仿宋" w:eastAsia="仿宋"/>
          <w:b w:val="0"/>
          <w:bCs w:val="0"/>
          <w:color w:val="auto"/>
          <w:sz w:val="32"/>
          <w:szCs w:val="32"/>
          <w:highlight w:val="none"/>
        </w:rPr>
        <w:t>支出决算为</w:t>
      </w:r>
      <w:r>
        <w:rPr>
          <w:rStyle w:val="16"/>
          <w:rFonts w:hint="eastAsia" w:ascii="仿宋" w:hAnsi="仿宋" w:eastAsia="仿宋"/>
          <w:b w:val="0"/>
          <w:bCs w:val="0"/>
          <w:color w:val="auto"/>
          <w:sz w:val="32"/>
          <w:szCs w:val="32"/>
          <w:highlight w:val="none"/>
          <w:lang w:val="en-US" w:eastAsia="zh-CN"/>
        </w:rPr>
        <w:t>165</w:t>
      </w:r>
      <w:r>
        <w:rPr>
          <w:rStyle w:val="16"/>
          <w:rFonts w:hint="default" w:ascii="仿宋" w:hAnsi="仿宋" w:eastAsia="仿宋"/>
          <w:b w:val="0"/>
          <w:bCs w:val="0"/>
          <w:color w:val="auto"/>
          <w:sz w:val="32"/>
          <w:szCs w:val="32"/>
          <w:highlight w:val="none"/>
        </w:rPr>
        <w:t>万元，完成预算</w:t>
      </w:r>
      <w:r>
        <w:rPr>
          <w:rStyle w:val="16"/>
          <w:rFonts w:hint="eastAsia" w:ascii="仿宋" w:hAnsi="仿宋" w:eastAsia="仿宋"/>
          <w:b w:val="0"/>
          <w:bCs w:val="0"/>
          <w:color w:val="auto"/>
          <w:sz w:val="32"/>
          <w:szCs w:val="32"/>
          <w:highlight w:val="none"/>
          <w:lang w:val="en-US" w:eastAsia="zh-CN"/>
        </w:rPr>
        <w:t>100</w:t>
      </w:r>
      <w:r>
        <w:rPr>
          <w:rStyle w:val="16"/>
          <w:rFonts w:hint="default" w:ascii="仿宋" w:hAnsi="仿宋" w:eastAsia="仿宋"/>
          <w:b w:val="0"/>
          <w:bCs w:val="0"/>
          <w:color w:val="auto"/>
          <w:sz w:val="32"/>
          <w:szCs w:val="32"/>
          <w:highlight w:val="none"/>
        </w:rPr>
        <w:t>%</w:t>
      </w:r>
      <w:r>
        <w:rPr>
          <w:rStyle w:val="16"/>
          <w:rFonts w:hint="default" w:ascii="Times New Roman" w:hAnsi="Times New Roman" w:eastAsia="仿宋_GB2312" w:cs="Times New Roman"/>
          <w:b w:val="0"/>
          <w:bCs w:val="0"/>
          <w:color w:val="000000"/>
          <w:sz w:val="32"/>
          <w:szCs w:val="32"/>
        </w:rPr>
        <w:t>。</w:t>
      </w:r>
    </w:p>
    <w:p>
      <w:pPr>
        <w:pStyle w:val="2"/>
        <w:numPr>
          <w:ilvl w:val="0"/>
          <w:numId w:val="0"/>
        </w:numPr>
      </w:pPr>
    </w:p>
    <w:p>
      <w:pPr>
        <w:spacing w:line="600" w:lineRule="exact"/>
        <w:ind w:firstLine="643" w:firstLineChars="200"/>
        <w:rPr>
          <w:rFonts w:hint="eastAsia" w:eastAsia="仿宋"/>
          <w:lang w:val="en-US" w:eastAsia="zh-CN"/>
        </w:rPr>
      </w:pPr>
      <w:r>
        <w:rPr>
          <w:rStyle w:val="16"/>
          <w:rFonts w:hint="eastAsia" w:ascii="仿宋" w:hAnsi="仿宋" w:eastAsia="仿宋"/>
          <w:bCs/>
          <w:color w:val="auto"/>
          <w:sz w:val="32"/>
          <w:szCs w:val="32"/>
          <w:highlight w:val="none"/>
          <w:lang w:val="en-US" w:eastAsia="zh-CN"/>
        </w:rPr>
        <w:t>4</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教育（类）</w:t>
      </w:r>
      <w:r>
        <w:rPr>
          <w:rStyle w:val="16"/>
          <w:rFonts w:hint="eastAsia" w:ascii="仿宋" w:hAnsi="仿宋" w:eastAsia="仿宋"/>
          <w:bCs/>
          <w:color w:val="auto"/>
          <w:sz w:val="32"/>
          <w:szCs w:val="32"/>
          <w:highlight w:val="none"/>
          <w:lang w:val="en-US" w:eastAsia="zh-CN"/>
        </w:rPr>
        <w:t>进修及培训</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培训支出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0.31</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62.8</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，决算数小于预算数的主要原因是</w:t>
      </w:r>
      <w:r>
        <w:rPr>
          <w:rStyle w:val="16"/>
          <w:rFonts w:hint="default" w:ascii="Times New Roman" w:hAnsi="Times New Roman" w:eastAsia="仿宋_GB2312" w:cs="Times New Roman"/>
          <w:b w:val="0"/>
          <w:bCs/>
          <w:color w:val="000000"/>
          <w:sz w:val="32"/>
          <w:szCs w:val="32"/>
          <w:lang w:val="en-US" w:eastAsia="zh-CN"/>
        </w:rPr>
        <w:t>受疫情影响，</w:t>
      </w:r>
      <w:r>
        <w:rPr>
          <w:rStyle w:val="16"/>
          <w:rFonts w:hint="eastAsia" w:eastAsia="仿宋_GB2312" w:cs="Times New Roman"/>
          <w:b w:val="0"/>
          <w:bCs/>
          <w:color w:val="000000"/>
          <w:sz w:val="32"/>
          <w:szCs w:val="32"/>
          <w:lang w:val="en-US" w:eastAsia="zh-CN"/>
        </w:rPr>
        <w:t>培训支出减少</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5</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 xml:space="preserve">行政单位离退休 </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1.80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6.</w:t>
      </w:r>
      <w:r>
        <w:rPr>
          <w:rStyle w:val="16"/>
          <w:rFonts w:hint="eastAsia" w:ascii="仿宋" w:hAnsi="仿宋" w:eastAsia="仿宋"/>
          <w:bCs/>
          <w:color w:val="auto"/>
          <w:sz w:val="32"/>
          <w:szCs w:val="32"/>
          <w:highlight w:val="none"/>
        </w:rPr>
        <w:t>社会保障和就业（类）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 xml:space="preserve">事业单位离退休 </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20.93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7.</w:t>
      </w:r>
      <w:r>
        <w:rPr>
          <w:rStyle w:val="16"/>
          <w:rFonts w:hint="eastAsia" w:ascii="仿宋" w:hAnsi="仿宋" w:eastAsia="仿宋"/>
          <w:bCs/>
          <w:color w:val="auto"/>
          <w:sz w:val="32"/>
          <w:szCs w:val="32"/>
          <w:highlight w:val="none"/>
        </w:rPr>
        <w:t>社会保障和就业（类）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eastAsia" w:ascii="仿宋" w:hAnsi="仿宋" w:eastAsia="仿宋"/>
          <w:bCs/>
          <w:color w:val="auto"/>
          <w:sz w:val="32"/>
          <w:szCs w:val="32"/>
          <w:highlight w:val="none"/>
        </w:rPr>
        <w:t>（款）</w:t>
      </w:r>
      <w:r>
        <w:rPr>
          <w:rStyle w:val="16"/>
          <w:rFonts w:hint="default" w:ascii="Times New Roman" w:hAnsi="Times New Roman" w:eastAsia="仿宋_GB2312" w:cs="Times New Roman"/>
          <w:bCs/>
          <w:color w:val="auto"/>
          <w:sz w:val="32"/>
          <w:szCs w:val="32"/>
          <w:lang w:eastAsia="zh-CN"/>
        </w:rPr>
        <w:t>机关事业单位基本养老保险缴费支出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9.83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97.91</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default" w:ascii="Times New Roman" w:hAnsi="Times New Roman" w:eastAsia="仿宋_GB2312" w:cs="Times New Roman"/>
          <w:b w:val="0"/>
          <w:bCs/>
          <w:color w:val="auto"/>
          <w:sz w:val="32"/>
          <w:szCs w:val="32"/>
          <w:lang w:eastAsia="zh-CN"/>
        </w:rPr>
        <w:t>年内各单位有新增退休人员，停缴养老保险</w:t>
      </w:r>
      <w:r>
        <w:rPr>
          <w:rStyle w:val="16"/>
          <w:rFonts w:hint="eastAsia" w:ascii="仿宋" w:hAnsi="仿宋" w:eastAsia="仿宋"/>
          <w:b w:val="0"/>
          <w:bCs/>
          <w:color w:val="auto"/>
          <w:sz w:val="32"/>
          <w:szCs w:val="32"/>
          <w:highlight w:val="none"/>
        </w:rPr>
        <w:t>。</w:t>
      </w:r>
    </w:p>
    <w:p>
      <w:pPr>
        <w:spacing w:line="600" w:lineRule="exact"/>
        <w:ind w:firstLine="643" w:firstLineChars="200"/>
      </w:pPr>
      <w:r>
        <w:rPr>
          <w:rStyle w:val="16"/>
          <w:rFonts w:hint="eastAsia" w:ascii="仿宋" w:hAnsi="仿宋" w:eastAsia="仿宋"/>
          <w:bCs/>
          <w:color w:val="auto"/>
          <w:sz w:val="32"/>
          <w:szCs w:val="32"/>
          <w:highlight w:val="none"/>
          <w:lang w:val="en-US" w:eastAsia="zh-CN"/>
        </w:rPr>
        <w:t>8.</w:t>
      </w:r>
      <w:r>
        <w:rPr>
          <w:rStyle w:val="16"/>
          <w:rFonts w:hint="eastAsia" w:ascii="仿宋" w:hAnsi="仿宋" w:eastAsia="仿宋"/>
          <w:bCs/>
          <w:color w:val="auto"/>
          <w:sz w:val="32"/>
          <w:szCs w:val="32"/>
          <w:highlight w:val="none"/>
        </w:rPr>
        <w:t>社会保障和就业（类）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eastAsia" w:ascii="仿宋" w:hAnsi="仿宋" w:eastAsia="仿宋"/>
          <w:bCs/>
          <w:color w:val="auto"/>
          <w:sz w:val="32"/>
          <w:szCs w:val="32"/>
          <w:highlight w:val="none"/>
        </w:rPr>
        <w:t>（款）</w:t>
      </w:r>
      <w:r>
        <w:rPr>
          <w:rStyle w:val="16"/>
          <w:rFonts w:hint="default" w:ascii="Times New Roman" w:hAnsi="Times New Roman" w:eastAsia="仿宋_GB2312" w:cs="Times New Roman"/>
          <w:bCs/>
          <w:color w:val="auto"/>
          <w:sz w:val="32"/>
          <w:szCs w:val="32"/>
          <w:lang w:eastAsia="zh-CN"/>
        </w:rPr>
        <w:t>机关事业单位</w:t>
      </w:r>
      <w:r>
        <w:rPr>
          <w:rStyle w:val="16"/>
          <w:rFonts w:hint="eastAsia" w:eastAsia="仿宋_GB2312" w:cs="Times New Roman"/>
          <w:bCs/>
          <w:color w:val="auto"/>
          <w:sz w:val="32"/>
          <w:szCs w:val="32"/>
          <w:lang w:val="en-US" w:eastAsia="zh-CN"/>
        </w:rPr>
        <w:t>职业年金缴费支出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5.23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9</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eastAsia="zh-CN"/>
        </w:rPr>
        <w:t>）</w:t>
      </w:r>
      <w:r>
        <w:rPr>
          <w:rStyle w:val="16"/>
          <w:rFonts w:hint="default" w:ascii="Times New Roman" w:hAnsi="Times New Roman" w:eastAsia="仿宋_GB2312" w:cs="Times New Roman"/>
          <w:bCs/>
          <w:color w:val="auto"/>
          <w:sz w:val="32"/>
          <w:szCs w:val="32"/>
          <w:lang w:eastAsia="zh-CN"/>
        </w:rPr>
        <w:t>行政事业单位医疗</w:t>
      </w:r>
      <w:r>
        <w:rPr>
          <w:rStyle w:val="16"/>
          <w:rFonts w:hint="default" w:ascii="Times New Roman" w:hAnsi="Times New Roman" w:eastAsia="仿宋_GB2312" w:cs="Times New Roman"/>
          <w:bCs/>
          <w:color w:val="auto"/>
          <w:sz w:val="32"/>
          <w:szCs w:val="32"/>
        </w:rPr>
        <w:t>（款）</w:t>
      </w:r>
      <w:r>
        <w:rPr>
          <w:rStyle w:val="16"/>
          <w:rFonts w:hint="eastAsia" w:eastAsia="仿宋_GB2312" w:cs="Times New Roman"/>
          <w:bCs/>
          <w:color w:val="auto"/>
          <w:sz w:val="32"/>
          <w:szCs w:val="32"/>
          <w:lang w:val="en-US" w:eastAsia="zh-CN"/>
        </w:rPr>
        <w:t>事业</w:t>
      </w:r>
      <w:r>
        <w:rPr>
          <w:rStyle w:val="16"/>
          <w:rFonts w:hint="default" w:ascii="Times New Roman" w:hAnsi="Times New Roman" w:eastAsia="仿宋_GB2312" w:cs="Times New Roman"/>
          <w:bCs/>
          <w:color w:val="auto"/>
          <w:sz w:val="32"/>
          <w:szCs w:val="32"/>
          <w:lang w:eastAsia="zh-CN"/>
        </w:rPr>
        <w:t>单位医疗</w:t>
      </w:r>
      <w:r>
        <w:rPr>
          <w:rStyle w:val="16"/>
          <w:rFonts w:hint="eastAsia"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（项）:</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7.75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pStyle w:val="2"/>
        <w:ind w:firstLine="643" w:firstLineChars="200"/>
        <w:rPr>
          <w:rStyle w:val="16"/>
          <w:rFonts w:hint="default" w:ascii="Times New Roman" w:hAnsi="Times New Roman" w:eastAsia="仿宋_GB2312" w:cs="Times New Roman"/>
          <w:b w:val="0"/>
          <w:bCs/>
          <w:color w:val="auto"/>
          <w:sz w:val="32"/>
          <w:szCs w:val="32"/>
        </w:rPr>
      </w:pPr>
      <w:r>
        <w:rPr>
          <w:rStyle w:val="16"/>
          <w:rFonts w:hint="eastAsia" w:ascii="仿宋" w:hAnsi="仿宋" w:eastAsia="仿宋" w:cs="Times New Roman"/>
          <w:bCs/>
          <w:color w:val="auto"/>
          <w:kern w:val="2"/>
          <w:sz w:val="32"/>
          <w:szCs w:val="32"/>
          <w:highlight w:val="none"/>
          <w:lang w:val="en-US" w:eastAsia="zh-CN" w:bidi="ar-SA"/>
        </w:rPr>
        <w:t>10.</w:t>
      </w:r>
      <w:r>
        <w:rPr>
          <w:rStyle w:val="16"/>
          <w:rFonts w:hint="default" w:ascii="仿宋" w:hAnsi="仿宋" w:eastAsia="仿宋" w:cs="Times New Roman"/>
          <w:bCs/>
          <w:color w:val="auto"/>
          <w:kern w:val="2"/>
          <w:sz w:val="32"/>
          <w:szCs w:val="32"/>
          <w:highlight w:val="none"/>
          <w:lang w:val="en-US" w:eastAsia="zh-CN" w:bidi="ar-SA"/>
        </w:rPr>
        <w:t>住房保障支出（类）住</w:t>
      </w:r>
      <w:r>
        <w:rPr>
          <w:rStyle w:val="16"/>
          <w:rFonts w:hint="default" w:ascii="Times New Roman" w:hAnsi="Times New Roman" w:eastAsia="仿宋_GB2312" w:cs="Times New Roman"/>
          <w:bCs/>
          <w:color w:val="auto"/>
          <w:sz w:val="32"/>
          <w:szCs w:val="32"/>
          <w:lang w:eastAsia="zh-CN"/>
        </w:rPr>
        <w:t>房改革支出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住房公积金</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default" w:ascii="Times New Roman" w:hAnsi="Times New Roman" w:eastAsia="仿宋_GB2312" w:cs="Times New Roman"/>
          <w:b w:val="0"/>
          <w:bCs/>
          <w:color w:val="auto"/>
          <w:sz w:val="32"/>
          <w:szCs w:val="32"/>
          <w:lang w:val="en-US" w:eastAsia="zh-CN"/>
        </w:rPr>
        <w:t>9.</w:t>
      </w:r>
      <w:r>
        <w:rPr>
          <w:rStyle w:val="16"/>
          <w:rFonts w:hint="eastAsia" w:ascii="Times New Roman" w:hAnsi="Times New Roman" w:eastAsia="仿宋_GB2312" w:cs="Times New Roman"/>
          <w:b w:val="0"/>
          <w:bCs/>
          <w:color w:val="auto"/>
          <w:sz w:val="32"/>
          <w:szCs w:val="32"/>
          <w:lang w:val="en-US" w:eastAsia="zh-CN"/>
        </w:rPr>
        <w:t>91</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100</w:t>
      </w:r>
      <w:r>
        <w:rPr>
          <w:rStyle w:val="16"/>
          <w:rFonts w:hint="default" w:ascii="Times New Roman" w:hAnsi="Times New Roman" w:eastAsia="仿宋_GB2312" w:cs="Times New Roman"/>
          <w:b w:val="0"/>
          <w:bCs/>
          <w:color w:val="auto"/>
          <w:sz w:val="32"/>
          <w:szCs w:val="32"/>
        </w:rPr>
        <w:t>%。</w:t>
      </w:r>
    </w:p>
    <w:p>
      <w:pPr>
        <w:pStyle w:val="2"/>
        <w:ind w:firstLine="643" w:firstLineChars="200"/>
        <w:rPr>
          <w:rStyle w:val="16"/>
          <w:rFonts w:hint="default" w:ascii="Times New Roman" w:hAnsi="Times New Roman" w:eastAsia="仿宋_GB2312" w:cs="Times New Roman"/>
          <w:b w:val="0"/>
          <w:bCs/>
          <w:color w:val="auto"/>
          <w:sz w:val="32"/>
          <w:szCs w:val="32"/>
        </w:rPr>
      </w:pPr>
      <w:r>
        <w:rPr>
          <w:rStyle w:val="16"/>
          <w:rFonts w:hint="eastAsia" w:ascii="仿宋" w:hAnsi="仿宋" w:eastAsia="仿宋" w:cs="Times New Roman"/>
          <w:bCs/>
          <w:color w:val="auto"/>
          <w:kern w:val="2"/>
          <w:sz w:val="32"/>
          <w:szCs w:val="32"/>
          <w:highlight w:val="none"/>
          <w:lang w:val="en-US" w:eastAsia="zh-CN" w:bidi="ar-SA"/>
        </w:rPr>
        <w:t>11.</w:t>
      </w:r>
      <w:r>
        <w:rPr>
          <w:rStyle w:val="16"/>
          <w:rFonts w:hint="default" w:ascii="仿宋" w:hAnsi="仿宋" w:eastAsia="仿宋" w:cs="Times New Roman"/>
          <w:bCs/>
          <w:color w:val="auto"/>
          <w:kern w:val="2"/>
          <w:sz w:val="32"/>
          <w:szCs w:val="32"/>
          <w:highlight w:val="none"/>
          <w:lang w:val="en-US" w:eastAsia="zh-CN" w:bidi="ar-SA"/>
        </w:rPr>
        <w:t>住房保障支出（类）住</w:t>
      </w:r>
      <w:r>
        <w:rPr>
          <w:rStyle w:val="16"/>
          <w:rFonts w:hint="default" w:ascii="Times New Roman" w:hAnsi="Times New Roman" w:eastAsia="仿宋_GB2312" w:cs="Times New Roman"/>
          <w:bCs/>
          <w:color w:val="auto"/>
          <w:sz w:val="32"/>
          <w:szCs w:val="32"/>
          <w:lang w:eastAsia="zh-CN"/>
        </w:rPr>
        <w:t>房改革支出</w:t>
      </w:r>
      <w:r>
        <w:rPr>
          <w:rStyle w:val="16"/>
          <w:rFonts w:hint="default" w:ascii="Times New Roman" w:hAnsi="Times New Roman" w:eastAsia="仿宋_GB2312" w:cs="Times New Roman"/>
          <w:bCs/>
          <w:color w:val="auto"/>
          <w:sz w:val="32"/>
          <w:szCs w:val="32"/>
        </w:rPr>
        <w:t>（款）</w:t>
      </w:r>
      <w:r>
        <w:rPr>
          <w:rStyle w:val="16"/>
          <w:rFonts w:hint="eastAsia" w:ascii="Times New Roman" w:hAnsi="Times New Roman" w:eastAsia="仿宋_GB2312" w:cs="Times New Roman"/>
          <w:bCs/>
          <w:color w:val="auto"/>
          <w:sz w:val="32"/>
          <w:szCs w:val="32"/>
          <w:lang w:val="en-US" w:eastAsia="zh-CN"/>
        </w:rPr>
        <w:t>购房补贴</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hAnsi="Times New Roman" w:eastAsia="仿宋_GB2312" w:cs="Times New Roman"/>
          <w:b w:val="0"/>
          <w:bCs/>
          <w:color w:val="auto"/>
          <w:sz w:val="32"/>
          <w:szCs w:val="32"/>
          <w:lang w:val="en-US" w:eastAsia="zh-CN"/>
        </w:rPr>
        <w:t>19.57</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100</w:t>
      </w:r>
      <w:r>
        <w:rPr>
          <w:rStyle w:val="16"/>
          <w:rFonts w:hint="default" w:ascii="Times New Roman" w:hAnsi="Times New Roman" w:eastAsia="仿宋_GB2312" w:cs="Times New Roman"/>
          <w:b w:val="0"/>
          <w:bCs/>
          <w:color w:val="auto"/>
          <w:sz w:val="32"/>
          <w:szCs w:val="32"/>
        </w:rPr>
        <w:t>%。</w:t>
      </w:r>
    </w:p>
    <w:p>
      <w:pPr>
        <w:rPr>
          <w:lang w:val="en-US"/>
        </w:rPr>
      </w:pPr>
    </w:p>
    <w:p>
      <w:pPr>
        <w:tabs>
          <w:tab w:val="right" w:pos="8306"/>
        </w:tabs>
        <w:spacing w:line="600" w:lineRule="exact"/>
        <w:ind w:firstLine="640"/>
        <w:outlineLvl w:val="1"/>
        <w:rPr>
          <w:rStyle w:val="28"/>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34"/>
      <w:bookmarkEnd w:id="35"/>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446.83</w:t>
      </w:r>
      <w:r>
        <w:rPr>
          <w:rFonts w:hint="eastAsia" w:ascii="仿宋" w:hAnsi="仿宋" w:eastAsia="仿宋"/>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176.70</w:t>
      </w:r>
      <w:r>
        <w:rPr>
          <w:rFonts w:hint="eastAsia" w:ascii="仿宋" w:hAnsi="仿宋" w:eastAsia="仿宋"/>
          <w:color w:val="auto"/>
          <w:sz w:val="32"/>
          <w:szCs w:val="32"/>
          <w:highlight w:val="none"/>
        </w:rPr>
        <w:t>万元，主要包括：</w:t>
      </w:r>
      <w:r>
        <w:rPr>
          <w:rFonts w:hint="default" w:ascii="Times New Roman" w:hAnsi="Times New Roman" w:eastAsia="仿宋_GB2312" w:cs="Times New Roman"/>
          <w:color w:val="000000"/>
          <w:sz w:val="32"/>
          <w:szCs w:val="32"/>
        </w:rPr>
        <w:t>基本工资、津贴补贴、奖金、绩效工资、机关事业单位基本养老保险缴费、职业年金缴费、其他社会保障缴费、其他工资福利支出、医疗费补助、奖励金、住房公积金、其他对个人和家庭的补助支出等。</w:t>
      </w:r>
      <w:r>
        <w:rPr>
          <w:rFonts w:hint="default" w:ascii="Times New Roman" w:hAnsi="Times New Roman" w:eastAsia="仿宋_GB2312" w:cs="Times New Roman"/>
          <w:color w:val="000000"/>
          <w:sz w:val="32"/>
          <w:szCs w:val="32"/>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270.13</w:t>
      </w:r>
      <w:r>
        <w:rPr>
          <w:rFonts w:hint="eastAsia" w:ascii="仿宋" w:hAnsi="仿宋" w:eastAsia="仿宋"/>
          <w:color w:val="auto"/>
          <w:sz w:val="32"/>
          <w:szCs w:val="32"/>
          <w:highlight w:val="none"/>
        </w:rPr>
        <w:t>万元，主要包括：</w:t>
      </w:r>
      <w:r>
        <w:rPr>
          <w:rFonts w:hint="default" w:ascii="Times New Roman" w:hAnsi="Times New Roman" w:eastAsia="仿宋_GB2312" w:cs="Times New Roman"/>
          <w:color w:val="000000"/>
          <w:sz w:val="32"/>
          <w:szCs w:val="32"/>
        </w:rPr>
        <w:t>办公费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水费、电费、邮电费、物业管理费、差旅费、维修（护）费、培训费、劳务费、工会经费、福利费、公务用车运行维护费、其他交通费、其他商品和服务支出等。</w:t>
      </w:r>
    </w:p>
    <w:p>
      <w:pPr>
        <w:spacing w:line="600" w:lineRule="exact"/>
        <w:ind w:firstLine="640"/>
        <w:outlineLvl w:val="1"/>
        <w:rPr>
          <w:rStyle w:val="28"/>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23.95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79.83</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default" w:ascii="Times New Roman" w:hAnsi="Times New Roman" w:eastAsia="仿宋_GB2312" w:cs="Times New Roman"/>
          <w:color w:val="auto"/>
          <w:sz w:val="32"/>
          <w:szCs w:val="32"/>
          <w:lang w:val="en-US" w:eastAsia="zh-CN"/>
        </w:rPr>
        <w:t>受疫情影响出差减少，公务用车运行维护费减少</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default" w:ascii="Times New Roman" w:hAnsi="Times New Roman" w:eastAsia="仿宋" w:cs="Times New Roman"/>
          <w:color w:val="auto"/>
          <w:sz w:val="32"/>
          <w:szCs w:val="32"/>
          <w:lang w:eastAsia="zh-CN"/>
        </w:rPr>
        <w:drawing>
          <wp:anchor distT="0" distB="0" distL="114300" distR="114300" simplePos="0" relativeHeight="251767808" behindDoc="0" locked="0" layoutInCell="1" allowOverlap="1">
            <wp:simplePos x="0" y="0"/>
            <wp:positionH relativeFrom="column">
              <wp:posOffset>281305</wp:posOffset>
            </wp:positionH>
            <wp:positionV relativeFrom="paragraph">
              <wp:posOffset>32385</wp:posOffset>
            </wp:positionV>
            <wp:extent cx="4521200" cy="2136140"/>
            <wp:effectExtent l="4445" t="4445" r="8255" b="1206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23.95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r>
        <w:rPr>
          <w:rFonts w:hint="eastAsia" w:ascii="仿宋" w:hAnsi="仿宋" w:eastAsia="仿宋"/>
          <w:color w:val="auto"/>
          <w:sz w:val="32"/>
          <w:szCs w:val="32"/>
          <w:highlight w:val="none"/>
          <w:lang w:eastAsia="zh-CN"/>
        </w:rPr>
        <w:t>：</w:t>
      </w:r>
    </w:p>
    <w:p>
      <w:pPr>
        <w:numPr>
          <w:ilvl w:val="0"/>
          <w:numId w:val="3"/>
        </w:numPr>
        <w:spacing w:line="600" w:lineRule="exact"/>
        <w:ind w:firstLine="640"/>
        <w:rPr>
          <w:rFonts w:hint="default" w:ascii="Times New Roman" w:hAnsi="Times New Roman" w:eastAsia="仿宋_GB2312" w:cs="Times New Roman"/>
          <w:color w:val="auto"/>
          <w:sz w:val="32"/>
          <w:szCs w:val="32"/>
        </w:rPr>
      </w:pP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default" w:ascii="Times New Roman" w:hAnsi="Times New Roman" w:eastAsia="仿宋_GB2312" w:cs="Times New Roman"/>
          <w:color w:val="auto"/>
          <w:sz w:val="32"/>
          <w:szCs w:val="32"/>
        </w:rPr>
        <w:t>因公出国（境）支出决算</w:t>
      </w:r>
      <w:r>
        <w:rPr>
          <w:rFonts w:hint="eastAsia"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rPr>
        <w:t>20</w:t>
      </w:r>
      <w:r>
        <w:rPr>
          <w:rFonts w:hint="eastAsia"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eastAsia" w:eastAsia="仿宋_GB2312" w:cs="Times New Roman"/>
          <w:color w:val="auto"/>
          <w:sz w:val="32"/>
          <w:szCs w:val="32"/>
          <w:lang w:val="en-US" w:eastAsia="zh-CN"/>
        </w:rPr>
        <w:t>持平</w:t>
      </w:r>
      <w:r>
        <w:rPr>
          <w:rFonts w:hint="default" w:ascii="Times New Roman" w:hAnsi="Times New Roman" w:eastAsia="仿宋_GB2312" w:cs="Times New Roman"/>
          <w:color w:val="auto"/>
          <w:sz w:val="32"/>
          <w:szCs w:val="32"/>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23.95</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Fonts w:hint="eastAsia" w:ascii="仿宋" w:hAnsi="仿宋" w:eastAsia="仿宋"/>
          <w:color w:val="auto"/>
          <w:sz w:val="32"/>
          <w:szCs w:val="32"/>
          <w:highlight w:val="none"/>
          <w:lang w:val="en-US" w:eastAsia="zh-CN"/>
        </w:rPr>
        <w:t>79.83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1.15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4.58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default" w:ascii="Times New Roman" w:hAnsi="Times New Roman" w:eastAsia="仿宋_GB2312" w:cs="Times New Roman"/>
          <w:color w:val="auto"/>
          <w:sz w:val="32"/>
          <w:szCs w:val="32"/>
          <w:lang w:val="en-US" w:eastAsia="zh-CN"/>
        </w:rPr>
        <w:t>受疫情影响出差减少，公务用车运行维护费减少</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23.95</w:t>
      </w:r>
      <w:r>
        <w:rPr>
          <w:rFonts w:hint="eastAsia" w:ascii="仿宋_GB2312" w:eastAsia="仿宋_GB2312"/>
          <w:color w:val="auto"/>
          <w:sz w:val="32"/>
          <w:szCs w:val="32"/>
          <w:highlight w:val="none"/>
        </w:rPr>
        <w:t>万元。主要用于</w:t>
      </w:r>
      <w:r>
        <w:rPr>
          <w:rFonts w:hint="default" w:ascii="Times New Roman" w:hAnsi="Times New Roman" w:eastAsia="仿宋_GB2312" w:cs="Times New Roman"/>
          <w:color w:val="000000"/>
          <w:sz w:val="32"/>
          <w:szCs w:val="32"/>
          <w:lang w:val="en-US" w:eastAsia="zh-CN"/>
        </w:rPr>
        <w:t>委机关</w:t>
      </w:r>
      <w:r>
        <w:rPr>
          <w:rFonts w:hint="default" w:ascii="Times New Roman" w:hAnsi="Times New Roman" w:eastAsia="仿宋_GB2312" w:cs="Times New Roman"/>
          <w:color w:val="auto"/>
          <w:sz w:val="32"/>
          <w:szCs w:val="32"/>
          <w:lang w:eastAsia="zh-CN"/>
        </w:rPr>
        <w:t>民族宗教工作调研、民族团结进步示范创建工作验收、宗教督查</w:t>
      </w:r>
      <w:r>
        <w:rPr>
          <w:rFonts w:hint="default" w:ascii="Times New Roman" w:hAnsi="Times New Roman" w:eastAsia="仿宋_GB2312" w:cs="Times New Roman"/>
          <w:color w:val="000000"/>
          <w:sz w:val="32"/>
          <w:szCs w:val="32"/>
        </w:rPr>
        <w:t>等</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val="en-US" w:eastAsia="zh-CN"/>
        </w:rPr>
        <w:t>与2020年持平</w:t>
      </w: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color w:val="000000"/>
          <w:sz w:val="32"/>
          <w:szCs w:val="32"/>
        </w:rPr>
      </w:pPr>
      <w:bookmarkStart w:id="40" w:name="_Toc15377218"/>
      <w:bookmarkStart w:id="41" w:name="_Toc15396610"/>
      <w:r>
        <w:rPr>
          <w:rFonts w:hint="default" w:ascii="Times New Roman" w:hAnsi="Times New Roman" w:eastAsia="仿宋_GB2312" w:cs="Times New Roman"/>
          <w:b/>
          <w:color w:val="000000"/>
          <w:sz w:val="32"/>
          <w:szCs w:val="32"/>
        </w:rPr>
        <w:t>国内公务接待支出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sz w:val="32"/>
          <w:szCs w:val="32"/>
        </w:rPr>
        <w:t>外事接待支出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line="600" w:lineRule="exact"/>
        <w:ind w:firstLine="640"/>
        <w:outlineLvl w:val="1"/>
        <w:rPr>
          <w:rFonts w:ascii="黑体" w:eastAsia="黑体"/>
          <w:color w:val="auto"/>
          <w:sz w:val="32"/>
          <w:szCs w:val="32"/>
          <w:highlight w:val="none"/>
        </w:rPr>
      </w:pPr>
    </w:p>
    <w:p>
      <w:pPr>
        <w:spacing w:line="600" w:lineRule="exact"/>
        <w:ind w:firstLine="640"/>
        <w:outlineLvl w:val="1"/>
        <w:rPr>
          <w:rStyle w:val="28"/>
          <w:rFonts w:ascii="黑体" w:hAnsi="黑体" w:eastAsia="黑体"/>
          <w:color w:val="auto"/>
          <w:highlight w:val="none"/>
        </w:rPr>
      </w:pPr>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8"/>
          <w:rFonts w:ascii="黑体" w:hAnsi="黑体" w:eastAsia="黑体"/>
          <w:b w:val="0"/>
          <w:color w:val="auto"/>
          <w:highlight w:val="none"/>
        </w:rPr>
      </w:pPr>
      <w:bookmarkStart w:id="42" w:name="_Toc15377219"/>
      <w:bookmarkStart w:id="43" w:name="_Toc15396611"/>
      <w:r>
        <w:rPr>
          <w:rStyle w:val="28"/>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8"/>
          <w:rFonts w:hint="eastAsia" w:ascii="黑体" w:hAnsi="黑体" w:eastAsia="黑体"/>
          <w:b w:val="0"/>
          <w:color w:val="auto"/>
          <w:highlight w:val="none"/>
        </w:rPr>
      </w:pPr>
      <w:bookmarkStart w:id="44" w:name="_Toc15396612"/>
      <w:bookmarkStart w:id="45" w:name="_Toc15377221"/>
      <w:r>
        <w:rPr>
          <w:rStyle w:val="28"/>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default" w:ascii="Times New Roman" w:hAnsi="Times New Roman" w:eastAsia="仿宋_GB2312" w:cs="Times New Roman"/>
          <w:color w:val="auto"/>
          <w:sz w:val="32"/>
          <w:szCs w:val="32"/>
          <w:lang w:val="en-US" w:eastAsia="zh-CN"/>
        </w:rPr>
        <w:t>省民族宗教委机关服务中心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default" w:ascii="Times New Roman" w:hAnsi="Times New Roman" w:eastAsia="仿宋_GB2312" w:cs="Times New Roman"/>
          <w:color w:val="auto"/>
          <w:sz w:val="32"/>
          <w:szCs w:val="32"/>
          <w:lang w:val="en-US" w:eastAsia="zh-CN"/>
        </w:rPr>
        <w:t>省民族宗教委机关服务中心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135</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135</w:t>
      </w:r>
      <w:r>
        <w:rPr>
          <w:rFonts w:hint="eastAsia" w:ascii="仿宋_GB2312" w:eastAsia="仿宋_GB2312"/>
          <w:color w:val="auto"/>
          <w:sz w:val="32"/>
          <w:szCs w:val="32"/>
          <w:highlight w:val="none"/>
        </w:rPr>
        <w:t>万元。主要用于</w:t>
      </w:r>
      <w:r>
        <w:rPr>
          <w:rFonts w:hint="default" w:ascii="Times New Roman" w:hAnsi="Times New Roman" w:eastAsia="仿宋_GB2312" w:cs="Times New Roman"/>
          <w:color w:val="000000"/>
          <w:sz w:val="32"/>
          <w:szCs w:val="32"/>
          <w:lang w:val="en-US" w:eastAsia="zh-CN"/>
        </w:rPr>
        <w:t>单位办公楼物业管理服务和车辆维修维护等后勤保障工作</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104</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77.04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8.15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default" w:ascii="Times New Roman" w:hAnsi="Times New Roman" w:eastAsia="仿宋_GB2312" w:cs="Times New Roman"/>
          <w:color w:val="auto"/>
          <w:sz w:val="32"/>
          <w:szCs w:val="32"/>
          <w:lang w:val="en-US" w:eastAsia="zh-CN"/>
        </w:rPr>
        <w:t>省民族宗教委机关服务中心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其他用车主要是用于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保障后勤服务工作</w:t>
      </w:r>
      <w:r>
        <w:rPr>
          <w:rFonts w:hint="eastAsia" w:eastAsia="仿宋_GB2312" w:cs="Times New Roman"/>
          <w:color w:val="000000" w:themeColor="text1"/>
          <w:sz w:val="32"/>
          <w:szCs w:val="32"/>
          <w:lang w:val="en-US" w:eastAsia="zh-CN"/>
          <w14:textFill>
            <w14:solidFill>
              <w14:schemeClr w14:val="tx1"/>
            </w14:solidFill>
          </w14:textFill>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机关后勤保障经费</w:t>
      </w:r>
      <w:r>
        <w:rPr>
          <w:rFonts w:hint="eastAsia" w:ascii="仿宋_GB2312" w:hAnsi="仿宋_GB2312" w:eastAsia="仿宋_GB2312" w:cs="仿宋_GB2312"/>
          <w:color w:val="auto"/>
          <w:sz w:val="32"/>
          <w:szCs w:val="32"/>
          <w:highlight w:val="none"/>
        </w:rPr>
        <w:t>项目开展了预算事前绩效评估，对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6"/>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7"/>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.其他收入：指单位取得的除上述收入以外的各项收入。主要是</w:t>
      </w:r>
      <w:r>
        <w:rPr>
          <w:rFonts w:hint="eastAsia" w:ascii="仿宋_GB2312" w:hAnsi="仿宋_GB2312" w:eastAsia="仿宋_GB2312" w:cs="仿宋_GB2312"/>
          <w:sz w:val="32"/>
          <w:szCs w:val="32"/>
          <w:lang w:val="en-US" w:eastAsia="zh-CN"/>
        </w:rPr>
        <w:t>银行账户利息收入</w:t>
      </w:r>
      <w:r>
        <w:rPr>
          <w:rFonts w:hint="eastAsia" w:ascii="仿宋_GB2312" w:hAnsi="仿宋_GB2312" w:eastAsia="仿宋_GB2312" w:cs="仿宋_GB2312"/>
          <w:sz w:val="32"/>
          <w:szCs w:val="32"/>
        </w:rPr>
        <w:t xml:space="preserve">。 </w:t>
      </w:r>
    </w:p>
    <w:p>
      <w:pPr>
        <w:pStyle w:val="2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.年初结转和结余：指以前年度尚未完成、结转到本年按有关规定继续使用的资金。 </w:t>
      </w:r>
    </w:p>
    <w:p>
      <w:pPr>
        <w:pStyle w:val="2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rPr>
        <w:t>一般公共服务</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（类）民族事务（款）机关服务（项）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反映为行政单位( 包括实行公务员管理的事业单位)提供后勤服务的各类后勤服务中心、医务室等附属事业单位的支出。其他事业单位的支出，凡单独设置了项级科目的，在单独设置的项级科目中反映。未单设项级科目的，在“ 其他”项级科目中反映。</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一般公共服务</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（类）民族事务（款）事业运行（项）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rPr>
        <w:t>一般公共服务</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（类）民族事务（款）其他民族事务支出（项）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反映除上述项目以外其他用于民族事务方面的支出。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（类）进修及培训（款）培训支出（项）</w:t>
      </w:r>
      <w:r>
        <w:rPr>
          <w:rFonts w:hint="eastAsia" w:ascii="仿宋_GB2312" w:hAnsi="仿宋_GB2312" w:eastAsia="仿宋_GB2312" w:cs="仿宋_GB2312"/>
          <w:color w:val="auto"/>
          <w:sz w:val="32"/>
          <w:szCs w:val="32"/>
          <w:lang w:eastAsia="zh-CN"/>
        </w:rPr>
        <w:t>：反映各部门安排的用于培训的支出。教育部门的师资培训，党校、行政学院等专业干部教育机构的支出，以及退役士兵、转业士官的培训支出，不在本科目反映。</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b w:val="0"/>
          <w:bCs w:val="0"/>
          <w:color w:val="auto"/>
          <w:sz w:val="32"/>
          <w:szCs w:val="32"/>
        </w:rPr>
        <w:t>社会保障和就业支出（类）</w:t>
      </w:r>
      <w:r>
        <w:rPr>
          <w:rStyle w:val="16"/>
          <w:rFonts w:hint="eastAsia" w:ascii="仿宋_GB2312" w:hAnsi="仿宋_GB2312" w:eastAsia="仿宋_GB2312" w:cs="仿宋_GB2312"/>
          <w:b w:val="0"/>
          <w:bCs w:val="0"/>
          <w:color w:val="auto"/>
          <w:sz w:val="32"/>
          <w:szCs w:val="32"/>
          <w:lang w:eastAsia="zh-CN"/>
        </w:rPr>
        <w:t>行政事业单位</w:t>
      </w:r>
      <w:r>
        <w:rPr>
          <w:rStyle w:val="16"/>
          <w:rFonts w:hint="eastAsia" w:ascii="仿宋_GB2312" w:hAnsi="仿宋_GB2312" w:eastAsia="仿宋_GB2312" w:cs="仿宋_GB2312"/>
          <w:b w:val="0"/>
          <w:bCs w:val="0"/>
          <w:color w:val="auto"/>
          <w:sz w:val="32"/>
          <w:szCs w:val="32"/>
          <w:lang w:val="en-US" w:eastAsia="zh-CN"/>
        </w:rPr>
        <w:t>养老支出</w:t>
      </w:r>
      <w:r>
        <w:rPr>
          <w:rFonts w:hint="eastAsia" w:ascii="仿宋_GB2312" w:hAnsi="仿宋_GB2312" w:eastAsia="仿宋_GB2312" w:cs="仿宋_GB2312"/>
          <w:b w:val="0"/>
          <w:bCs w:val="0"/>
          <w:color w:val="auto"/>
          <w:sz w:val="32"/>
          <w:szCs w:val="32"/>
        </w:rPr>
        <w:t>（款）事业单位离退休（项）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反映实行归口管理的事业单位开支的离退休经费。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auto"/>
          <w:sz w:val="32"/>
          <w:szCs w:val="32"/>
        </w:rPr>
        <w:t>社会保障和就业支出（类）</w:t>
      </w:r>
      <w:r>
        <w:rPr>
          <w:rStyle w:val="16"/>
          <w:rFonts w:hint="eastAsia" w:ascii="仿宋_GB2312" w:hAnsi="仿宋_GB2312" w:eastAsia="仿宋_GB2312" w:cs="仿宋_GB2312"/>
          <w:b w:val="0"/>
          <w:bCs w:val="0"/>
          <w:color w:val="auto"/>
          <w:sz w:val="32"/>
          <w:szCs w:val="32"/>
          <w:lang w:eastAsia="zh-CN"/>
        </w:rPr>
        <w:t>行政事业单位</w:t>
      </w:r>
      <w:r>
        <w:rPr>
          <w:rStyle w:val="16"/>
          <w:rFonts w:hint="eastAsia" w:ascii="仿宋_GB2312" w:hAnsi="仿宋_GB2312" w:eastAsia="仿宋_GB2312" w:cs="仿宋_GB2312"/>
          <w:b w:val="0"/>
          <w:bCs w:val="0"/>
          <w:color w:val="auto"/>
          <w:sz w:val="32"/>
          <w:szCs w:val="32"/>
          <w:lang w:val="en-US" w:eastAsia="zh-CN"/>
        </w:rPr>
        <w:t>养老支出</w:t>
      </w:r>
      <w:r>
        <w:rPr>
          <w:rFonts w:hint="eastAsia" w:ascii="仿宋_GB2312" w:hAnsi="仿宋_GB2312" w:eastAsia="仿宋_GB2312" w:cs="仿宋_GB2312"/>
          <w:b w:val="0"/>
          <w:bCs w:val="0"/>
          <w:color w:val="auto"/>
          <w:sz w:val="32"/>
          <w:szCs w:val="32"/>
        </w:rPr>
        <w:t>（款）机关事业单位基本养老保险缴费支出（项）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反映机关事业单位实施养老保险制度由单位缴纳的基本养老保险费支出。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auto"/>
          <w:sz w:val="32"/>
          <w:szCs w:val="32"/>
        </w:rPr>
        <w:t>社会保障和就业支出（类）</w:t>
      </w:r>
      <w:r>
        <w:rPr>
          <w:rStyle w:val="16"/>
          <w:rFonts w:hint="eastAsia" w:ascii="仿宋_GB2312" w:hAnsi="仿宋_GB2312" w:eastAsia="仿宋_GB2312" w:cs="仿宋_GB2312"/>
          <w:b w:val="0"/>
          <w:bCs w:val="0"/>
          <w:color w:val="auto"/>
          <w:sz w:val="32"/>
          <w:szCs w:val="32"/>
          <w:lang w:eastAsia="zh-CN"/>
        </w:rPr>
        <w:t>行政事业单位</w:t>
      </w:r>
      <w:r>
        <w:rPr>
          <w:rStyle w:val="16"/>
          <w:rFonts w:hint="eastAsia" w:ascii="仿宋_GB2312" w:hAnsi="仿宋_GB2312" w:eastAsia="仿宋_GB2312" w:cs="仿宋_GB2312"/>
          <w:b w:val="0"/>
          <w:bCs w:val="0"/>
          <w:color w:val="auto"/>
          <w:sz w:val="32"/>
          <w:szCs w:val="32"/>
          <w:lang w:val="en-US" w:eastAsia="zh-CN"/>
        </w:rPr>
        <w:t>养老支出</w:t>
      </w:r>
      <w:r>
        <w:rPr>
          <w:rFonts w:hint="eastAsia" w:ascii="仿宋_GB2312" w:hAnsi="仿宋_GB2312" w:eastAsia="仿宋_GB2312" w:cs="仿宋_GB2312"/>
          <w:b w:val="0"/>
          <w:bCs w:val="0"/>
          <w:color w:val="auto"/>
          <w:sz w:val="32"/>
          <w:szCs w:val="32"/>
        </w:rPr>
        <w:t>（款）机关事业单位职业年金缴费支出（项）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反映机关事业单位实施养老保险制度由单位</w:t>
      </w:r>
      <w:r>
        <w:rPr>
          <w:rFonts w:hint="eastAsia" w:ascii="仿宋_GB2312" w:hAnsi="仿宋_GB2312" w:eastAsia="仿宋_GB2312" w:cs="仿宋_GB2312"/>
          <w:b w:val="0"/>
          <w:bCs w:val="0"/>
          <w:color w:val="auto"/>
          <w:sz w:val="32"/>
          <w:szCs w:val="32"/>
          <w:lang w:eastAsia="zh-CN"/>
        </w:rPr>
        <w:t>实际</w:t>
      </w:r>
      <w:r>
        <w:rPr>
          <w:rFonts w:hint="eastAsia" w:ascii="仿宋_GB2312" w:hAnsi="仿宋_GB2312" w:eastAsia="仿宋_GB2312" w:cs="仿宋_GB2312"/>
          <w:b w:val="0"/>
          <w:bCs w:val="0"/>
          <w:color w:val="auto"/>
          <w:sz w:val="32"/>
          <w:szCs w:val="32"/>
        </w:rPr>
        <w:t>缴纳的职业年金支出。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rPr>
        <w:t>支出（类）行政事业单位医疗（款）行政单位医疗（项）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反映财政部门集中安排的行政单位基本医疗保险缴费经费，未参加医疗保险的行政单位的公费医疗经费，按国家规定享受离休人员、红军老战土待遇人员的医疗经费。</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    13.</w:t>
      </w:r>
      <w:r>
        <w:rPr>
          <w:rFonts w:hint="eastAsia" w:ascii="仿宋_GB2312" w:hAnsi="仿宋_GB2312" w:eastAsia="仿宋_GB2312" w:cs="仿宋_GB2312"/>
          <w:color w:val="auto"/>
          <w:sz w:val="32"/>
          <w:szCs w:val="32"/>
        </w:rPr>
        <w:t>住房保障支出（类）住房改革支出（款）</w:t>
      </w:r>
      <w:r>
        <w:rPr>
          <w:rStyle w:val="16"/>
          <w:rFonts w:hint="eastAsia" w:ascii="仿宋_GB2312" w:hAnsi="仿宋_GB2312" w:eastAsia="仿宋_GB2312" w:cs="仿宋_GB2312"/>
          <w:b w:val="0"/>
          <w:bCs w:val="0"/>
          <w:color w:val="auto"/>
          <w:sz w:val="32"/>
          <w:szCs w:val="32"/>
          <w:lang w:val="en-US" w:eastAsia="zh-CN"/>
        </w:rPr>
        <w:t>购房补贴</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rPr>
        <w:t>住房保障支出（类）住房改革支出（款）住房公积金（项）</w:t>
      </w:r>
      <w:r>
        <w:rPr>
          <w:rFonts w:hint="eastAsia" w:ascii="仿宋_GB2312" w:hAnsi="仿宋_GB2312" w:eastAsia="仿宋_GB2312" w:cs="仿宋_GB2312"/>
          <w:color w:val="auto"/>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 xml:space="preserve">.项目支出：指在基本支出之外为完成特定行政任务和事业发展目标所发生的支出。 </w:t>
      </w:r>
    </w:p>
    <w:p>
      <w:pPr>
        <w:pStyle w:val="2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.“三公”经费：指</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7"/>
          <w:rFonts w:hint="eastAsia"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部门预算项目支出绩效自评报告</w:t>
      </w:r>
    </w:p>
    <w:p>
      <w:pPr>
        <w:keepLines w:val="0"/>
        <w:adjustRightInd w:val="0"/>
        <w:snapToGrid w:val="0"/>
        <w:spacing w:line="60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机关后勤保障经费</w:t>
      </w:r>
      <w:r>
        <w:rPr>
          <w:rFonts w:hint="eastAsia" w:ascii="楷体_GB2312" w:hAnsi="楷体_GB2312" w:eastAsia="楷体_GB2312" w:cs="楷体_GB2312"/>
          <w:color w:val="auto"/>
          <w:sz w:val="32"/>
          <w:szCs w:val="32"/>
        </w:rPr>
        <w:t>项目）</w:t>
      </w:r>
    </w:p>
    <w:p>
      <w:pPr>
        <w:keepLines w:val="0"/>
        <w:adjustRightInd w:val="0"/>
        <w:snapToGrid w:val="0"/>
        <w:spacing w:line="600" w:lineRule="exact"/>
        <w:ind w:firstLine="640" w:firstLineChars="200"/>
        <w:rPr>
          <w:rFonts w:hint="default" w:ascii="Times New Roman" w:hAnsi="Times New Roman" w:eastAsia="仿宋_GB2312" w:cs="Times New Roman"/>
          <w:color w:val="auto"/>
          <w:sz w:val="32"/>
          <w:szCs w:val="32"/>
        </w:rPr>
      </w:pPr>
    </w:p>
    <w:p>
      <w:pPr>
        <w:keepLines w:val="0"/>
        <w:adjustRightInd w:val="0"/>
        <w:snapToGrid w:val="0"/>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《财政厅关于开展202</w:t>
      </w:r>
      <w:r>
        <w:rPr>
          <w:rFonts w:hint="default"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年部门、政策和项目支出绩效评价工作的通知》（川财绩﹝202</w:t>
      </w:r>
      <w:r>
        <w:rPr>
          <w:rFonts w:hint="default"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rPr>
        <w:t>有关要求，为进一步加强和规范专项资金管理，切实提高财政资金使用效益，</w:t>
      </w:r>
      <w:r>
        <w:rPr>
          <w:rFonts w:hint="default" w:ascii="Times New Roman" w:hAnsi="Times New Roman" w:eastAsia="仿宋_GB2312" w:cs="Times New Roman"/>
          <w:color w:val="auto"/>
          <w:sz w:val="32"/>
          <w:szCs w:val="32"/>
          <w:lang w:val="en-US" w:eastAsia="zh-CN"/>
        </w:rPr>
        <w:t>我</w:t>
      </w:r>
      <w:r>
        <w:rPr>
          <w:rFonts w:hint="eastAsia"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lang w:val="en-US" w:eastAsia="zh-CN"/>
        </w:rPr>
        <w:t>对2021年“机关服务中心机关后勤保障经费”项目开展了</w:t>
      </w:r>
      <w:r>
        <w:rPr>
          <w:rFonts w:hint="default" w:ascii="Times New Roman" w:hAnsi="Times New Roman" w:eastAsia="仿宋_GB2312" w:cs="Times New Roman"/>
          <w:color w:val="auto"/>
          <w:sz w:val="32"/>
          <w:szCs w:val="32"/>
        </w:rPr>
        <w:t>绩效自评</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现将有关情况报告如下：</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黑体" w:cs="Times New Roman"/>
          <w:color w:val="auto"/>
          <w:sz w:val="32"/>
          <w:szCs w:val="32"/>
          <w:lang w:eastAsia="zh-CN"/>
        </w:rPr>
      </w:pPr>
      <w:bookmarkStart w:id="53" w:name="_Toc29409"/>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eastAsia="zh-CN"/>
        </w:rPr>
        <w:t>基本情况</w:t>
      </w:r>
      <w:bookmarkEnd w:id="53"/>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rPr>
        <w:t>（一）</w:t>
      </w:r>
      <w:r>
        <w:rPr>
          <w:rFonts w:hint="default" w:ascii="Times New Roman" w:hAnsi="Times New Roman" w:eastAsia="仿宋_GB2312" w:cs="Times New Roman"/>
          <w:b/>
          <w:color w:val="auto"/>
          <w:sz w:val="32"/>
          <w:szCs w:val="32"/>
          <w:lang w:val="en-US" w:eastAsia="zh-CN"/>
        </w:rPr>
        <w:t>项目概况</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b/>
          <w:color w:val="auto"/>
          <w:sz w:val="32"/>
          <w:szCs w:val="32"/>
          <w:lang w:val="en-US" w:eastAsia="zh-CN"/>
        </w:rPr>
        <w:t>1.单位</w:t>
      </w:r>
      <w:r>
        <w:rPr>
          <w:rFonts w:hint="default" w:ascii="Times New Roman" w:hAnsi="Times New Roman" w:eastAsia="仿宋_GB2312" w:cs="Times New Roman"/>
          <w:b/>
          <w:color w:val="auto"/>
          <w:sz w:val="32"/>
          <w:szCs w:val="32"/>
          <w:lang w:val="zh-CN"/>
        </w:rPr>
        <w:t>基本情况</w:t>
      </w:r>
    </w:p>
    <w:p>
      <w:pPr>
        <w:spacing w:line="578"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t>四川省民族宗教事务委员会机关服务中心隶属于四川省民族宗教事务委员会，系全额拨款事业单位。机关服务中心的主要职能是</w:t>
      </w:r>
      <w:r>
        <w:rPr>
          <w:rFonts w:hint="default" w:ascii="Times New Roman" w:hAnsi="Times New Roman" w:eastAsia="仿宋_GB2312" w:cs="Times New Roman"/>
          <w:color w:val="auto"/>
          <w:sz w:val="32"/>
          <w:szCs w:val="32"/>
        </w:rPr>
        <w:t>负责机关车辆、通讯、文印、物业管理等服务保障工作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承担机关委托的部分行政管理的事务性工作；负责机关交其使用的固定资产的管理和经营性资产的经营管理工作等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2021年末，服务中心事业编制19名，在职人员8人。</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3" w:firstLineChars="200"/>
        <w:jc w:val="left"/>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2.项目设立基本情况</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机关后勤保障经费是保障单位服务工作正常运转过程中聘用人员及借用人员工资、五险一金、绩效等相关经费</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机关服务中心在编职工较少，工作涉及面广且工作量大（涉及物管、食堂、公务用车管理等方面），故单位全年平均聘用职工19人，借用工作人员3人用于维持单位机关后勤保障。为切实保障单位后勤工作正常运转，设立了“机关服务中心机关后勤保障经费”项目，并作为常年项目予以保留。</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lang w:val="zh-CN" w:eastAsia="zh-CN"/>
        </w:rPr>
        <w:t>）项目绩效目标</w:t>
      </w:r>
      <w:r>
        <w:rPr>
          <w:rFonts w:hint="default" w:ascii="Times New Roman" w:hAnsi="Times New Roman" w:eastAsia="仿宋_GB2312" w:cs="Times New Roman"/>
          <w:b/>
          <w:color w:val="auto"/>
          <w:sz w:val="32"/>
          <w:szCs w:val="32"/>
          <w:lang w:val="en-US" w:eastAsia="zh-CN"/>
        </w:rPr>
        <w:t>设置情况</w:t>
      </w:r>
    </w:p>
    <w:p>
      <w:pPr>
        <w:keepLines w:val="0"/>
        <w:spacing w:line="600" w:lineRule="exact"/>
        <w:ind w:firstLine="640" w:firstLineChars="200"/>
        <w:contextualSpacing/>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绩效目标设置的要求，机关服务中心具体细化量化了三级指标，共计设置绩效目标14项。其中：数量指标2项，用于量化聘用人员和借用人员数量；质量指标1项，用于衡量后勤保障服务质量；时效指标1项，用于量化按期发放聘用人员和借用人员待遇的完成率；成本指标3项，用于量化聘用人员工资支出、聘用人员五险一金支出、借用人员工资及绩效支出成本；经济效益指标1项，用于衡量资金使用效果；社会效益指标1项，用于确保机关后勤保障工作人员相对稳定的社会效益；可持续影响指标1项，用于衡量项目的可持续性效益；满意度指标1项，用于量化保障对象的满意度水平。</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三</w:t>
      </w:r>
      <w:r>
        <w:rPr>
          <w:rFonts w:hint="default" w:ascii="Times New Roman" w:hAnsi="Times New Roman" w:eastAsia="仿宋_GB2312" w:cs="Times New Roman"/>
          <w:b/>
          <w:color w:val="auto"/>
          <w:sz w:val="32"/>
          <w:szCs w:val="32"/>
          <w:lang w:val="zh-CN" w:eastAsia="zh-CN"/>
        </w:rPr>
        <w:t>）资金投入</w:t>
      </w:r>
      <w:r>
        <w:rPr>
          <w:rFonts w:hint="default" w:ascii="Times New Roman" w:hAnsi="Times New Roman" w:eastAsia="仿宋_GB2312" w:cs="Times New Roman"/>
          <w:b/>
          <w:color w:val="auto"/>
          <w:sz w:val="32"/>
          <w:szCs w:val="32"/>
          <w:lang w:val="en-US" w:eastAsia="zh-CN"/>
        </w:rPr>
        <w:t>及项目实施</w:t>
      </w:r>
      <w:r>
        <w:rPr>
          <w:rFonts w:hint="default" w:ascii="Times New Roman" w:hAnsi="Times New Roman" w:eastAsia="仿宋_GB2312" w:cs="Times New Roman"/>
          <w:b/>
          <w:color w:val="auto"/>
          <w:sz w:val="32"/>
          <w:szCs w:val="32"/>
          <w:lang w:val="zh-CN" w:eastAsia="zh-CN"/>
        </w:rPr>
        <w:t>情况</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“机关服务中心机关后勤保障经费”项目总预算120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均为劳务费。根据项目预算绩效管理要求，机关服务中心</w:t>
      </w:r>
      <w:r>
        <w:rPr>
          <w:rFonts w:hint="default" w:ascii="Times New Roman" w:hAnsi="Times New Roman" w:eastAsia="仿宋_GB2312" w:cs="Times New Roman"/>
          <w:color w:val="auto"/>
          <w:sz w:val="32"/>
          <w:szCs w:val="32"/>
        </w:rPr>
        <w:t>负责项目资金管理和具体实施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项目资金的主要用途为：</w:t>
      </w:r>
      <w:r>
        <w:rPr>
          <w:rFonts w:hint="default" w:ascii="Times New Roman" w:hAnsi="Times New Roman" w:eastAsia="仿宋_GB2312" w:cs="Times New Roman"/>
          <w:color w:val="auto"/>
          <w:sz w:val="32"/>
          <w:szCs w:val="32"/>
          <w:lang w:val="en-US" w:eastAsia="zh-CN"/>
        </w:rPr>
        <w:t>一是保障服务中心后勤保障工作的正常运作，按时发放和缴纳聘用人员的工资及社会保险、住房公积金等，按期发放借用人员的绩效工资；二是保障后勤服务保障的其他工作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全年，项目支出共计120万元，预算执行率为100%。</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bookmarkStart w:id="54" w:name="_Toc27254"/>
      <w:r>
        <w:rPr>
          <w:rFonts w:hint="default" w:ascii="Times New Roman" w:hAnsi="Times New Roman" w:eastAsia="黑体" w:cs="Times New Roman"/>
          <w:color w:val="auto"/>
          <w:sz w:val="32"/>
          <w:szCs w:val="32"/>
          <w:lang w:eastAsia="zh-CN"/>
        </w:rPr>
        <w:t>二、评价工作开展情况</w:t>
      </w:r>
      <w:bookmarkEnd w:id="54"/>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（一）评价组织情况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本次绩效评价按照前期准备、</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自评、</w:t>
      </w:r>
      <w:r>
        <w:rPr>
          <w:rFonts w:hint="default" w:ascii="Times New Roman" w:hAnsi="Times New Roman" w:eastAsia="仿宋_GB2312" w:cs="Times New Roman"/>
          <w:color w:val="auto"/>
          <w:sz w:val="32"/>
          <w:szCs w:val="32"/>
          <w:lang w:val="en-US" w:eastAsia="zh-CN"/>
        </w:rPr>
        <w:t>部门复评、</w:t>
      </w:r>
      <w:r>
        <w:rPr>
          <w:rFonts w:hint="default" w:ascii="Times New Roman" w:hAnsi="Times New Roman" w:eastAsia="仿宋_GB2312" w:cs="Times New Roman"/>
          <w:color w:val="auto"/>
          <w:sz w:val="32"/>
          <w:szCs w:val="32"/>
        </w:rPr>
        <w:t>报告撰写</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个阶段，组织实施项目绩效评价工作。</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lang w:val="zh-CN" w:eastAsia="zh-CN"/>
        </w:rPr>
        <w:t>）评价指标体系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绩效评价工作部署要求，省民族宗教委细化制定了《省民族宗教委2022年度部门预算项目支出绩效评价指标体系》，重点对部门预算管理、绩效结果运用及自评质量进行考核。重点对单位预算编制、预算执行、完成结果、整改反馈及自评质量进行定量和定性评价。具体涉及目标制定、目标实现、编制准确、支出控制、动态调整、执行进度、预算完成、违规记录、结果整改、应用反馈、自评准确等指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三</w:t>
      </w:r>
      <w:r>
        <w:rPr>
          <w:rFonts w:hint="default" w:ascii="Times New Roman" w:hAnsi="Times New Roman" w:eastAsia="仿宋_GB2312" w:cs="Times New Roman"/>
          <w:b/>
          <w:color w:val="auto"/>
          <w:sz w:val="32"/>
          <w:szCs w:val="32"/>
          <w:lang w:val="zh-CN" w:eastAsia="zh-CN"/>
        </w:rPr>
        <w:t>）评价方法和评价标准</w:t>
      </w:r>
      <w:r>
        <w:rPr>
          <w:rFonts w:hint="default" w:ascii="Times New Roman" w:hAnsi="Times New Roman" w:eastAsia="仿宋_GB2312" w:cs="Times New Roman"/>
          <w:b/>
          <w:color w:val="auto"/>
          <w:sz w:val="32"/>
          <w:szCs w:val="32"/>
          <w:lang w:val="en-US" w:eastAsia="zh-CN"/>
        </w:rPr>
        <w:t>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在支付缴纳聘用和借用人员工资、绩效、五险一金时，</w:t>
      </w:r>
      <w:r>
        <w:rPr>
          <w:rFonts w:hint="default" w:ascii="Times New Roman" w:hAnsi="Times New Roman" w:eastAsia="仿宋_GB2312" w:cs="Times New Roman"/>
          <w:color w:val="auto"/>
          <w:sz w:val="32"/>
          <w:szCs w:val="32"/>
          <w:lang w:eastAsia="zh-CN"/>
        </w:rPr>
        <w:t>明确</w:t>
      </w:r>
      <w:r>
        <w:rPr>
          <w:rFonts w:hint="default" w:ascii="Times New Roman" w:hAnsi="Times New Roman" w:eastAsia="仿宋_GB2312" w:cs="Times New Roman"/>
          <w:color w:val="auto"/>
          <w:sz w:val="32"/>
          <w:szCs w:val="32"/>
        </w:rPr>
        <w:t>评价指标及评价标准的基础上，查看</w:t>
      </w:r>
      <w:r>
        <w:rPr>
          <w:rFonts w:hint="default"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实施及运行情况，通过定量和定性分析，形成评价结论并形成绩效评价自评报告。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bookmarkStart w:id="55" w:name="_Toc25546"/>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综合</w:t>
      </w:r>
      <w:r>
        <w:rPr>
          <w:rFonts w:hint="default" w:ascii="Times New Roman" w:hAnsi="Times New Roman" w:eastAsia="黑体" w:cs="Times New Roman"/>
          <w:color w:val="auto"/>
          <w:sz w:val="32"/>
          <w:szCs w:val="32"/>
        </w:rPr>
        <w:t>评价结论</w:t>
      </w:r>
      <w:bookmarkEnd w:id="55"/>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按照《省民族宗教委2022年度部门预算项目支出绩效评价指标体系》，单位自评得分88分，部门考核自评质量得分10分，总计得分为98分。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扣分原因说明：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目标制定：绩效目标细化量化上尚不完善，按评分要求扣2分。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b w:val="0"/>
          <w:bCs/>
          <w:color w:val="auto"/>
          <w:sz w:val="32"/>
          <w:szCs w:val="32"/>
          <w:lang w:eastAsia="zh-CN"/>
        </w:rPr>
      </w:pPr>
      <w:bookmarkStart w:id="56" w:name="_Toc19463"/>
      <w:r>
        <w:rPr>
          <w:rFonts w:hint="default" w:ascii="Times New Roman" w:hAnsi="Times New Roman" w:eastAsia="黑体" w:cs="Times New Roman"/>
          <w:b w:val="0"/>
          <w:bCs/>
          <w:color w:val="auto"/>
          <w:sz w:val="32"/>
          <w:szCs w:val="32"/>
          <w:lang w:eastAsia="zh-CN"/>
        </w:rPr>
        <w:t>四、绩效评价分析</w:t>
      </w:r>
      <w:bookmarkEnd w:id="56"/>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1.决策依据充分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严格按照《中华人民共和国劳动法》，参照成都市最低工资标准，本着自愿平等的原则，依法签订劳动合同，严格按照合同约定支付薪金报酬和五险一金。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2.决策程序严谨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召开主任办公会和支委会，明确聘用人员和借用人员的具体分工以及聘用人员薪金待遇，严格遵守《中华人民共和国劳动法》。并按照预算编制要求，于年初预算编制时，填报了《部门预算项目立项审核表》，报经委计财处审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3.成本核算科学</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相关经费预算，严格按照相关业务成本进行测算，坚持“厉行节约”，确保财政资金使用绩效。</w:t>
      </w:r>
    </w:p>
    <w:p>
      <w:pPr>
        <w:keepNext w:val="0"/>
        <w:keepLines w:val="0"/>
        <w:pageBreakBefore w:val="0"/>
        <w:widowControl w:val="0"/>
        <w:numPr>
          <w:ilvl w:val="0"/>
          <w:numId w:val="6"/>
        </w:numPr>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项目管理情况</w:t>
      </w:r>
    </w:p>
    <w:p>
      <w:pPr>
        <w:pStyle w:val="13"/>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项目支出均按照有关规章制度和项目实施完成情况进行支付。专项经费使用由办公室为主管理，严格按照委相关财务管理制度执行，并按要求完善记录，确保专款专用。</w:t>
      </w:r>
    </w:p>
    <w:p>
      <w:pPr>
        <w:keepNext w:val="0"/>
        <w:keepLines w:val="0"/>
        <w:pageBreakBefore w:val="0"/>
        <w:widowControl w:val="0"/>
        <w:numPr>
          <w:ilvl w:val="0"/>
          <w:numId w:val="6"/>
        </w:numPr>
        <w:kinsoku/>
        <w:wordWrap/>
        <w:overflowPunct/>
        <w:topLinePunct w:val="0"/>
        <w:autoSpaceDE/>
        <w:autoSpaceDN/>
        <w:bidi w:val="0"/>
        <w:adjustRightInd/>
        <w:snapToGrid w:val="0"/>
        <w:spacing w:line="600" w:lineRule="exact"/>
        <w:ind w:left="0" w:leftChars="0"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项目产出情况</w:t>
      </w:r>
    </w:p>
    <w:p>
      <w:pPr>
        <w:pStyle w:val="13"/>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有效的保障了聘用人员和借用人员的工资待遇以及人员的稳定性。2021年全年服务保障工作圆满结束，省民宗委及下属事业单位全体职工一致好评。</w:t>
      </w:r>
    </w:p>
    <w:p>
      <w:pPr>
        <w:keepNext w:val="0"/>
        <w:keepLines w:val="0"/>
        <w:pageBreakBefore w:val="0"/>
        <w:widowControl w:val="0"/>
        <w:numPr>
          <w:ilvl w:val="0"/>
          <w:numId w:val="6"/>
        </w:numPr>
        <w:kinsoku/>
        <w:wordWrap/>
        <w:overflowPunct/>
        <w:topLinePunct w:val="0"/>
        <w:autoSpaceDE/>
        <w:autoSpaceDN/>
        <w:bidi w:val="0"/>
        <w:adjustRightInd/>
        <w:snapToGrid w:val="0"/>
        <w:spacing w:line="600" w:lineRule="exact"/>
        <w:ind w:left="0" w:leftChars="0"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项目效益情况</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落实防疫保障工作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严格落实委防疫要求，以“针尖大的窟窿能漏过斗大的风”的谨慎态度，毫不松懈的抓好办公区宿舍区疫情防控常态化工作。制定疫情防制方案，严格扫码亮码测体温。制定疫情况期间进入门卫管理规定，非必要时干部代班制度。随时保障2至3个月的物资储备量合理量。食堂根据疫情形势调整就餐方式，严禁采购冷链食品。经过严密的部署和安排以及全委职工的协同配合，本年全委无疑似或感染病例发生。</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落实消防安全保障工作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sz w:val="32"/>
          <w:szCs w:val="32"/>
          <w:lang w:val="en-US" w:eastAsia="zh-CN"/>
        </w:rPr>
        <w:t>从消防安全、办公环境优化等领域制定并实施了安全生产月主题活动方案，</w:t>
      </w:r>
      <w:r>
        <w:rPr>
          <w:rFonts w:hint="default" w:ascii="Times New Roman" w:hAnsi="Times New Roman" w:eastAsia="仿宋_GB2312" w:cs="Times New Roman"/>
          <w:color w:val="auto"/>
          <w:sz w:val="32"/>
          <w:szCs w:val="32"/>
          <w:lang w:eastAsia="zh-CN"/>
        </w:rPr>
        <w:t>全年委没有一起安全事故发生</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eastAsia="zh-CN"/>
        </w:rPr>
        <w:t>落实</w:t>
      </w:r>
      <w:r>
        <w:rPr>
          <w:rFonts w:hint="default" w:ascii="Times New Roman" w:hAnsi="Times New Roman" w:eastAsia="仿宋_GB2312" w:cs="Times New Roman"/>
          <w:color w:val="auto"/>
          <w:kern w:val="0"/>
          <w:sz w:val="32"/>
          <w:szCs w:val="32"/>
        </w:rPr>
        <w:t>监控室24小时值班制度，落实节假日前办公区宿舍区安全大检查工作，加强对电瓶车安全规范停放的引导和管理。</w:t>
      </w:r>
    </w:p>
    <w:p>
      <w:pPr>
        <w:pStyle w:val="13"/>
        <w:numPr>
          <w:ilvl w:val="0"/>
          <w:numId w:val="7"/>
        </w:numPr>
        <w:ind w:left="0" w:leftChars="0" w:firstLine="640" w:firstLineChars="200"/>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提升食堂服务水平</w:t>
      </w:r>
    </w:p>
    <w:p>
      <w:pPr>
        <w:pStyle w:val="13"/>
        <w:numPr>
          <w:ilvl w:val="0"/>
          <w:numId w:val="0"/>
        </w:num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highlight w:val="none"/>
          <w:lang w:val="en-US" w:eastAsia="zh-CN"/>
        </w:rPr>
        <w:t>落实明厨亮灶，规范库管验收，打造安心食堂。保障节假日用餐，进一步提升食堂餐饮质量，酷暑季节每日为职工提供解暑汤，提高职工工作餐满意度。</w:t>
      </w:r>
    </w:p>
    <w:p>
      <w:pPr>
        <w:keepNext w:val="0"/>
        <w:keepLines w:val="0"/>
        <w:pageBreakBefore w:val="0"/>
        <w:widowControl w:val="0"/>
        <w:numPr>
          <w:ilvl w:val="0"/>
          <w:numId w:val="8"/>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bookmarkStart w:id="57" w:name="_Toc31061"/>
      <w:r>
        <w:rPr>
          <w:rFonts w:hint="default" w:ascii="Times New Roman" w:hAnsi="Times New Roman" w:eastAsia="黑体" w:cs="Times New Roman"/>
          <w:color w:val="auto"/>
          <w:sz w:val="32"/>
          <w:szCs w:val="32"/>
        </w:rPr>
        <w:t>存在主要问题</w:t>
      </w:r>
      <w:bookmarkEnd w:id="57"/>
    </w:p>
    <w:p>
      <w:pPr>
        <w:pStyle w:val="13"/>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机关服务中心机关后勤保障经费</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主要是劳务费，用于发放聘用人员和借用人员薪金待遇、缴纳五险一金。绩效目标只能用聘用和借用的人数来量化，不够细化。</w:t>
      </w:r>
    </w:p>
    <w:p>
      <w:pPr>
        <w:keepNext w:val="0"/>
        <w:keepLines w:val="0"/>
        <w:pageBreakBefore w:val="0"/>
        <w:widowControl w:val="0"/>
        <w:numPr>
          <w:ilvl w:val="0"/>
          <w:numId w:val="8"/>
        </w:numPr>
        <w:kinsoku/>
        <w:wordWrap/>
        <w:overflowPunct/>
        <w:topLinePunct w:val="0"/>
        <w:autoSpaceDE/>
        <w:autoSpaceDN/>
        <w:bidi w:val="0"/>
        <w:adjustRightInd/>
        <w:snapToGrid w:val="0"/>
        <w:spacing w:line="600" w:lineRule="exact"/>
        <w:ind w:left="0" w:leftChars="0" w:firstLine="640" w:firstLineChars="200"/>
        <w:textAlignment w:val="auto"/>
        <w:outlineLvl w:val="9"/>
        <w:rPr>
          <w:rFonts w:hint="default" w:ascii="Times New Roman" w:hAnsi="Times New Roman" w:eastAsia="黑体" w:cs="Times New Roman"/>
          <w:color w:val="auto"/>
          <w:sz w:val="32"/>
          <w:szCs w:val="32"/>
        </w:rPr>
      </w:pPr>
      <w:bookmarkStart w:id="58" w:name="_Toc22346"/>
      <w:r>
        <w:rPr>
          <w:rFonts w:hint="default" w:ascii="Times New Roman" w:hAnsi="Times New Roman" w:eastAsia="黑体" w:cs="Times New Roman"/>
          <w:color w:val="auto"/>
          <w:sz w:val="32"/>
          <w:szCs w:val="32"/>
        </w:rPr>
        <w:t>相关措施建议</w:t>
      </w:r>
      <w:bookmarkEnd w:id="58"/>
    </w:p>
    <w:p>
      <w:pPr>
        <w:widowControl/>
        <w:adjustRightInd w:val="0"/>
        <w:snapToGrid w:val="0"/>
        <w:spacing w:line="580" w:lineRule="exact"/>
        <w:ind w:firstLine="640" w:firstLineChars="200"/>
        <w:contextualSpacing/>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进一步细化量化机关后勤保障经费，严格遵守《中华人民共和国劳动法》和《中华人民共和国预算法》。</w:t>
      </w:r>
    </w:p>
    <w:p>
      <w:pPr>
        <w:pStyle w:val="13"/>
        <w:rPr>
          <w:rFonts w:hint="default" w:ascii="Times New Roman" w:hAnsi="Times New Roman" w:eastAsia="仿宋_GB2312" w:cs="Times New Roman"/>
          <w:color w:val="auto"/>
          <w:sz w:val="32"/>
          <w:szCs w:val="32"/>
          <w:lang w:val="en-US" w:eastAsia="zh-CN"/>
        </w:rPr>
      </w:pPr>
    </w:p>
    <w:p>
      <w:pPr>
        <w:rPr>
          <w:rFonts w:hint="default"/>
          <w:color w:val="auto"/>
          <w:lang w:val="en-US" w:eastAsia="zh-CN"/>
        </w:rPr>
      </w:pPr>
    </w:p>
    <w:p>
      <w:pPr>
        <w:widowControl/>
        <w:adjustRightInd w:val="0"/>
        <w:snapToGrid w:val="0"/>
        <w:spacing w:line="580" w:lineRule="exact"/>
        <w:contextualSpacing/>
        <w:jc w:val="left"/>
        <w:rPr>
          <w:rFonts w:hint="default" w:ascii="Times New Roman" w:hAnsi="Times New Roman" w:eastAsia="宋体" w:cs="Times New Roman"/>
          <w:b/>
          <w:i w:val="0"/>
          <w:color w:val="auto"/>
          <w:spacing w:val="-6"/>
          <w:sz w:val="32"/>
          <w:szCs w:val="32"/>
          <w:u w:val="none"/>
          <w:lang w:val="en-US" w:eastAsia="zh-CN"/>
        </w:rPr>
      </w:pPr>
      <w:r>
        <w:rPr>
          <w:rFonts w:hint="default" w:ascii="Times New Roman" w:hAnsi="Times New Roman" w:eastAsia="黑体" w:cs="Times New Roman"/>
          <w:b w:val="0"/>
          <w:bCs/>
          <w:i w:val="0"/>
          <w:color w:val="auto"/>
          <w:spacing w:val="-6"/>
          <w:sz w:val="32"/>
          <w:szCs w:val="32"/>
          <w:u w:val="none"/>
          <w:lang w:val="en-US" w:eastAsia="zh-CN"/>
        </w:rPr>
        <w:t>附表：</w:t>
      </w:r>
    </w:p>
    <w:p>
      <w:pPr>
        <w:widowControl/>
        <w:adjustRightInd w:val="0"/>
        <w:snapToGrid w:val="0"/>
        <w:spacing w:line="580" w:lineRule="exact"/>
        <w:ind w:left="-199" w:leftChars="-95" w:right="-512" w:rightChars="-244" w:firstLine="0" w:firstLineChars="0"/>
        <w:contextualSpacing/>
        <w:jc w:val="left"/>
        <w:rPr>
          <w:rFonts w:hint="default" w:ascii="Times New Roman" w:hAnsi="Times New Roman" w:eastAsia="宋体" w:cs="Times New Roman"/>
          <w:b/>
          <w:i w:val="0"/>
          <w:color w:val="auto"/>
          <w:spacing w:val="-6"/>
          <w:sz w:val="32"/>
          <w:szCs w:val="32"/>
          <w:u w:val="none"/>
          <w:lang w:val="en-US" w:eastAsia="zh-CN"/>
        </w:rPr>
      </w:pPr>
      <w:bookmarkStart w:id="59" w:name="_Toc15396618"/>
      <w:r>
        <w:rPr>
          <w:rFonts w:hint="default" w:ascii="Times New Roman" w:hAnsi="Times New Roman" w:eastAsia="宋体" w:cs="Times New Roman"/>
          <w:b/>
          <w:i w:val="0"/>
          <w:color w:val="auto"/>
          <w:spacing w:val="-6"/>
          <w:sz w:val="32"/>
          <w:szCs w:val="32"/>
          <w:u w:val="none"/>
          <w:lang w:val="en-US" w:eastAsia="zh-CN"/>
        </w:rPr>
        <w:t>2021年100万元以上（含）特定目标类部门预算项目绩效目标自评</w:t>
      </w:r>
    </w:p>
    <w:p>
      <w:pPr>
        <w:keepLines w:val="0"/>
        <w:adjustRightInd w:val="0"/>
        <w:snapToGrid w:val="0"/>
        <w:spacing w:line="60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机关后勤保障经费</w:t>
      </w:r>
      <w:r>
        <w:rPr>
          <w:rFonts w:hint="eastAsia" w:ascii="楷体_GB2312" w:hAnsi="楷体_GB2312" w:eastAsia="楷体_GB2312" w:cs="楷体_GB2312"/>
          <w:color w:val="auto"/>
          <w:sz w:val="32"/>
          <w:szCs w:val="32"/>
        </w:rPr>
        <w:t>项目）</w:t>
      </w:r>
    </w:p>
    <w:p>
      <w:pPr>
        <w:pStyle w:val="13"/>
        <w:rPr>
          <w:rFonts w:hint="default"/>
          <w:lang w:val="en-US" w:eastAsia="zh-CN"/>
        </w:rPr>
      </w:pPr>
    </w:p>
    <w:tbl>
      <w:tblPr>
        <w:tblStyle w:val="18"/>
        <w:tblW w:w="92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3"/>
        <w:gridCol w:w="875"/>
        <w:gridCol w:w="1007"/>
        <w:gridCol w:w="1028"/>
        <w:gridCol w:w="1597"/>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项目名称</w:t>
            </w:r>
          </w:p>
        </w:tc>
        <w:tc>
          <w:tcPr>
            <w:tcW w:w="76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机关后勤保障经费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atLeast"/>
        </w:trPr>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主管部门</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及代码</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实施单位</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6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项目预算</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执行情况</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（万元）</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预算数：</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执行数：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6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6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其他资金</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其他资金</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总体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情况</w:t>
            </w:r>
          </w:p>
        </w:tc>
        <w:tc>
          <w:tcPr>
            <w:tcW w:w="45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预期目标</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5"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1"/>
                <w:szCs w:val="21"/>
                <w:u w:val="none"/>
              </w:rPr>
            </w:pPr>
          </w:p>
        </w:tc>
        <w:tc>
          <w:tcPr>
            <w:tcW w:w="450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机关后勤保障经费，保障聘用人员及借用人员工资、五险一金、绩效等相关经费。</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机关后勤保障经费，保障聘用人员及借用人员工资、五险一金、绩效等相关经费。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年度绩效指标完成情况</w:t>
            </w:r>
          </w:p>
        </w:tc>
        <w:tc>
          <w:tcPr>
            <w:tcW w:w="8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三级指标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预期指标值</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3"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21"/>
                <w:szCs w:val="21"/>
                <w:u w:val="none"/>
              </w:rPr>
            </w:pP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聘用人员数和借用人员数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聘用人员21人，借用人员4人</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用人员21人，借用人员4人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服务，保障机关后勤运行</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良好</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时效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当年工作按期完成率</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聘用人员工资支出成本</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6.83*12=82</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聘用人员五险一金支出成本</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1.48*21=31</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借用人员工资及绩效支出成本</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1.75*4=7</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经济效益指标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资金使用效果</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良好</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社会效益指标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确保机关后期保障工作人员相对稳定性</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较稳定</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较稳定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76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i w:val="0"/>
                <w:iCs w:val="0"/>
                <w:color w:val="auto"/>
                <w:sz w:val="21"/>
                <w:szCs w:val="21"/>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可持续影响指标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项目影响年限</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三年</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3" w:hRule="atLeast"/>
        </w:trPr>
        <w:tc>
          <w:tcPr>
            <w:tcW w:w="7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auto"/>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度指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满意度指标</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保障对象满意度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9"/>
      <w:bookmarkStart w:id="6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60"/>
    </w:p>
    <w:p>
      <w:pPr>
        <w:pStyle w:val="4"/>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61"/>
    </w:p>
    <w:p>
      <w:pPr>
        <w:pStyle w:val="4"/>
        <w:rPr>
          <w:rFonts w:ascii="仿宋" w:hAnsi="仿宋" w:eastAsia="仿宋"/>
          <w:color w:val="auto"/>
          <w:highlight w:val="none"/>
        </w:rPr>
      </w:pPr>
      <w:bookmarkStart w:id="62"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62"/>
    </w:p>
    <w:p>
      <w:pPr>
        <w:pStyle w:val="4"/>
        <w:rPr>
          <w:rFonts w:ascii="仿宋" w:hAnsi="仿宋" w:eastAsia="仿宋"/>
          <w:b w:val="0"/>
          <w:color w:val="auto"/>
          <w:highlight w:val="none"/>
        </w:rPr>
      </w:pPr>
      <w:bookmarkStart w:id="63"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63"/>
    </w:p>
    <w:p>
      <w:pPr>
        <w:pStyle w:val="4"/>
        <w:rPr>
          <w:rStyle w:val="28"/>
          <w:rFonts w:ascii="仿宋" w:hAnsi="仿宋" w:eastAsia="仿宋"/>
          <w:b w:val="0"/>
          <w:bCs w:val="0"/>
          <w:color w:val="auto"/>
          <w:highlight w:val="none"/>
        </w:rPr>
      </w:pPr>
      <w:bookmarkStart w:id="64"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64"/>
      <w:bookmarkStart w:id="65" w:name="_Toc15396624"/>
    </w:p>
    <w:p>
      <w:pPr>
        <w:pStyle w:val="4"/>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65"/>
    </w:p>
    <w:p>
      <w:pPr>
        <w:pStyle w:val="4"/>
        <w:rPr>
          <w:rFonts w:ascii="仿宋" w:hAnsi="仿宋" w:eastAsia="仿宋"/>
          <w:color w:val="auto"/>
          <w:highlight w:val="none"/>
        </w:rPr>
      </w:pPr>
      <w:bookmarkStart w:id="66"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6"/>
    </w:p>
    <w:p>
      <w:pPr>
        <w:pStyle w:val="4"/>
        <w:rPr>
          <w:rFonts w:ascii="仿宋" w:hAnsi="仿宋" w:eastAsia="仿宋"/>
          <w:color w:val="auto"/>
          <w:highlight w:val="none"/>
        </w:rPr>
      </w:pPr>
      <w:bookmarkStart w:id="67"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7"/>
    </w:p>
    <w:p>
      <w:pPr>
        <w:pStyle w:val="4"/>
        <w:rPr>
          <w:rFonts w:ascii="仿宋" w:hAnsi="仿宋" w:eastAsia="仿宋"/>
          <w:color w:val="auto"/>
          <w:highlight w:val="none"/>
        </w:rPr>
      </w:pPr>
      <w:bookmarkStart w:id="68"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8"/>
    </w:p>
    <w:p>
      <w:pPr>
        <w:pStyle w:val="4"/>
        <w:rPr>
          <w:rFonts w:ascii="仿宋" w:hAnsi="仿宋" w:eastAsia="仿宋"/>
          <w:color w:val="auto"/>
          <w:highlight w:val="none"/>
        </w:rPr>
      </w:pPr>
      <w:bookmarkStart w:id="69"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69"/>
    </w:p>
    <w:p>
      <w:pPr>
        <w:pStyle w:val="4"/>
        <w:rPr>
          <w:rFonts w:ascii="仿宋" w:hAnsi="仿宋" w:eastAsia="仿宋"/>
          <w:color w:val="auto"/>
          <w:highlight w:val="none"/>
        </w:rPr>
      </w:pPr>
      <w:bookmarkStart w:id="70" w:name="_Toc15396629"/>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70"/>
    </w:p>
    <w:p>
      <w:pPr>
        <w:pStyle w:val="4"/>
        <w:rPr>
          <w:rFonts w:ascii="仿宋" w:hAnsi="仿宋" w:eastAsia="仿宋"/>
          <w:color w:val="auto"/>
          <w:highlight w:val="none"/>
        </w:rPr>
      </w:pPr>
      <w:bookmarkStart w:id="71"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71"/>
    </w:p>
    <w:p>
      <w:pPr>
        <w:pStyle w:val="4"/>
        <w:rPr>
          <w:rStyle w:val="28"/>
          <w:rFonts w:hint="eastAsia" w:ascii="仿宋" w:hAnsi="仿宋" w:eastAsia="仿宋"/>
          <w:b w:val="0"/>
          <w:bCs w:val="0"/>
          <w:color w:val="auto"/>
          <w:highlight w:val="none"/>
        </w:rPr>
      </w:pPr>
      <w:bookmarkStart w:id="72" w:name="_Toc15396631"/>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72"/>
    </w:p>
    <w:p>
      <w:pPr>
        <w:rPr>
          <w:rFonts w:hint="eastAsia" w:eastAsia="仿宋"/>
          <w:color w:val="auto"/>
          <w:highlight w:val="none"/>
          <w:lang w:eastAsia="zh-CN"/>
        </w:rPr>
      </w:pPr>
      <w:r>
        <w:rPr>
          <w:rStyle w:val="28"/>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34457"/>
    <w:multiLevelType w:val="singleLevel"/>
    <w:tmpl w:val="A9534457"/>
    <w:lvl w:ilvl="0" w:tentative="0">
      <w:start w:val="5"/>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6EF1585"/>
    <w:multiLevelType w:val="singleLevel"/>
    <w:tmpl w:val="F6EF1585"/>
    <w:lvl w:ilvl="0" w:tentative="0">
      <w:start w:val="1"/>
      <w:numFmt w:val="decimal"/>
      <w:lvlText w:val="%1."/>
      <w:lvlJc w:val="left"/>
      <w:pPr>
        <w:tabs>
          <w:tab w:val="left" w:pos="312"/>
        </w:tabs>
      </w:pPr>
    </w:lvl>
  </w:abstractNum>
  <w:abstractNum w:abstractNumId="4">
    <w:nsid w:val="F846DBD9"/>
    <w:multiLevelType w:val="singleLevel"/>
    <w:tmpl w:val="F846DBD9"/>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2A1CC83"/>
    <w:multiLevelType w:val="singleLevel"/>
    <w:tmpl w:val="22A1CC83"/>
    <w:lvl w:ilvl="0" w:tentative="0">
      <w:start w:val="1"/>
      <w:numFmt w:val="chineseCounting"/>
      <w:suff w:val="nothing"/>
      <w:lvlText w:val="%1、"/>
      <w:lvlJc w:val="left"/>
      <w:rPr>
        <w:rFonts w:hint="eastAsia"/>
      </w:rPr>
    </w:lvl>
  </w:abstractNum>
  <w:abstractNum w:abstractNumId="7">
    <w:nsid w:val="3D6F4198"/>
    <w:multiLevelType w:val="singleLevel"/>
    <w:tmpl w:val="3D6F4198"/>
    <w:lvl w:ilvl="0" w:tentative="0">
      <w:start w:val="1"/>
      <w:numFmt w:val="decimal"/>
      <w:lvlText w:val="%1."/>
      <w:lvlJc w:val="left"/>
      <w:pPr>
        <w:tabs>
          <w:tab w:val="left" w:pos="312"/>
        </w:tabs>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4901A8"/>
    <w:rsid w:val="07CE2044"/>
    <w:rsid w:val="0A2032A3"/>
    <w:rsid w:val="0B8A37D8"/>
    <w:rsid w:val="0D3446B8"/>
    <w:rsid w:val="0FD16220"/>
    <w:rsid w:val="10C055FF"/>
    <w:rsid w:val="118107EC"/>
    <w:rsid w:val="11DD6519"/>
    <w:rsid w:val="16BB723D"/>
    <w:rsid w:val="18015F3F"/>
    <w:rsid w:val="19EC49E9"/>
    <w:rsid w:val="1A524017"/>
    <w:rsid w:val="1BE8440E"/>
    <w:rsid w:val="1D155CEE"/>
    <w:rsid w:val="20F57F95"/>
    <w:rsid w:val="240371BF"/>
    <w:rsid w:val="25C741E6"/>
    <w:rsid w:val="27842671"/>
    <w:rsid w:val="29915742"/>
    <w:rsid w:val="29FD04D3"/>
    <w:rsid w:val="2ABE7A3E"/>
    <w:rsid w:val="2B9F6F34"/>
    <w:rsid w:val="2EFA178C"/>
    <w:rsid w:val="30B46D73"/>
    <w:rsid w:val="319F7F4E"/>
    <w:rsid w:val="320019D0"/>
    <w:rsid w:val="355634C5"/>
    <w:rsid w:val="39AE70AB"/>
    <w:rsid w:val="39B72CD9"/>
    <w:rsid w:val="3A017922"/>
    <w:rsid w:val="3C0C0783"/>
    <w:rsid w:val="3D8071D2"/>
    <w:rsid w:val="3F9F3A96"/>
    <w:rsid w:val="40F818D7"/>
    <w:rsid w:val="424968DF"/>
    <w:rsid w:val="47942870"/>
    <w:rsid w:val="493C27E9"/>
    <w:rsid w:val="496F39ED"/>
    <w:rsid w:val="49FF41D3"/>
    <w:rsid w:val="4AAD6141"/>
    <w:rsid w:val="4AE52925"/>
    <w:rsid w:val="4BE068DB"/>
    <w:rsid w:val="4BF6002B"/>
    <w:rsid w:val="4C955211"/>
    <w:rsid w:val="4ECE2238"/>
    <w:rsid w:val="51DB4B86"/>
    <w:rsid w:val="55333C3E"/>
    <w:rsid w:val="5E584688"/>
    <w:rsid w:val="64CA39A1"/>
    <w:rsid w:val="6859107A"/>
    <w:rsid w:val="695E1C7A"/>
    <w:rsid w:val="6C4A05C8"/>
    <w:rsid w:val="72734D90"/>
    <w:rsid w:val="777E663D"/>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table of figures1"/>
    <w:basedOn w:val="1"/>
    <w:next w:val="1"/>
    <w:qFormat/>
    <w:uiPriority w:val="0"/>
    <w:pPr>
      <w:jc w:val="left"/>
    </w:pPr>
    <w:rPr>
      <w:rFonts w:ascii="Calibri" w:hAnsi="Calibri"/>
      <w:kern w:val="0"/>
      <w:szCs w:val="21"/>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List 2"/>
    <w:basedOn w:val="1"/>
    <w:qFormat/>
    <w:uiPriority w:val="0"/>
    <w:pPr>
      <w:ind w:left="100" w:leftChars="200" w:hanging="200" w:hanging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0"/>
    <w:pPr>
      <w:jc w:val="left"/>
    </w:pPr>
    <w:rPr>
      <w:rFonts w:ascii="Calibri" w:hAnsi="Calibri"/>
      <w:kern w:val="0"/>
      <w:szCs w:val="21"/>
    </w:rPr>
  </w:style>
  <w:style w:type="paragraph" w:styleId="14">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9"/>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楷体" panose="02010609060101010101" charset="-122"/>
                <a:ea typeface="楷体" panose="02010609060101010101" charset="-122"/>
                <a:cs typeface="楷体" panose="02010609060101010101" charset="-122"/>
              </a:rPr>
              <a:t>图</a:t>
            </a:r>
            <a:r>
              <a:rPr lang="en-US" altLang="zh-CN">
                <a:latin typeface="楷体" panose="02010609060101010101" charset="-122"/>
                <a:ea typeface="楷体" panose="02010609060101010101" charset="-122"/>
                <a:cs typeface="楷体" panose="02010609060101010101" charset="-122"/>
              </a:rPr>
              <a:t>1</a:t>
            </a:r>
            <a:r>
              <a:rPr altLang="en-US">
                <a:latin typeface="楷体" panose="02010609060101010101" charset="-122"/>
                <a:ea typeface="楷体" panose="02010609060101010101" charset="-122"/>
                <a:cs typeface="楷体" panose="02010609060101010101" charset="-122"/>
              </a:rPr>
              <a:t>：收、支决算总计变动情况图</a:t>
            </a:r>
            <a:r>
              <a:rPr lang="en-US" altLang="zh-CN"/>
              <a:t>       </a:t>
            </a:r>
            <a:r>
              <a:rPr altLang="en-US"/>
              <a:t>                      </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2020年度</c:v>
                </c:pt>
              </c:strCache>
            </c:strRef>
          </c:tx>
          <c:spPr>
            <a:solidFill>
              <a:schemeClr val="accent5">
                <a:lumMod val="40000"/>
                <a:lumOff val="60000"/>
              </a:schemeClr>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General</c:formatCode>
                <c:ptCount val="2"/>
                <c:pt idx="0">
                  <c:v>539.42</c:v>
                </c:pt>
              </c:numCache>
            </c:numRef>
          </c:val>
        </c:ser>
        <c:ser>
          <c:idx val="1"/>
          <c:order val="1"/>
          <c:tx>
            <c:strRef>
              <c:f>Sheet1!$C$1</c:f>
              <c:strCache>
                <c:ptCount val="1"/>
                <c:pt idx="0">
                  <c:v>2021年度</c:v>
                </c:pt>
              </c:strCache>
            </c:strRef>
          </c:tx>
          <c:spPr>
            <a:solidFill>
              <a:schemeClr val="accent2">
                <a:lumMod val="20000"/>
                <a:lumOff val="8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General</c:formatCode>
                <c:ptCount val="2"/>
                <c:pt idx="0">
                  <c:v>619.72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收支总计</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0"/>
        <c:axId val="993432829"/>
        <c:axId val="265725943"/>
      </c:barChart>
      <c:catAx>
        <c:axId val="99343282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1"/>
        <c:lblAlgn val="ctr"/>
        <c:lblOffset val="100"/>
        <c:noMultiLvlLbl val="0"/>
      </c:catAx>
      <c:valAx>
        <c:axId val="265725943"/>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majorUnit val="20"/>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楷体" panose="02010609060101010101" charset="-122"/>
                <a:ea typeface="楷体" panose="02010609060101010101" charset="-122"/>
                <a:cs typeface="楷体" panose="02010609060101010101" charset="-122"/>
              </a:rPr>
              <a:t>图</a:t>
            </a:r>
            <a:r>
              <a:rPr lang="en-US" altLang="zh-CN">
                <a:latin typeface="楷体" panose="02010609060101010101" charset="-122"/>
                <a:ea typeface="楷体" panose="02010609060101010101" charset="-122"/>
                <a:cs typeface="楷体" panose="02010609060101010101" charset="-122"/>
              </a:rPr>
              <a:t>2</a:t>
            </a:r>
            <a:r>
              <a:rPr altLang="en-US">
                <a:latin typeface="楷体" panose="02010609060101010101" charset="-122"/>
                <a:ea typeface="楷体" panose="02010609060101010101" charset="-122"/>
                <a:cs typeface="楷体" panose="02010609060101010101" charset="-122"/>
              </a:rPr>
              <a:t>：</a:t>
            </a:r>
            <a:r>
              <a:rPr>
                <a:latin typeface="楷体" panose="02010609060101010101" charset="-122"/>
                <a:ea typeface="楷体" panose="02010609060101010101" charset="-122"/>
                <a:cs typeface="楷体" panose="02010609060101010101" charset="-122"/>
              </a:rPr>
              <a:t>收入决算结构图</a:t>
            </a:r>
            <a:endParaRPr>
              <a:latin typeface="楷体" panose="02010609060101010101" charset="-122"/>
              <a:ea typeface="楷体" panose="02010609060101010101" charset="-122"/>
              <a:cs typeface="楷体" panose="02010609060101010101" charset="-122"/>
            </a:endParaRPr>
          </a:p>
        </c:rich>
      </c:tx>
      <c:layout>
        <c:manualLayout>
          <c:xMode val="edge"/>
          <c:yMode val="edge"/>
          <c:x val="0.230450544558335"/>
          <c:y val="0.0382643261465321"/>
        </c:manualLayout>
      </c:layout>
      <c:overlay val="0"/>
      <c:spPr>
        <a:noFill/>
        <a:ln>
          <a:noFill/>
        </a:ln>
        <a:effectLst/>
      </c:spPr>
    </c:title>
    <c:autoTitleDeleted val="0"/>
    <c:plotArea>
      <c:layout/>
      <c:pieChart>
        <c:varyColors val="1"/>
        <c:ser>
          <c:idx val="0"/>
          <c:order val="0"/>
          <c:tx>
            <c:strRef>
              <c:f>Sheet1!$B$1</c:f>
              <c:strCache>
                <c:ptCount val="1"/>
                <c:pt idx="0">
                  <c:v>本年收入</c:v>
                </c:pt>
              </c:strCache>
            </c:strRef>
          </c:tx>
          <c:spPr>
            <a:solidFill>
              <a:schemeClr val="accent5">
                <a:lumMod val="20000"/>
                <a:lumOff val="80000"/>
              </a:schemeClr>
            </a:solidFill>
          </c:spPr>
          <c:explosion val="0"/>
          <c:dPt>
            <c:idx val="0"/>
            <c:bubble3D val="0"/>
            <c:spPr>
              <a:solidFill>
                <a:schemeClr val="accent5">
                  <a:lumMod val="20000"/>
                  <a:lumOff val="80000"/>
                </a:schemeClr>
              </a:solidFill>
              <a:ln w="19050">
                <a:solidFill>
                  <a:schemeClr val="lt1"/>
                </a:solidFill>
              </a:ln>
              <a:effectLst/>
            </c:spPr>
          </c:dPt>
          <c:dPt>
            <c:idx val="1"/>
            <c:bubble3D val="0"/>
            <c:spPr>
              <a:solidFill>
                <a:schemeClr val="accent2">
                  <a:lumMod val="20000"/>
                  <a:lumOff val="80000"/>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99.999</a:t>
                    </a:r>
                    <a:r>
                      <a:t>%</a:t>
                    </a:r>
                  </a:p>
                </c:rich>
              </c:tx>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1"/>
              <c:layout>
                <c:manualLayout>
                  <c:x val="0.104563491466117"/>
                  <c:y val="0.020758272782112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0.00</a:t>
                    </a:r>
                    <a:r>
                      <a:rPr lang="en-US" altLang="zh-CN"/>
                      <a:t>1</a:t>
                    </a:r>
                    <a:r>
                      <a:t>%</a:t>
                    </a:r>
                  </a:p>
                </c:rich>
              </c:tx>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c:v>
                </c:pt>
                <c:pt idx="1">
                  <c:v>其他收入</c:v>
                </c:pt>
              </c:strCache>
            </c:strRef>
          </c:cat>
          <c:val>
            <c:numRef>
              <c:f>Sheet1!$B$2:$B$3</c:f>
              <c:numCache>
                <c:formatCode>General</c:formatCode>
                <c:ptCount val="2"/>
                <c:pt idx="0">
                  <c:v>611.83</c:v>
                </c:pt>
                <c:pt idx="1">
                  <c:v>0.02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0" normalizeH="0" baseline="0">
                <a:solidFill>
                  <a:schemeClr val="tx1"/>
                </a:solidFill>
                <a:uFill>
                  <a:solidFill>
                    <a:schemeClr val="tx1"/>
                  </a:solidFill>
                </a:uFill>
                <a:latin typeface="+mn-lt"/>
                <a:ea typeface="+mn-ea"/>
                <a:cs typeface="+mn-cs"/>
              </a:defRPr>
            </a:pPr>
            <a:r>
              <a:rPr u="none" strike="noStrike" cap="none" normalizeH="0">
                <a:solidFill>
                  <a:schemeClr val="tx1"/>
                </a:solidFill>
                <a:uFill>
                  <a:solidFill>
                    <a:schemeClr val="tx1"/>
                  </a:solidFill>
                </a:uFill>
                <a:latin typeface="楷体" panose="02010609060101010101" charset="-122"/>
                <a:ea typeface="楷体" panose="02010609060101010101" charset="-122"/>
                <a:cs typeface="楷体" panose="02010609060101010101" charset="-122"/>
              </a:rPr>
              <a:t>图</a:t>
            </a:r>
            <a:r>
              <a:rPr lang="en-US" altLang="zh-CN" u="none" strike="noStrike" cap="none" normalizeH="0">
                <a:solidFill>
                  <a:schemeClr val="tx1"/>
                </a:solidFill>
                <a:uFill>
                  <a:solidFill>
                    <a:schemeClr val="tx1"/>
                  </a:solidFill>
                </a:uFill>
                <a:latin typeface="楷体" panose="02010609060101010101" charset="-122"/>
                <a:ea typeface="楷体" panose="02010609060101010101" charset="-122"/>
                <a:cs typeface="楷体" panose="02010609060101010101" charset="-122"/>
              </a:rPr>
              <a:t>3</a:t>
            </a:r>
            <a:r>
              <a:rPr u="none" strike="noStrike" cap="none" normalizeH="0">
                <a:solidFill>
                  <a:schemeClr val="tx1"/>
                </a:solidFill>
                <a:uFill>
                  <a:solidFill>
                    <a:schemeClr val="tx1"/>
                  </a:solidFill>
                </a:uFill>
                <a:latin typeface="楷体" panose="02010609060101010101" charset="-122"/>
                <a:ea typeface="楷体" panose="02010609060101010101" charset="-122"/>
                <a:cs typeface="楷体" panose="02010609060101010101" charset="-122"/>
              </a:rPr>
              <a:t>：支出决算结构图</a:t>
            </a:r>
            <a:endParaRPr u="none" strike="noStrike" cap="none" normalizeH="0">
              <a:solidFill>
                <a:schemeClr val="tx1"/>
              </a:solidFill>
              <a:uFill>
                <a:solidFill>
                  <a:schemeClr val="tx1"/>
                </a:solidFill>
              </a:uFill>
              <a:latin typeface="楷体" panose="02010609060101010101" charset="-122"/>
              <a:ea typeface="楷体" panose="02010609060101010101" charset="-122"/>
              <a:cs typeface="楷体" panose="02010609060101010101" charset="-122"/>
            </a:endParaRPr>
          </a:p>
        </c:rich>
      </c:tx>
      <c:layout>
        <c:manualLayout>
          <c:xMode val="edge"/>
          <c:yMode val="edge"/>
          <c:x val="0.296363636363636"/>
          <c:y val="0.0256160039033911"/>
        </c:manualLayout>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lumMod val="40000"/>
                  <a:lumOff val="60000"/>
                </a:schemeClr>
              </a:solidFill>
              <a:ln w="19050">
                <a:solidFill>
                  <a:schemeClr val="lt1"/>
                </a:solidFill>
              </a:ln>
              <a:effectLst/>
            </c:spPr>
          </c:dPt>
          <c:dPt>
            <c:idx val="1"/>
            <c:bubble3D val="0"/>
            <c:spPr>
              <a:solidFill>
                <a:schemeClr val="accent2">
                  <a:lumMod val="40000"/>
                  <a:lumOff val="60000"/>
                </a:schemeClr>
              </a:solidFill>
              <a:ln w="19050">
                <a:solidFill>
                  <a:schemeClr val="lt1"/>
                </a:solidFill>
              </a:ln>
              <a:effectLst/>
            </c:spPr>
          </c:dPt>
          <c:dLbls>
            <c:dLbl>
              <c:idx val="0"/>
              <c:layout>
                <c:manualLayout>
                  <c:x val="-0.1171929287598"/>
                  <c:y val="-0.11431214961674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2314875411391"/>
                  <c:y val="0.12942662445894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72.99</c:v>
                </c:pt>
                <c:pt idx="1">
                  <c:v>27.01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u="none" strike="noStrike" kern="1200" cap="none" spc="0" normalizeH="0">
          <a:solidFill>
            <a:schemeClr val="tx1"/>
          </a:solidFill>
          <a:uFill>
            <a:solidFill>
              <a:schemeClr val="tx1"/>
            </a:solidFill>
          </a:u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楷体" panose="02010609060101010101" charset="-122"/>
                <a:ea typeface="楷体" panose="02010609060101010101" charset="-122"/>
                <a:cs typeface="楷体" panose="02010609060101010101" charset="-122"/>
              </a:rPr>
              <a:t>图</a:t>
            </a:r>
            <a:r>
              <a:rPr lang="en-US" altLang="zh-CN">
                <a:latin typeface="楷体" panose="02010609060101010101" charset="-122"/>
                <a:ea typeface="楷体" panose="02010609060101010101" charset="-122"/>
                <a:cs typeface="楷体" panose="02010609060101010101" charset="-122"/>
              </a:rPr>
              <a:t>4</a:t>
            </a:r>
            <a:r>
              <a:rPr>
                <a:latin typeface="楷体" panose="02010609060101010101" charset="-122"/>
                <a:ea typeface="楷体" panose="02010609060101010101" charset="-122"/>
                <a:cs typeface="楷体" panose="02010609060101010101" charset="-122"/>
              </a:rPr>
              <a:t>：财政拨款收、支总计变动情况</a:t>
            </a:r>
            <a:endParaRPr>
              <a:latin typeface="楷体" panose="02010609060101010101" charset="-122"/>
              <a:ea typeface="楷体" panose="02010609060101010101" charset="-122"/>
              <a:cs typeface="楷体" panose="02010609060101010101" charset="-122"/>
            </a:endParaRPr>
          </a:p>
        </c:rich>
      </c:tx>
      <c:layout>
        <c:manualLayout>
          <c:xMode val="edge"/>
          <c:yMode val="edge"/>
          <c:x val="0.173349240070595"/>
          <c:y val="0.042329322758081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2020年度</c:v>
                </c:pt>
              </c:strCache>
            </c:strRef>
          </c:tx>
          <c:spPr>
            <a:solidFill>
              <a:schemeClr val="accent5">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515.76</c:v>
                </c:pt>
              </c:numCache>
            </c:numRef>
          </c:val>
        </c:ser>
        <c:ser>
          <c:idx val="1"/>
          <c:order val="1"/>
          <c:tx>
            <c:strRef>
              <c:f>Sheet1!$C$1</c:f>
              <c:strCache>
                <c:ptCount val="1"/>
                <c:pt idx="0">
                  <c:v>2021年度</c:v>
                </c:pt>
              </c:strCache>
            </c:strRef>
          </c:tx>
          <c:spPr>
            <a:solidFill>
              <a:schemeClr val="accent2">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611.83</c:v>
                </c:pt>
              </c:numCache>
            </c:numRef>
          </c:val>
        </c:ser>
        <c:dLbls>
          <c:showLegendKey val="0"/>
          <c:showVal val="1"/>
          <c:showCatName val="0"/>
          <c:showSerName val="0"/>
          <c:showPercent val="0"/>
          <c:showBubbleSize val="0"/>
        </c:dLbls>
        <c:gapWidth val="150"/>
        <c:overlap val="0"/>
        <c:axId val="869982217"/>
        <c:axId val="480266717"/>
      </c:barChart>
      <c:catAx>
        <c:axId val="869982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majorUnit val="10"/>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楷体" panose="02010609060101010101" charset="-122"/>
                <a:ea typeface="楷体" panose="02010609060101010101" charset="-122"/>
                <a:cs typeface="楷体" panose="02010609060101010101" charset="-122"/>
              </a:rPr>
              <a:t>图</a:t>
            </a:r>
            <a:r>
              <a:rPr lang="en-US" altLang="zh-CN">
                <a:latin typeface="楷体" panose="02010609060101010101" charset="-122"/>
                <a:ea typeface="楷体" panose="02010609060101010101" charset="-122"/>
                <a:cs typeface="楷体" panose="02010609060101010101" charset="-122"/>
              </a:rPr>
              <a:t>5</a:t>
            </a:r>
            <a:r>
              <a:rPr>
                <a:latin typeface="楷体" panose="02010609060101010101" charset="-122"/>
                <a:ea typeface="楷体" panose="02010609060101010101" charset="-122"/>
                <a:cs typeface="楷体" panose="02010609060101010101" charset="-122"/>
              </a:rPr>
              <a:t>：一般公共预算财政拨款支出决算变动情况</a:t>
            </a:r>
            <a:endParaRPr>
              <a:latin typeface="楷体" panose="02010609060101010101" charset="-122"/>
              <a:ea typeface="楷体" panose="02010609060101010101" charset="-122"/>
              <a:cs typeface="楷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2020年度</c:v>
                </c:pt>
              </c:strCache>
            </c:strRef>
          </c:tx>
          <c:spPr>
            <a:solidFill>
              <a:schemeClr val="accent5">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515.76</c:v>
                </c:pt>
              </c:numCache>
            </c:numRef>
          </c:val>
        </c:ser>
        <c:ser>
          <c:idx val="1"/>
          <c:order val="1"/>
          <c:tx>
            <c:strRef>
              <c:f>Sheet1!$C$1</c:f>
              <c:strCache>
                <c:ptCount val="1"/>
                <c:pt idx="0">
                  <c:v>2021年度</c:v>
                </c:pt>
              </c:strCache>
            </c:strRef>
          </c:tx>
          <c:spPr>
            <a:solidFill>
              <a:schemeClr val="accent2">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611.83</c:v>
                </c:pt>
              </c:numCache>
            </c:numRef>
          </c:val>
        </c:ser>
        <c:dLbls>
          <c:showLegendKey val="0"/>
          <c:showVal val="1"/>
          <c:showCatName val="0"/>
          <c:showSerName val="0"/>
          <c:showPercent val="0"/>
          <c:showBubbleSize val="0"/>
        </c:dLbls>
        <c:gapWidth val="219"/>
        <c:overlap val="-27"/>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majorUnit val="2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楷体" panose="02010609060101010101" charset="-122"/>
                <a:ea typeface="楷体" panose="02010609060101010101" charset="-122"/>
                <a:cs typeface="楷体" panose="02010609060101010101" charset="-122"/>
              </a:rPr>
              <a:t>图</a:t>
            </a:r>
            <a:r>
              <a:rPr lang="en-US" altLang="zh-CN">
                <a:latin typeface="楷体" panose="02010609060101010101" charset="-122"/>
                <a:ea typeface="楷体" panose="02010609060101010101" charset="-122"/>
                <a:cs typeface="楷体" panose="02010609060101010101" charset="-122"/>
              </a:rPr>
              <a:t>6</a:t>
            </a:r>
            <a:r>
              <a:rPr altLang="en-US">
                <a:latin typeface="楷体" panose="02010609060101010101" charset="-122"/>
                <a:ea typeface="楷体" panose="02010609060101010101" charset="-122"/>
                <a:cs typeface="楷体" panose="02010609060101010101" charset="-122"/>
              </a:rPr>
              <a:t>：</a:t>
            </a:r>
            <a:r>
              <a:rPr>
                <a:latin typeface="楷体" panose="02010609060101010101" charset="-122"/>
                <a:ea typeface="楷体" panose="02010609060101010101" charset="-122"/>
                <a:cs typeface="楷体" panose="02010609060101010101" charset="-122"/>
              </a:rPr>
              <a:t>一般公共预算财政拨款支出决算结构</a:t>
            </a:r>
            <a:endParaRPr>
              <a:latin typeface="楷体" panose="02010609060101010101" charset="-122"/>
              <a:ea typeface="楷体" panose="02010609060101010101" charset="-122"/>
              <a:cs typeface="楷体" panose="02010609060101010101" charset="-122"/>
            </a:endParaRPr>
          </a:p>
        </c:rich>
      </c:tx>
      <c:layout>
        <c:manualLayout>
          <c:xMode val="edge"/>
          <c:yMode val="edge"/>
          <c:x val="0.117791412685198"/>
          <c:y val="0.0429473385532855"/>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5">
                  <a:lumMod val="40000"/>
                  <a:lumOff val="60000"/>
                </a:schemeClr>
              </a:solidFill>
              <a:ln w="19050">
                <a:solidFill>
                  <a:schemeClr val="lt1"/>
                </a:solidFill>
              </a:ln>
              <a:effectLst/>
            </c:spPr>
          </c:dPt>
          <c:dPt>
            <c:idx val="1"/>
            <c:bubble3D val="0"/>
            <c:spPr>
              <a:solidFill>
                <a:schemeClr val="accent2">
                  <a:lumMod val="40000"/>
                  <a:lumOff val="6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571348654638635"/>
                  <c:y val="-0.17374471490881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771950166593332"/>
                  <c:y val="0.0545141855031385"/>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011301072153"/>
                      <c:h val="0.0663727651236836"/>
                    </c:manualLayout>
                  </c15:layout>
                </c:ext>
              </c:extLst>
            </c:dLbl>
            <c:dLbl>
              <c:idx val="2"/>
              <c:layout>
                <c:manualLayout>
                  <c:x val="-0.0772833790495666"/>
                  <c:y val="0.01190003173308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0168870815818013"/>
                  <c:y val="-0.01088539533192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997021129274494"/>
                  <c:y val="0.036147851927295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c:v>
                </c:pt>
                <c:pt idx="1">
                  <c:v>社会保障和就业</c:v>
                </c:pt>
                <c:pt idx="2">
                  <c:v>医疗卫生支出</c:v>
                </c:pt>
                <c:pt idx="3">
                  <c:v>住房保障支出</c:v>
                </c:pt>
                <c:pt idx="4">
                  <c:v>教育支出</c:v>
                </c:pt>
              </c:strCache>
            </c:strRef>
          </c:cat>
          <c:val>
            <c:numRef>
              <c:f>Sheet1!$B$2:$B$6</c:f>
              <c:numCache>
                <c:formatCode>General</c:formatCode>
                <c:ptCount val="5"/>
                <c:pt idx="0">
                  <c:v>536.5</c:v>
                </c:pt>
                <c:pt idx="1">
                  <c:v>37.79</c:v>
                </c:pt>
                <c:pt idx="2">
                  <c:v>7.75</c:v>
                </c:pt>
                <c:pt idx="3">
                  <c:v>29.48</c:v>
                </c:pt>
                <c:pt idx="4">
                  <c:v>0.31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楷体" panose="02010609060101010101" charset="-122"/>
                <a:ea typeface="楷体" panose="02010609060101010101" charset="-122"/>
                <a:cs typeface="楷体" panose="02010609060101010101" charset="-122"/>
              </a:rPr>
              <a:t>图</a:t>
            </a:r>
            <a:r>
              <a:rPr lang="en-US" altLang="zh-CN">
                <a:latin typeface="楷体" panose="02010609060101010101" charset="-122"/>
                <a:ea typeface="楷体" panose="02010609060101010101" charset="-122"/>
                <a:cs typeface="楷体" panose="02010609060101010101" charset="-122"/>
              </a:rPr>
              <a:t>7</a:t>
            </a:r>
            <a:r>
              <a:rPr altLang="en-US">
                <a:latin typeface="楷体" panose="02010609060101010101" charset="-122"/>
                <a:ea typeface="楷体" panose="02010609060101010101" charset="-122"/>
                <a:cs typeface="楷体" panose="02010609060101010101" charset="-122"/>
              </a:rPr>
              <a:t>：</a:t>
            </a:r>
            <a:r>
              <a:rPr>
                <a:latin typeface="楷体" panose="02010609060101010101" charset="-122"/>
                <a:ea typeface="楷体" panose="02010609060101010101" charset="-122"/>
                <a:cs typeface="楷体" panose="02010609060101010101" charset="-122"/>
              </a:rPr>
              <a:t>“三公”经费财政拨款支出结构</a:t>
            </a:r>
            <a:endParaRPr>
              <a:latin typeface="楷体" panose="02010609060101010101" charset="-122"/>
              <a:ea typeface="楷体" panose="02010609060101010101" charset="-122"/>
              <a:cs typeface="楷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5">
                  <a:lumMod val="40000"/>
                  <a:lumOff val="60000"/>
                </a:schemeClr>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43626651861799"/>
                  <c:y val="0.053078884732457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03092084476317"/>
                  <c:y val="0.027390011889919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23.95</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2359550561798"/>
          <c:y val="0.446789536266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cp:lastModifiedBy>
  <cp:lastPrinted>2022-08-06T02:23:00Z</cp:lastPrinted>
  <dcterms:modified xsi:type="dcterms:W3CDTF">2022-11-14T07:15:00Z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