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bookmarkStart w:id="1" w:name="_Toc15396597"/>
      <w:bookmarkStart w:id="2" w:name="_Toc15377193"/>
      <w:bookmarkStart w:id="3" w:name="_Toc15396475"/>
      <w:bookmarkStart w:id="4" w:name="_Toc15377425"/>
      <w:bookmarkStart w:id="5" w:name="_Toc15378441"/>
      <w:r>
        <w:rPr>
          <w:rFonts w:eastAsia="黑体"/>
          <w:sz w:val="72"/>
          <w:szCs w:val="72"/>
        </w:rPr>
        <w:t>202</w:t>
      </w:r>
      <w:r>
        <w:rPr>
          <w:rFonts w:hint="eastAsia" w:eastAsia="黑体"/>
          <w:sz w:val="72"/>
          <w:szCs w:val="72"/>
        </w:rPr>
        <w:t>1</w:t>
      </w:r>
      <w:r>
        <w:rPr>
          <w:rFonts w:eastAsia="方正小标宋简体"/>
          <w:sz w:val="72"/>
          <w:szCs w:val="72"/>
        </w:rPr>
        <w:t>年度</w:t>
      </w:r>
      <w:bookmarkEnd w:id="1"/>
      <w:bookmarkEnd w:id="2"/>
      <w:bookmarkEnd w:id="3"/>
      <w:bookmarkEnd w:id="4"/>
      <w:bookmarkEnd w:id="5"/>
    </w:p>
    <w:bookmarkEnd w:id="0"/>
    <w:p>
      <w:pPr>
        <w:adjustRightInd w:val="0"/>
        <w:snapToGrid w:val="0"/>
        <w:spacing w:line="360" w:lineRule="auto"/>
        <w:ind w:firstLine="1372" w:firstLineChars="200"/>
        <w:outlineLvl w:val="0"/>
        <w:rPr>
          <w:rFonts w:eastAsia="方正小标宋简体"/>
          <w:sz w:val="72"/>
          <w:szCs w:val="72"/>
        </w:rPr>
      </w:pPr>
      <w:bookmarkStart w:id="6" w:name="_Toc15377194"/>
      <w:bookmarkStart w:id="7" w:name="_Toc15306268"/>
      <w:bookmarkStart w:id="8" w:name="_Toc15378442"/>
      <w:bookmarkStart w:id="9" w:name="_Toc15396476"/>
      <w:bookmarkStart w:id="10" w:name="_Toc15396598"/>
      <w:bookmarkStart w:id="11" w:name="_Toc15377426"/>
      <w:r>
        <w:rPr>
          <w:rFonts w:eastAsia="方正小标宋简体"/>
          <w:spacing w:val="-17"/>
          <w:sz w:val="72"/>
          <w:szCs w:val="72"/>
        </w:rPr>
        <w:t>民族杂志社</w:t>
      </w:r>
      <w:r>
        <w:rPr>
          <w:rFonts w:hint="eastAsia" w:eastAsia="方正小标宋简体"/>
          <w:spacing w:val="-17"/>
          <w:sz w:val="72"/>
          <w:szCs w:val="72"/>
        </w:rPr>
        <w:t>单位</w:t>
      </w:r>
      <w:r>
        <w:rPr>
          <w:rFonts w:eastAsia="方正小标宋简体"/>
          <w:sz w:val="72"/>
          <w:szCs w:val="72"/>
        </w:rPr>
        <w:t>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0"/>
        <w:rPr>
          <w:rFonts w:ascii="Times New Roman" w:hAnsi="Times New Roman"/>
        </w:rPr>
      </w:pPr>
      <w:r>
        <w:rPr>
          <w:rFonts w:ascii="Times New Roman" w:hAnsi="Times New Roman"/>
        </w:rPr>
        <w:t>公开时间：202</w:t>
      </w:r>
      <w:r>
        <w:rPr>
          <w:rFonts w:hint="eastAsia" w:ascii="Times New Roman" w:hAnsi="Times New Roman"/>
        </w:rPr>
        <w:t>2</w:t>
      </w:r>
      <w:r>
        <w:rPr>
          <w:rFonts w:ascii="Times New Roman" w:hAnsi="Times New Roman"/>
        </w:rPr>
        <w:t>年</w:t>
      </w:r>
      <w:r>
        <w:rPr>
          <w:rFonts w:hint="eastAsia" w:ascii="Times New Roman" w:hAnsi="Times New Roman"/>
        </w:rPr>
        <w:t>9</w:t>
      </w:r>
      <w:r>
        <w:rPr>
          <w:rFonts w:ascii="Times New Roman" w:hAnsi="Times New Roman"/>
        </w:rPr>
        <w:t>月</w:t>
      </w:r>
      <w:r>
        <w:rPr>
          <w:rFonts w:hint="eastAsia" w:ascii="Times New Roman" w:hAnsi="Times New Roman"/>
        </w:rPr>
        <w:t>9</w:t>
      </w:r>
      <w:r>
        <w:rPr>
          <w:rFonts w:ascii="Times New Roman" w:hAnsi="Times New Roman"/>
        </w:rPr>
        <w:t>日</w:t>
      </w:r>
    </w:p>
    <w:p/>
    <w:p>
      <w:pPr>
        <w:pStyle w:val="10"/>
        <w:adjustRightInd w:val="0"/>
        <w:snapToGrid w:val="0"/>
        <w:spacing w:before="0" w:line="440" w:lineRule="exact"/>
        <w:jc w:val="left"/>
        <w:rPr>
          <w:rFonts w:ascii="Times New Roman" w:hAnsi="Times New Roman"/>
          <w:sz w:val="24"/>
          <w:szCs w:val="24"/>
        </w:rPr>
      </w:pPr>
      <w:r>
        <w:rPr>
          <w:rFonts w:ascii="Times New Roman" w:hAnsi="Times New Roman" w:eastAsia="仿宋_GB2312"/>
          <w:sz w:val="24"/>
          <w:szCs w:val="24"/>
        </w:rPr>
        <w:t xml:space="preserve">第一部分 </w:t>
      </w:r>
      <w:r>
        <w:rPr>
          <w:rFonts w:hint="eastAsia" w:ascii="Times New Roman" w:hAnsi="Times New Roman" w:eastAsia="仿宋_GB2312"/>
          <w:sz w:val="24"/>
          <w:szCs w:val="24"/>
        </w:rPr>
        <w:t>单位</w:t>
      </w:r>
      <w:r>
        <w:rPr>
          <w:rFonts w:ascii="Times New Roman" w:hAnsi="Times New Roman" w:eastAsia="仿宋_GB2312"/>
          <w:sz w:val="24"/>
          <w:szCs w:val="24"/>
        </w:rPr>
        <w:t>概况</w:t>
      </w:r>
      <w:r>
        <w:rPr>
          <w:rFonts w:ascii="Times New Roman" w:hAnsi="Times New Roman"/>
          <w:sz w:val="24"/>
          <w:szCs w:val="24"/>
        </w:rPr>
        <w:t>.....................................................................................................4</w:t>
      </w:r>
    </w:p>
    <w:p>
      <w:pPr>
        <w:pStyle w:val="11"/>
        <w:adjustRightInd w:val="0"/>
        <w:snapToGrid w:val="0"/>
        <w:spacing w:line="440" w:lineRule="exact"/>
        <w:jc w:val="left"/>
        <w:rPr>
          <w:sz w:val="24"/>
        </w:rPr>
      </w:pPr>
      <w:r>
        <w:rPr>
          <w:rFonts w:hint="eastAsia"/>
          <w:sz w:val="24"/>
        </w:rPr>
        <w:t>一、职能简介</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rPr>
      </w:pPr>
      <w:r>
        <w:rPr>
          <w:rFonts w:hint="eastAsia" w:asciiTheme="minorEastAsia" w:hAnsiTheme="minorEastAsia" w:eastAsiaTheme="minorEastAsia" w:cstheme="minorEastAsia"/>
          <w:sz w:val="24"/>
        </w:rPr>
        <w:t>二、2021年重点工作完成情况</w:t>
      </w:r>
    </w:p>
    <w:p>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szCs w:val="24"/>
          <w:lang w:val="en-US" w:eastAsia="zh-CN"/>
        </w:rPr>
      </w:pPr>
      <w:r>
        <w:rPr>
          <w:rFonts w:hint="eastAsia"/>
          <w:sz w:val="24"/>
          <w:szCs w:val="24"/>
          <w:lang w:val="en-US" w:eastAsia="zh-CN"/>
        </w:rPr>
        <w:t>三、机构设置情况</w:t>
      </w:r>
    </w:p>
    <w:p>
      <w:pPr>
        <w:pStyle w:val="10"/>
        <w:adjustRightInd w:val="0"/>
        <w:snapToGrid w:val="0"/>
        <w:spacing w:before="0" w:line="440" w:lineRule="exact"/>
        <w:jc w:val="left"/>
        <w:rPr>
          <w:rFonts w:ascii="Times New Roman" w:hAnsi="Times New Roman"/>
          <w:sz w:val="24"/>
          <w:szCs w:val="24"/>
        </w:rPr>
      </w:pPr>
      <w:r>
        <w:rPr>
          <w:rFonts w:ascii="Times New Roman" w:hAnsi="Times New Roman" w:eastAsia="仿宋_GB2312"/>
          <w:sz w:val="24"/>
          <w:szCs w:val="24"/>
        </w:rPr>
        <w:t>第二部分202</w:t>
      </w:r>
      <w:r>
        <w:rPr>
          <w:rFonts w:hint="eastAsia" w:ascii="Times New Roman" w:hAnsi="Times New Roman" w:eastAsia="仿宋_GB2312"/>
          <w:sz w:val="24"/>
          <w:szCs w:val="24"/>
        </w:rPr>
        <w:t>1</w:t>
      </w:r>
      <w:r>
        <w:rPr>
          <w:rFonts w:ascii="Times New Roman" w:hAnsi="Times New Roman" w:eastAsia="仿宋_GB2312"/>
          <w:sz w:val="24"/>
          <w:szCs w:val="24"/>
        </w:rPr>
        <w:t>年度部门决算情况说明</w:t>
      </w:r>
      <w:r>
        <w:rPr>
          <w:rFonts w:ascii="Times New Roman" w:hAnsi="Times New Roman"/>
          <w:sz w:val="24"/>
          <w:szCs w:val="24"/>
        </w:rPr>
        <w:t>.....................................................................</w:t>
      </w:r>
      <w:r>
        <w:rPr>
          <w:rFonts w:hint="eastAsia" w:ascii="Times New Roman" w:hAnsi="Times New Roman"/>
          <w:sz w:val="24"/>
          <w:szCs w:val="24"/>
        </w:rPr>
        <w:t>7</w:t>
      </w:r>
    </w:p>
    <w:p>
      <w:pPr>
        <w:pStyle w:val="11"/>
        <w:adjustRightInd w:val="0"/>
        <w:snapToGrid w:val="0"/>
        <w:spacing w:line="440" w:lineRule="exact"/>
        <w:jc w:val="left"/>
        <w:rPr>
          <w:sz w:val="24"/>
        </w:rPr>
      </w:pPr>
      <w:r>
        <w:rPr>
          <w:sz w:val="24"/>
        </w:rPr>
        <w:t>一、收入支出决算总体情况说明........................................................................</w:t>
      </w:r>
      <w:r>
        <w:rPr>
          <w:rFonts w:hint="eastAsia"/>
          <w:sz w:val="24"/>
        </w:rPr>
        <w:t>7</w:t>
      </w:r>
    </w:p>
    <w:p>
      <w:pPr>
        <w:pStyle w:val="11"/>
        <w:adjustRightInd w:val="0"/>
        <w:snapToGrid w:val="0"/>
        <w:spacing w:line="440" w:lineRule="exact"/>
        <w:jc w:val="left"/>
        <w:rPr>
          <w:sz w:val="24"/>
        </w:rPr>
      </w:pPr>
      <w:r>
        <w:rPr>
          <w:sz w:val="24"/>
        </w:rPr>
        <w:t>二、收入决算情况说明........................................................................................</w:t>
      </w:r>
      <w:r>
        <w:rPr>
          <w:rFonts w:hint="eastAsia"/>
          <w:sz w:val="24"/>
        </w:rPr>
        <w:t>7</w:t>
      </w:r>
    </w:p>
    <w:p>
      <w:pPr>
        <w:pStyle w:val="11"/>
        <w:adjustRightInd w:val="0"/>
        <w:snapToGrid w:val="0"/>
        <w:spacing w:line="440" w:lineRule="exact"/>
        <w:jc w:val="left"/>
        <w:rPr>
          <w:sz w:val="24"/>
        </w:rPr>
      </w:pPr>
      <w:r>
        <w:rPr>
          <w:sz w:val="24"/>
        </w:rPr>
        <w:t>三、支出决算情况说明........................................................................................</w:t>
      </w:r>
      <w:r>
        <w:rPr>
          <w:rFonts w:hint="eastAsia"/>
          <w:sz w:val="24"/>
        </w:rPr>
        <w:t>8</w:t>
      </w:r>
    </w:p>
    <w:p>
      <w:pPr>
        <w:pStyle w:val="11"/>
        <w:adjustRightInd w:val="0"/>
        <w:snapToGrid w:val="0"/>
        <w:spacing w:line="440" w:lineRule="exact"/>
        <w:jc w:val="left"/>
        <w:rPr>
          <w:sz w:val="24"/>
        </w:rPr>
      </w:pPr>
      <w:r>
        <w:rPr>
          <w:sz w:val="24"/>
        </w:rPr>
        <w:t>四、财政拨款收入支出决算总体情况说明........................................................</w:t>
      </w:r>
      <w:r>
        <w:rPr>
          <w:rFonts w:hint="eastAsia"/>
          <w:sz w:val="24"/>
        </w:rPr>
        <w:t>8</w:t>
      </w:r>
    </w:p>
    <w:p>
      <w:pPr>
        <w:pStyle w:val="11"/>
        <w:adjustRightInd w:val="0"/>
        <w:snapToGrid w:val="0"/>
        <w:spacing w:line="440" w:lineRule="exact"/>
        <w:jc w:val="left"/>
        <w:rPr>
          <w:rFonts w:hint="eastAsia" w:eastAsia="宋体"/>
          <w:sz w:val="24"/>
          <w:lang w:eastAsia="zh-CN"/>
        </w:rPr>
      </w:pPr>
      <w:r>
        <w:rPr>
          <w:sz w:val="24"/>
        </w:rPr>
        <w:t>五、一般公共预算财政拨款支出决算情况说明................................................</w:t>
      </w:r>
      <w:r>
        <w:rPr>
          <w:rFonts w:hint="eastAsia"/>
          <w:sz w:val="24"/>
          <w:lang w:val="en-US" w:eastAsia="zh-CN"/>
        </w:rPr>
        <w:t>9</w:t>
      </w:r>
    </w:p>
    <w:p>
      <w:pPr>
        <w:pStyle w:val="11"/>
        <w:adjustRightInd w:val="0"/>
        <w:snapToGrid w:val="0"/>
        <w:spacing w:line="440" w:lineRule="exact"/>
        <w:jc w:val="left"/>
        <w:rPr>
          <w:sz w:val="24"/>
        </w:rPr>
      </w:pPr>
      <w:r>
        <w:rPr>
          <w:sz w:val="24"/>
        </w:rPr>
        <w:t>六、一般公共预算财政拨款基本支出决算情况说明.........................................1</w:t>
      </w:r>
      <w:r>
        <w:rPr>
          <w:rFonts w:hint="eastAsia"/>
          <w:sz w:val="24"/>
        </w:rPr>
        <w:t>1</w:t>
      </w:r>
    </w:p>
    <w:p>
      <w:pPr>
        <w:pStyle w:val="11"/>
        <w:adjustRightInd w:val="0"/>
        <w:snapToGrid w:val="0"/>
        <w:spacing w:line="440" w:lineRule="exact"/>
        <w:jc w:val="left"/>
        <w:rPr>
          <w:rFonts w:hint="eastAsia" w:eastAsia="宋体"/>
          <w:sz w:val="24"/>
          <w:lang w:eastAsia="zh-CN"/>
        </w:rPr>
      </w:pPr>
      <w:r>
        <w:rPr>
          <w:sz w:val="24"/>
        </w:rPr>
        <w:t>七、“三公”经费财政拨款支出决算情况说明.....................................................1</w:t>
      </w:r>
      <w:r>
        <w:rPr>
          <w:rFonts w:hint="eastAsia"/>
          <w:sz w:val="24"/>
          <w:lang w:val="en-US" w:eastAsia="zh-CN"/>
        </w:rPr>
        <w:t>2</w:t>
      </w:r>
    </w:p>
    <w:p>
      <w:pPr>
        <w:pStyle w:val="11"/>
        <w:adjustRightInd w:val="0"/>
        <w:snapToGrid w:val="0"/>
        <w:spacing w:line="440" w:lineRule="exact"/>
        <w:jc w:val="left"/>
        <w:rPr>
          <w:rFonts w:hint="eastAsia"/>
          <w:sz w:val="24"/>
        </w:rPr>
      </w:pPr>
      <w:r>
        <w:rPr>
          <w:rFonts w:hint="eastAsia"/>
          <w:sz w:val="24"/>
        </w:rPr>
        <w:t>八、政府性基金预算支出决算</w:t>
      </w:r>
      <w:r>
        <w:rPr>
          <w:rFonts w:hint="eastAsia"/>
          <w:sz w:val="24"/>
          <w:lang w:eastAsia="zh-CN"/>
        </w:rPr>
        <w:t>说</w:t>
      </w:r>
      <w:r>
        <w:rPr>
          <w:rFonts w:hint="eastAsia"/>
          <w:sz w:val="24"/>
        </w:rPr>
        <w:t>明</w:t>
      </w:r>
      <w:r>
        <w:rPr>
          <w:sz w:val="24"/>
        </w:rPr>
        <w:t>....................................................................1</w:t>
      </w:r>
      <w:r>
        <w:rPr>
          <w:rFonts w:hint="eastAsia"/>
          <w:sz w:val="24"/>
        </w:rPr>
        <w:t>3</w:t>
      </w:r>
    </w:p>
    <w:p>
      <w:pPr>
        <w:pStyle w:val="11"/>
        <w:adjustRightInd w:val="0"/>
        <w:snapToGrid w:val="0"/>
        <w:spacing w:line="440" w:lineRule="exact"/>
        <w:jc w:val="left"/>
        <w:rPr>
          <w:rFonts w:hint="default"/>
          <w:sz w:val="24"/>
          <w:lang w:val="en"/>
        </w:rPr>
      </w:pPr>
      <w:r>
        <w:rPr>
          <w:rFonts w:hint="eastAsia"/>
          <w:sz w:val="24"/>
        </w:rPr>
        <w:t>九、国有资本经营预算支出决算情况说明</w:t>
      </w:r>
      <w:r>
        <w:rPr>
          <w:sz w:val="24"/>
        </w:rPr>
        <w:t>........................................................</w:t>
      </w:r>
      <w:r>
        <w:rPr>
          <w:rFonts w:hint="default"/>
          <w:sz w:val="24"/>
          <w:lang w:val="en"/>
        </w:rPr>
        <w:t>13</w:t>
      </w:r>
    </w:p>
    <w:p>
      <w:pPr>
        <w:pStyle w:val="11"/>
        <w:adjustRightInd w:val="0"/>
        <w:snapToGrid w:val="0"/>
        <w:spacing w:line="440" w:lineRule="exact"/>
        <w:jc w:val="left"/>
        <w:rPr>
          <w:rFonts w:hint="default"/>
          <w:sz w:val="24"/>
          <w:lang w:val="en"/>
        </w:rPr>
      </w:pPr>
      <w:r>
        <w:rPr>
          <w:rFonts w:hint="eastAsia"/>
          <w:sz w:val="24"/>
        </w:rPr>
        <w:t>十、其他重要事项的情况明</w:t>
      </w:r>
      <w:r>
        <w:rPr>
          <w:sz w:val="24"/>
        </w:rPr>
        <w:t>................................................................................</w:t>
      </w:r>
      <w:r>
        <w:rPr>
          <w:rFonts w:hint="default"/>
          <w:sz w:val="24"/>
          <w:lang w:val="en"/>
        </w:rPr>
        <w:t>13</w:t>
      </w:r>
    </w:p>
    <w:p>
      <w:pPr>
        <w:pStyle w:val="10"/>
        <w:adjustRightInd w:val="0"/>
        <w:snapToGrid w:val="0"/>
        <w:spacing w:before="0" w:line="440" w:lineRule="exact"/>
        <w:jc w:val="left"/>
        <w:rPr>
          <w:rFonts w:hint="default" w:ascii="Times New Roman" w:hAnsi="Times New Roman"/>
          <w:sz w:val="24"/>
          <w:szCs w:val="24"/>
          <w:lang w:val="en"/>
        </w:rPr>
      </w:pPr>
      <w:r>
        <w:rPr>
          <w:rFonts w:ascii="Times New Roman" w:hAnsi="Times New Roman" w:eastAsia="仿宋_GB2312"/>
          <w:sz w:val="24"/>
          <w:szCs w:val="24"/>
        </w:rPr>
        <w:t>第三部分 名词解释</w:t>
      </w:r>
      <w:r>
        <w:rPr>
          <w:rFonts w:ascii="Times New Roman" w:hAnsi="Times New Roman"/>
          <w:sz w:val="24"/>
          <w:szCs w:val="24"/>
        </w:rPr>
        <w:t>....................................................................................................1</w:t>
      </w:r>
      <w:r>
        <w:rPr>
          <w:rFonts w:hint="default" w:ascii="Times New Roman" w:hAnsi="Times New Roman"/>
          <w:sz w:val="24"/>
          <w:szCs w:val="24"/>
          <w:lang w:val="en"/>
        </w:rPr>
        <w:t>5</w:t>
      </w:r>
      <w:r>
        <w:rPr>
          <w:rFonts w:ascii="Times New Roman" w:hAnsi="Times New Roman" w:eastAsia="仿宋_GB2312"/>
          <w:sz w:val="24"/>
          <w:szCs w:val="24"/>
        </w:rPr>
        <w:t>第四部分 附件</w:t>
      </w:r>
      <w:r>
        <w:rPr>
          <w:rFonts w:ascii="Times New Roman" w:hAnsi="Times New Roman"/>
          <w:sz w:val="24"/>
          <w:szCs w:val="24"/>
        </w:rPr>
        <w:t>............................................................................................................1</w:t>
      </w:r>
      <w:r>
        <w:rPr>
          <w:rFonts w:hint="default" w:ascii="Times New Roman" w:hAnsi="Times New Roman"/>
          <w:sz w:val="24"/>
          <w:szCs w:val="24"/>
          <w:lang w:val="en"/>
        </w:rPr>
        <w:t>7</w:t>
      </w:r>
    </w:p>
    <w:p>
      <w:pPr>
        <w:pStyle w:val="10"/>
        <w:adjustRightInd w:val="0"/>
        <w:snapToGrid w:val="0"/>
        <w:spacing w:before="0" w:line="440" w:lineRule="exact"/>
        <w:jc w:val="left"/>
        <w:rPr>
          <w:rFonts w:ascii="Times New Roman" w:hAnsi="Times New Roman"/>
          <w:sz w:val="24"/>
          <w:szCs w:val="24"/>
        </w:rPr>
      </w:pPr>
      <w:r>
        <w:rPr>
          <w:rFonts w:ascii="Times New Roman" w:hAnsi="Times New Roman" w:eastAsia="仿宋_GB2312"/>
          <w:sz w:val="24"/>
          <w:szCs w:val="24"/>
        </w:rPr>
        <w:t>第五部分 附表</w:t>
      </w:r>
      <w:r>
        <w:rPr>
          <w:rFonts w:ascii="Times New Roman" w:hAnsi="Times New Roman"/>
          <w:sz w:val="24"/>
          <w:szCs w:val="24"/>
        </w:rPr>
        <w:t>............................................................................................................</w:t>
      </w:r>
      <w:r>
        <w:rPr>
          <w:rFonts w:hint="eastAsia" w:ascii="Times New Roman" w:hAnsi="Times New Roman"/>
          <w:sz w:val="24"/>
          <w:szCs w:val="24"/>
        </w:rPr>
        <w:t>25</w:t>
      </w:r>
    </w:p>
    <w:p>
      <w:pPr>
        <w:pStyle w:val="11"/>
        <w:adjustRightInd w:val="0"/>
        <w:snapToGrid w:val="0"/>
        <w:spacing w:line="440" w:lineRule="exact"/>
        <w:jc w:val="left"/>
        <w:rPr>
          <w:sz w:val="24"/>
        </w:rPr>
      </w:pPr>
      <w:r>
        <w:rPr>
          <w:sz w:val="24"/>
        </w:rPr>
        <w:t>一、收入支出决算总表.......................................................................................</w:t>
      </w:r>
      <w:r>
        <w:rPr>
          <w:rFonts w:hint="eastAsia"/>
          <w:sz w:val="24"/>
        </w:rPr>
        <w:t>25</w:t>
      </w:r>
    </w:p>
    <w:p>
      <w:pPr>
        <w:pStyle w:val="11"/>
        <w:adjustRightInd w:val="0"/>
        <w:snapToGrid w:val="0"/>
        <w:spacing w:line="440" w:lineRule="exact"/>
        <w:jc w:val="left"/>
        <w:rPr>
          <w:sz w:val="24"/>
        </w:rPr>
      </w:pPr>
      <w:r>
        <w:rPr>
          <w:sz w:val="24"/>
        </w:rPr>
        <w:t>二、收入决算表....................................................................................................</w:t>
      </w:r>
      <w:r>
        <w:rPr>
          <w:rFonts w:hint="eastAsia"/>
          <w:sz w:val="24"/>
        </w:rPr>
        <w:t>25</w:t>
      </w:r>
    </w:p>
    <w:p>
      <w:pPr>
        <w:pStyle w:val="11"/>
        <w:adjustRightInd w:val="0"/>
        <w:snapToGrid w:val="0"/>
        <w:spacing w:line="440" w:lineRule="exact"/>
        <w:jc w:val="left"/>
        <w:rPr>
          <w:sz w:val="24"/>
        </w:rPr>
      </w:pPr>
      <w:r>
        <w:rPr>
          <w:sz w:val="24"/>
        </w:rPr>
        <w:t>三、支出决算表....................................................................................................</w:t>
      </w:r>
      <w:r>
        <w:rPr>
          <w:rFonts w:hint="eastAsia"/>
          <w:sz w:val="24"/>
        </w:rPr>
        <w:t>25</w:t>
      </w:r>
    </w:p>
    <w:p>
      <w:pPr>
        <w:pStyle w:val="11"/>
        <w:adjustRightInd w:val="0"/>
        <w:snapToGrid w:val="0"/>
        <w:spacing w:line="440" w:lineRule="exact"/>
        <w:jc w:val="left"/>
        <w:rPr>
          <w:sz w:val="24"/>
        </w:rPr>
      </w:pPr>
      <w:r>
        <w:rPr>
          <w:sz w:val="24"/>
        </w:rPr>
        <w:t>四、财政拨款收入支出决算总表.........................................................................</w:t>
      </w:r>
      <w:r>
        <w:rPr>
          <w:rFonts w:hint="eastAsia"/>
          <w:sz w:val="24"/>
        </w:rPr>
        <w:t>25</w:t>
      </w:r>
    </w:p>
    <w:p>
      <w:pPr>
        <w:pStyle w:val="11"/>
        <w:adjustRightInd w:val="0"/>
        <w:snapToGrid w:val="0"/>
        <w:spacing w:line="440" w:lineRule="exact"/>
        <w:jc w:val="left"/>
        <w:rPr>
          <w:sz w:val="24"/>
        </w:rPr>
      </w:pPr>
      <w:r>
        <w:rPr>
          <w:sz w:val="24"/>
        </w:rPr>
        <w:t>五、财政拨款支出决算明细表............................................................................</w:t>
      </w:r>
      <w:r>
        <w:rPr>
          <w:rFonts w:hint="eastAsia"/>
          <w:sz w:val="24"/>
        </w:rPr>
        <w:t>25</w:t>
      </w:r>
    </w:p>
    <w:p>
      <w:pPr>
        <w:pStyle w:val="11"/>
        <w:adjustRightInd w:val="0"/>
        <w:snapToGrid w:val="0"/>
        <w:spacing w:line="440" w:lineRule="exact"/>
        <w:jc w:val="left"/>
        <w:rPr>
          <w:sz w:val="24"/>
        </w:rPr>
      </w:pPr>
      <w:r>
        <w:rPr>
          <w:sz w:val="24"/>
        </w:rPr>
        <w:t>六、一般公共预算财政拨款支出决算表............................................................</w:t>
      </w:r>
      <w:r>
        <w:rPr>
          <w:rFonts w:hint="eastAsia"/>
          <w:sz w:val="24"/>
        </w:rPr>
        <w:t>25</w:t>
      </w:r>
    </w:p>
    <w:p>
      <w:pPr>
        <w:pStyle w:val="11"/>
        <w:adjustRightInd w:val="0"/>
        <w:snapToGrid w:val="0"/>
        <w:spacing w:line="440" w:lineRule="exact"/>
        <w:jc w:val="left"/>
        <w:rPr>
          <w:sz w:val="24"/>
        </w:rPr>
      </w:pPr>
      <w:r>
        <w:rPr>
          <w:sz w:val="24"/>
        </w:rPr>
        <w:t>七、一般公共预算财政拨款支出决算明细表....................................................</w:t>
      </w:r>
      <w:r>
        <w:rPr>
          <w:rFonts w:hint="eastAsia"/>
          <w:sz w:val="24"/>
        </w:rPr>
        <w:t>25</w:t>
      </w:r>
    </w:p>
    <w:p>
      <w:pPr>
        <w:pStyle w:val="11"/>
        <w:adjustRightInd w:val="0"/>
        <w:snapToGrid w:val="0"/>
        <w:spacing w:line="440" w:lineRule="exact"/>
        <w:jc w:val="left"/>
        <w:rPr>
          <w:sz w:val="24"/>
        </w:rPr>
      </w:pPr>
      <w:r>
        <w:rPr>
          <w:sz w:val="24"/>
        </w:rPr>
        <w:t>八、一般公共预算财政拨款基本支出决算表....................................................</w:t>
      </w:r>
      <w:r>
        <w:rPr>
          <w:rFonts w:hint="eastAsia"/>
          <w:sz w:val="24"/>
        </w:rPr>
        <w:t>25</w:t>
      </w:r>
    </w:p>
    <w:p>
      <w:pPr>
        <w:pStyle w:val="11"/>
        <w:adjustRightInd w:val="0"/>
        <w:snapToGrid w:val="0"/>
        <w:spacing w:line="440" w:lineRule="exact"/>
        <w:jc w:val="left"/>
        <w:rPr>
          <w:sz w:val="24"/>
        </w:rPr>
      </w:pPr>
      <w:r>
        <w:rPr>
          <w:sz w:val="24"/>
        </w:rPr>
        <w:t>九、一般公共预算财政拨款项目支出决算表...................................................</w:t>
      </w:r>
      <w:r>
        <w:rPr>
          <w:rFonts w:hint="eastAsia"/>
          <w:sz w:val="24"/>
        </w:rPr>
        <w:t>25</w:t>
      </w:r>
    </w:p>
    <w:p>
      <w:pPr>
        <w:pStyle w:val="11"/>
        <w:adjustRightInd w:val="0"/>
        <w:snapToGrid w:val="0"/>
        <w:spacing w:line="440" w:lineRule="exact"/>
        <w:jc w:val="left"/>
        <w:rPr>
          <w:sz w:val="24"/>
        </w:rPr>
      </w:pPr>
      <w:r>
        <w:rPr>
          <w:sz w:val="24"/>
        </w:rPr>
        <w:t>十、一般公共预算财政拨款“三公”经费支出决算表...................................</w:t>
      </w:r>
      <w:r>
        <w:rPr>
          <w:rFonts w:hint="eastAsia"/>
          <w:sz w:val="24"/>
        </w:rPr>
        <w:t>....25十</w:t>
      </w:r>
      <w:r>
        <w:rPr>
          <w:sz w:val="24"/>
        </w:rPr>
        <w:t>一、政府性基金预算财政拨款收入支出决算表...........................................</w:t>
      </w:r>
      <w:r>
        <w:rPr>
          <w:rFonts w:hint="eastAsia"/>
          <w:sz w:val="24"/>
        </w:rPr>
        <w:t>25</w:t>
      </w:r>
      <w:r>
        <w:rPr>
          <w:sz w:val="24"/>
        </w:rPr>
        <w:t>十二、政府性基金预算财政拨款“三公”经费支出决算表.................................</w:t>
      </w:r>
      <w:r>
        <w:rPr>
          <w:rFonts w:hint="eastAsia"/>
          <w:sz w:val="24"/>
        </w:rPr>
        <w:t>25</w:t>
      </w:r>
      <w:r>
        <w:rPr>
          <w:sz w:val="24"/>
        </w:rPr>
        <w:t>十三、国有资本经营预算财政拨款收入支出决算表........................................</w:t>
      </w:r>
      <w:r>
        <w:rPr>
          <w:rFonts w:hint="eastAsia"/>
          <w:sz w:val="24"/>
        </w:rPr>
        <w:t>25</w:t>
      </w:r>
      <w:r>
        <w:rPr>
          <w:sz w:val="24"/>
        </w:rPr>
        <w:t>十四、国有资本经营预算财政拨款支出决算表.................................................</w:t>
      </w:r>
      <w:r>
        <w:rPr>
          <w:rFonts w:hint="eastAsia"/>
          <w:sz w:val="24"/>
        </w:rPr>
        <w:t>25</w:t>
      </w:r>
    </w:p>
    <w:p>
      <w:pPr>
        <w:widowControl/>
        <w:adjustRightInd w:val="0"/>
        <w:snapToGrid w:val="0"/>
        <w:spacing w:line="440" w:lineRule="exact"/>
        <w:ind w:firstLine="1320" w:firstLineChars="550"/>
        <w:jc w:val="left"/>
        <w:rPr>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
      <w:pPr>
        <w:pStyle w:val="3"/>
        <w:jc w:val="center"/>
        <w:rPr>
          <w:rFonts w:eastAsia="黑体"/>
          <w:b w:val="0"/>
        </w:rPr>
      </w:pPr>
      <w:bookmarkStart w:id="12" w:name="_Toc15396599"/>
      <w:bookmarkStart w:id="13" w:name="_Toc15377196"/>
    </w:p>
    <w:p>
      <w:pPr>
        <w:pStyle w:val="3"/>
        <w:jc w:val="center"/>
        <w:rPr>
          <w:rStyle w:val="25"/>
          <w:rFonts w:eastAsia="黑体"/>
          <w:b/>
          <w:bCs w:val="0"/>
        </w:rPr>
      </w:pPr>
      <w:r>
        <w:rPr>
          <w:rFonts w:eastAsia="黑体"/>
          <w:b w:val="0"/>
        </w:rPr>
        <w:t xml:space="preserve">第一部分 </w:t>
      </w:r>
      <w:r>
        <w:rPr>
          <w:rFonts w:hint="eastAsia" w:eastAsia="黑体"/>
          <w:b w:val="0"/>
        </w:rPr>
        <w:t>单位</w:t>
      </w:r>
      <w:r>
        <w:rPr>
          <w:rStyle w:val="25"/>
          <w:rFonts w:eastAsia="黑体"/>
          <w:b w:val="0"/>
          <w:bCs w:val="0"/>
        </w:rPr>
        <w:t>概况</w:t>
      </w:r>
      <w:bookmarkEnd w:id="12"/>
      <w:bookmarkEnd w:id="13"/>
    </w:p>
    <w:p>
      <w:pPr>
        <w:widowControl/>
        <w:jc w:val="left"/>
        <w:rPr>
          <w:rFonts w:eastAsia="黑体"/>
          <w:sz w:val="32"/>
          <w:szCs w:val="32"/>
        </w:rPr>
      </w:pPr>
    </w:p>
    <w:p>
      <w:pPr>
        <w:pStyle w:val="4"/>
        <w:numPr>
          <w:ilvl w:val="0"/>
          <w:numId w:val="1"/>
        </w:numPr>
        <w:ind w:firstLine="640" w:firstLineChars="200"/>
      </w:pPr>
      <w:bookmarkStart w:id="14" w:name="_Toc15396600"/>
      <w:bookmarkStart w:id="15" w:name="_Toc15377197"/>
      <w:r>
        <w:rPr>
          <w:rStyle w:val="26"/>
          <w:rFonts w:hint="eastAsia" w:ascii="黑体" w:hAnsi="黑体" w:eastAsia="黑体"/>
          <w:b w:val="0"/>
          <w:bCs w:val="0"/>
        </w:rPr>
        <w:t>职能简介</w:t>
      </w:r>
    </w:p>
    <w:bookmarkEnd w:id="14"/>
    <w:bookmarkEnd w:id="15"/>
    <w:p>
      <w:pPr>
        <w:adjustRightInd w:val="0"/>
        <w:snapToGrid w:val="0"/>
        <w:spacing w:line="600" w:lineRule="exact"/>
        <w:ind w:firstLine="640" w:firstLineChars="200"/>
        <w:rPr>
          <w:rFonts w:eastAsia="仿宋_GB2312"/>
          <w:sz w:val="32"/>
        </w:rPr>
      </w:pPr>
      <w:r>
        <w:rPr>
          <w:rFonts w:eastAsia="仿宋_GB2312"/>
          <w:sz w:val="32"/>
        </w:rPr>
        <w:t>民族杂志社隶属于四川省民族宗教事务委员会，是经四川省编办批准成立的事业单位，经费来源为核定收支、定额补助，开办资金5万元。民族杂志社主要负责《民族》杂志和</w:t>
      </w:r>
      <w:r>
        <w:rPr>
          <w:rFonts w:eastAsia="仿宋_GB2312"/>
          <w:sz w:val="32"/>
          <w:szCs w:val="32"/>
        </w:rPr>
        <w:t>《四川民族宗教》</w:t>
      </w:r>
      <w:r>
        <w:rPr>
          <w:rFonts w:eastAsia="仿宋_GB2312"/>
          <w:sz w:val="32"/>
        </w:rPr>
        <w:t>的出版和发行。其中：《民族》杂志是四川省民族宗教委的机关刊物，有汉文、藏文、彝文三个文版，分别于1984年、1987年创刊。</w:t>
      </w:r>
    </w:p>
    <w:p>
      <w:pPr>
        <w:adjustRightInd w:val="0"/>
        <w:snapToGrid w:val="0"/>
        <w:spacing w:line="600" w:lineRule="exact"/>
        <w:ind w:firstLine="640" w:firstLineChars="200"/>
        <w:rPr>
          <w:rFonts w:eastAsia="仿宋_GB2312"/>
          <w:sz w:val="32"/>
        </w:rPr>
      </w:pPr>
      <w:r>
        <w:rPr>
          <w:rFonts w:eastAsia="仿宋_GB2312"/>
          <w:sz w:val="32"/>
        </w:rPr>
        <w:t>截</w:t>
      </w:r>
      <w:r>
        <w:rPr>
          <w:rFonts w:hint="eastAsia" w:eastAsia="仿宋_GB2312"/>
          <w:sz w:val="32"/>
          <w:lang w:eastAsia="zh-CN"/>
        </w:rPr>
        <w:t>至</w:t>
      </w:r>
      <w:r>
        <w:rPr>
          <w:rFonts w:eastAsia="仿宋_GB2312"/>
          <w:sz w:val="32"/>
        </w:rPr>
        <w:t>202</w:t>
      </w:r>
      <w:r>
        <w:rPr>
          <w:rFonts w:hint="eastAsia" w:eastAsia="仿宋_GB2312"/>
          <w:sz w:val="32"/>
        </w:rPr>
        <w:t>1</w:t>
      </w:r>
      <w:r>
        <w:rPr>
          <w:rFonts w:eastAsia="仿宋_GB2312"/>
          <w:sz w:val="32"/>
        </w:rPr>
        <w:t>年末，单位事业编制14人，在职人员1</w:t>
      </w:r>
      <w:r>
        <w:rPr>
          <w:rFonts w:hint="eastAsia" w:eastAsia="仿宋_GB2312"/>
          <w:sz w:val="32"/>
        </w:rPr>
        <w:t>3</w:t>
      </w:r>
      <w:r>
        <w:rPr>
          <w:rFonts w:eastAsia="仿宋_GB2312"/>
          <w:sz w:val="32"/>
        </w:rPr>
        <w:t>人，离休人员1人。</w:t>
      </w:r>
    </w:p>
    <w:p>
      <w:pPr>
        <w:spacing w:line="600" w:lineRule="exact"/>
        <w:ind w:firstLine="640" w:firstLineChars="200"/>
        <w:jc w:val="left"/>
        <w:rPr>
          <w:rFonts w:eastAsia="仿宋_GB2312"/>
          <w:b/>
          <w:sz w:val="32"/>
          <w:szCs w:val="32"/>
          <w:lang w:val="zh-CN"/>
        </w:rPr>
      </w:pPr>
      <w:r>
        <w:rPr>
          <w:rFonts w:eastAsia="仿宋_GB2312"/>
          <w:sz w:val="32"/>
          <w:szCs w:val="32"/>
        </w:rPr>
        <w:t>四川是一个多民族大省，少数民族人口500多万，民族地区面积占全省的62.9%，有我国第二大藏族聚居区、最大的彝族聚居区和唯一的羌族居住区。同时四川也是宗教工作重点省份，五大教齐全，民族宗教工作极其重要。《民族》杂志藏文版是国内为数不多的几家公开发行的藏文期刊，彝文版是国内目前唯一公开发行的彝文综合性期刊。《民族》和《四川民族宗教》以习近平新时代中国特色社会主义思想为指导，紧紧围绕铸牢中华民族共同体意识民族工作主线和坚持我国宗教中国化方向，为搞好民族宗教领域的宣传工作，加强民族团结进步教育，反对分裂，维护社会稳定，营造民族团结进步的舆论氛围，开创全省的民族宗教工作新局面，实现民族地区和少数民族的</w:t>
      </w:r>
      <w:r>
        <w:rPr>
          <w:rFonts w:hint="eastAsia" w:eastAsia="仿宋_GB2312"/>
          <w:sz w:val="32"/>
          <w:szCs w:val="32"/>
          <w:lang w:eastAsia="zh-CN"/>
        </w:rPr>
        <w:t>现代化建设</w:t>
      </w:r>
      <w:r>
        <w:rPr>
          <w:rFonts w:eastAsia="仿宋_GB2312"/>
          <w:sz w:val="32"/>
          <w:szCs w:val="32"/>
        </w:rPr>
        <w:t>提供了坚实的保证。</w:t>
      </w:r>
    </w:p>
    <w:p>
      <w:pPr>
        <w:pStyle w:val="4"/>
        <w:numPr>
          <w:ilvl w:val="0"/>
          <w:numId w:val="1"/>
        </w:numPr>
        <w:ind w:firstLine="640" w:firstLineChars="200"/>
        <w:rPr>
          <w:rStyle w:val="26"/>
          <w:rFonts w:hint="eastAsia" w:ascii="黑体" w:hAnsi="黑体" w:eastAsia="黑体"/>
          <w:b w:val="0"/>
          <w:bCs w:val="0"/>
        </w:rPr>
      </w:pPr>
      <w:bookmarkStart w:id="16" w:name="_Toc15378446"/>
      <w:bookmarkStart w:id="17" w:name="_Toc15377199"/>
      <w:r>
        <w:rPr>
          <w:rStyle w:val="26"/>
          <w:rFonts w:hint="eastAsia" w:ascii="黑体" w:hAnsi="黑体" w:eastAsia="黑体"/>
          <w:b w:val="0"/>
          <w:bCs w:val="0"/>
        </w:rPr>
        <w:t>2021年重点工作完成情况</w:t>
      </w:r>
      <w:bookmarkEnd w:id="16"/>
      <w:bookmarkEnd w:id="17"/>
      <w:bookmarkStart w:id="18" w:name="_Toc15396602"/>
      <w:bookmarkStart w:id="19" w:name="_Toc15377204"/>
    </w:p>
    <w:p>
      <w:pPr>
        <w:adjustRightInd w:val="0"/>
        <w:snapToGrid w:val="0"/>
        <w:spacing w:line="600" w:lineRule="exact"/>
        <w:ind w:firstLine="640" w:firstLineChars="200"/>
        <w:rPr>
          <w:rFonts w:eastAsia="仿宋_GB2312"/>
          <w:sz w:val="32"/>
          <w:szCs w:val="32"/>
        </w:rPr>
      </w:pPr>
      <w:r>
        <w:rPr>
          <w:rFonts w:hint="eastAsia" w:eastAsia="仿宋_GB2312"/>
          <w:sz w:val="32"/>
          <w:szCs w:val="32"/>
        </w:rPr>
        <w:t>1、立足杂志社的主责主业，有声有色开展主题宣传工作。一是在《民族》杂志汉、藏、彝三个文版开设“铸牢中华民族共同体意识”专栏，登载相关理论文章，介绍四川实践。二是积极开展庆祝中国共产党建党100周年和党史学习教育主题宣传报道。在《民族》汉文版开设“奋斗百年路 启航新征程”栏目，深度报道省民族宗教委开展党史学习教育情况；选载红色历史故事，回顾党的光辉历程，赓续红色文化，传承革命传统。三是完成《民族》汉文版第6期“庆祝中国共产党成立100周年暨党史学习教育”宣传专刊。该期专刊入选2021年第二十八届北京国际图书博览会（BIBF)“中国共产党建党100周年主题宣传精品期刊展”。四是推出学习贯彻中央民族工作会议精神系列访谈文章，《民族》汉文版4期共登载17个市州民族宗教委（局）负责人及1个县主要领导的访谈文章。五是精心组织特别策划和专题策划，不断推出特色栏目，力争做到期期有亮点，本本有新意。先后推出了“走进特色村寨 感受美丽乡情”“民族团结进步创建在路上”“社区</w:t>
      </w:r>
      <w:r>
        <w:rPr>
          <w:rFonts w:hint="eastAsia" w:eastAsia="仿宋_GB2312"/>
          <w:sz w:val="32"/>
          <w:szCs w:val="32"/>
          <w:lang w:eastAsia="zh-CN"/>
        </w:rPr>
        <w:t>——</w:t>
      </w:r>
      <w:r>
        <w:rPr>
          <w:rFonts w:hint="eastAsia" w:eastAsia="仿宋_GB2312"/>
          <w:sz w:val="32"/>
          <w:szCs w:val="32"/>
        </w:rPr>
        <w:t>我们共同的家”“学习国家通用语言文字 共享团结发展幸福生活”“今日彝乡 见证巨变”“沐浴党的恩情 见证小康阿坝”“提高质量 创新发展”等10多个特色栏目。六是在《四川民族宗教》持续做好“坚持我国宗教中国化方向”的报道和做好全省宗教界庆祝中国共产党成立100周年、庆祝新中国成立72周年集中升旗仪式和宗教界“爱国爱教爱家乡”系列主题活动的宣传报道。</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数字化新媒体建设初步确立。一是年初与武汉鼎森电子科技有限公司合作，在博看网推出了《民族》汉文版数字期刊。二是恢复了民族杂志微信公众号，全年定期或不定期转载中央、省级媒体、四川民族宗教微信公众号的相关文章及本刊自己的文章，扩大了宣传面，提高了知晓率。</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3、完成了年度培训任务。12月13日</w:t>
      </w:r>
      <w:r>
        <w:rPr>
          <w:rFonts w:hint="eastAsia" w:eastAsia="仿宋_GB2312"/>
          <w:sz w:val="32"/>
          <w:szCs w:val="32"/>
          <w:lang w:eastAsia="zh-CN"/>
        </w:rPr>
        <w:t>——</w:t>
      </w:r>
      <w:r>
        <w:rPr>
          <w:rFonts w:hint="eastAsia" w:eastAsia="仿宋_GB2312"/>
          <w:sz w:val="32"/>
          <w:szCs w:val="32"/>
        </w:rPr>
        <w:t>16日，克服了新冠疫情带来的困难，在乐山市马边彝族自治县举办了2021年度全省民族宗教系统宣传工作暨民族杂志社骨干通讯员培训，使基层民宗系统宣传队伍的业务水平得到一定的提升，同时也加强了杂志社与各市州及县区的通联工作。</w:t>
      </w:r>
    </w:p>
    <w:p>
      <w:pPr>
        <w:pStyle w:val="4"/>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rPr>
          <w:rStyle w:val="26"/>
          <w:rFonts w:hint="eastAsia" w:ascii="黑体" w:hAnsi="黑体" w:eastAsia="黑体"/>
          <w:b w:val="0"/>
          <w:bCs w:val="0"/>
          <w:lang w:val="en-US" w:eastAsia="zh-CN"/>
        </w:rPr>
      </w:pPr>
      <w:r>
        <w:rPr>
          <w:rStyle w:val="26"/>
          <w:rFonts w:hint="eastAsia" w:ascii="黑体" w:hAnsi="黑体" w:eastAsia="黑体"/>
          <w:b w:val="0"/>
          <w:bCs w:val="0"/>
          <w:lang w:val="en-US" w:eastAsia="zh-CN"/>
        </w:rPr>
        <w:t>三、机构设置情况</w:t>
      </w:r>
    </w:p>
    <w:p>
      <w:pPr>
        <w:pStyle w:val="4"/>
        <w:keepNext/>
        <w:keepLines/>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b w:val="0"/>
          <w:bCs w:val="0"/>
          <w:sz w:val="32"/>
          <w:szCs w:val="32"/>
          <w:lang w:val="en-US" w:eastAsia="zh-CN"/>
        </w:rPr>
      </w:pPr>
      <w:r>
        <w:rPr>
          <w:rFonts w:hint="eastAsia" w:eastAsia="仿宋_GB2312"/>
          <w:b w:val="0"/>
          <w:bCs w:val="0"/>
          <w:sz w:val="32"/>
          <w:szCs w:val="32"/>
          <w:lang w:val="en-US" w:eastAsia="zh-CN"/>
        </w:rPr>
        <w:t>本单位无内设机构。</w:t>
      </w:r>
    </w:p>
    <w:p>
      <w:pPr>
        <w:rPr>
          <w:rFonts w:eastAsia="黑体"/>
        </w:rPr>
      </w:pPr>
    </w:p>
    <w:p>
      <w:pPr>
        <w:rPr>
          <w:rFonts w:eastAsia="黑体"/>
        </w:rPr>
      </w:pPr>
    </w:p>
    <w:p>
      <w:pPr>
        <w:rPr>
          <w:rFonts w:eastAsia="黑体"/>
        </w:rPr>
      </w:pPr>
    </w:p>
    <w:p>
      <w:pPr>
        <w:rPr>
          <w:rFonts w:eastAsia="黑体"/>
        </w:rPr>
      </w:pPr>
      <w:bookmarkStart w:id="68" w:name="_GoBack"/>
      <w:bookmarkEnd w:id="68"/>
    </w:p>
    <w:p>
      <w:pPr>
        <w:rPr>
          <w:rFonts w:eastAsia="黑体"/>
        </w:rPr>
      </w:pPr>
    </w:p>
    <w:p>
      <w:pPr>
        <w:rPr>
          <w:rFonts w:eastAsia="黑体"/>
        </w:rPr>
      </w:pPr>
    </w:p>
    <w:p>
      <w:pPr>
        <w:rPr>
          <w:rFonts w:eastAsia="黑体"/>
        </w:rPr>
      </w:pPr>
    </w:p>
    <w:p>
      <w:pPr>
        <w:rPr>
          <w:rFonts w:eastAsia="黑体"/>
        </w:rPr>
      </w:pPr>
    </w:p>
    <w:p>
      <w:pPr>
        <w:rPr>
          <w:rFonts w:eastAsia="黑体"/>
        </w:rPr>
      </w:pPr>
    </w:p>
    <w:p>
      <w:pPr>
        <w:pStyle w:val="3"/>
        <w:keepNext/>
        <w:keepLines/>
        <w:pageBreakBefore w:val="0"/>
        <w:widowControl w:val="0"/>
        <w:kinsoku/>
        <w:wordWrap/>
        <w:overflowPunct/>
        <w:topLinePunct w:val="0"/>
        <w:autoSpaceDE/>
        <w:autoSpaceDN/>
        <w:bidi w:val="0"/>
        <w:adjustRightInd/>
        <w:snapToGrid/>
        <w:spacing w:before="340" w:after="330" w:line="600" w:lineRule="exact"/>
        <w:ind w:right="0"/>
        <w:jc w:val="center"/>
        <w:textAlignment w:val="auto"/>
      </w:pPr>
      <w:r>
        <w:rPr>
          <w:rFonts w:eastAsia="黑体"/>
          <w:b w:val="0"/>
        </w:rPr>
        <w:t>第二部分</w:t>
      </w:r>
      <w:r>
        <w:rPr>
          <w:rFonts w:eastAsia="黑体"/>
        </w:rPr>
        <w:t xml:space="preserve"> </w:t>
      </w:r>
      <w:r>
        <w:rPr>
          <w:rStyle w:val="25"/>
          <w:rFonts w:eastAsia="黑体"/>
          <w:b w:val="0"/>
          <w:bCs w:val="0"/>
        </w:rPr>
        <w:t>202</w:t>
      </w:r>
      <w:r>
        <w:rPr>
          <w:rStyle w:val="25"/>
          <w:rFonts w:hint="eastAsia" w:eastAsia="黑体"/>
          <w:b w:val="0"/>
          <w:bCs w:val="0"/>
        </w:rPr>
        <w:t>1</w:t>
      </w:r>
      <w:r>
        <w:rPr>
          <w:rStyle w:val="25"/>
          <w:rFonts w:eastAsia="黑体"/>
          <w:b w:val="0"/>
          <w:bCs w:val="0"/>
        </w:rPr>
        <w:t>年度部门决算情况说明</w:t>
      </w:r>
      <w:bookmarkEnd w:id="18"/>
      <w:bookmarkEnd w:id="19"/>
    </w:p>
    <w:p>
      <w:pPr>
        <w:pStyle w:val="24"/>
        <w:spacing w:line="600" w:lineRule="exact"/>
        <w:ind w:left="640" w:firstLine="0" w:firstLineChars="0"/>
        <w:outlineLvl w:val="1"/>
        <w:rPr>
          <w:rStyle w:val="26"/>
          <w:rFonts w:ascii="Times New Roman" w:hAnsi="Times New Roman" w:eastAsia="黑体" w:cs="Times New Roman"/>
          <w:b w:val="0"/>
        </w:rPr>
      </w:pPr>
      <w:bookmarkStart w:id="20" w:name="_Toc15396603"/>
      <w:bookmarkStart w:id="21" w:name="_Toc15377205"/>
      <w:r>
        <w:rPr>
          <w:rFonts w:hint="eastAsia" w:eastAsia="黑体"/>
          <w:sz w:val="32"/>
          <w:szCs w:val="32"/>
        </w:rPr>
        <w:t>一、</w:t>
      </w:r>
      <w:r>
        <w:rPr>
          <w:rFonts w:eastAsia="黑体"/>
          <w:sz w:val="32"/>
          <w:szCs w:val="32"/>
        </w:rPr>
        <w:t>收</w:t>
      </w:r>
      <w:r>
        <w:rPr>
          <w:rStyle w:val="26"/>
          <w:rFonts w:ascii="Times New Roman" w:hAnsi="Times New Roman" w:eastAsia="黑体" w:cs="Times New Roman"/>
          <w:b w:val="0"/>
        </w:rPr>
        <w:t>入支出决算总体情况说明</w:t>
      </w:r>
      <w:bookmarkEnd w:id="20"/>
      <w:bookmarkEnd w:id="21"/>
    </w:p>
    <w:p>
      <w:pPr>
        <w:adjustRightInd w:val="0"/>
        <w:snapToGrid w:val="0"/>
        <w:spacing w:line="600" w:lineRule="exact"/>
        <w:ind w:firstLine="640" w:firstLineChars="200"/>
        <w:rPr>
          <w:rFonts w:eastAsia="仿宋_GB2312"/>
          <w:sz w:val="32"/>
        </w:rPr>
      </w:pPr>
      <w:r>
        <w:rPr>
          <w:rFonts w:eastAsia="仿宋_GB2312"/>
          <w:sz w:val="32"/>
        </w:rPr>
        <w:t>202</w:t>
      </w:r>
      <w:r>
        <w:rPr>
          <w:rFonts w:hint="eastAsia" w:eastAsia="仿宋_GB2312"/>
          <w:sz w:val="32"/>
        </w:rPr>
        <w:t>1</w:t>
      </w:r>
      <w:r>
        <w:rPr>
          <w:rFonts w:eastAsia="仿宋_GB2312"/>
          <w:sz w:val="32"/>
        </w:rPr>
        <w:t>年度收、支总计</w:t>
      </w:r>
      <w:r>
        <w:rPr>
          <w:rFonts w:hint="eastAsia" w:eastAsia="仿宋_GB2312"/>
          <w:sz w:val="32"/>
        </w:rPr>
        <w:t>432.29万</w:t>
      </w:r>
      <w:r>
        <w:rPr>
          <w:rFonts w:eastAsia="仿宋_GB2312"/>
          <w:sz w:val="32"/>
        </w:rPr>
        <w:t>元。与20</w:t>
      </w:r>
      <w:r>
        <w:rPr>
          <w:rFonts w:hint="eastAsia" w:eastAsia="仿宋_GB2312"/>
          <w:sz w:val="32"/>
        </w:rPr>
        <w:t>20</w:t>
      </w:r>
      <w:r>
        <w:rPr>
          <w:rFonts w:eastAsia="仿宋_GB2312"/>
          <w:sz w:val="32"/>
        </w:rPr>
        <w:t>年相比，收、支总计各减少</w:t>
      </w:r>
      <w:r>
        <w:rPr>
          <w:rFonts w:hint="eastAsia" w:eastAsia="仿宋_GB2312"/>
          <w:sz w:val="32"/>
        </w:rPr>
        <w:t>7.37</w:t>
      </w:r>
      <w:r>
        <w:rPr>
          <w:rFonts w:eastAsia="仿宋_GB2312"/>
          <w:sz w:val="32"/>
        </w:rPr>
        <w:t>万元，下降</w:t>
      </w:r>
      <w:r>
        <w:rPr>
          <w:rFonts w:hint="eastAsia" w:eastAsia="仿宋_GB2312"/>
          <w:sz w:val="32"/>
        </w:rPr>
        <w:t>1.68</w:t>
      </w:r>
      <w:r>
        <w:rPr>
          <w:rFonts w:eastAsia="仿宋_GB2312"/>
          <w:sz w:val="32"/>
        </w:rPr>
        <w:t>%。主要变动原因是按照</w:t>
      </w:r>
      <w:r>
        <w:rPr>
          <w:rFonts w:hint="eastAsia" w:eastAsia="仿宋_GB2312"/>
          <w:sz w:val="32"/>
        </w:rPr>
        <w:t>相关</w:t>
      </w:r>
      <w:r>
        <w:rPr>
          <w:rFonts w:eastAsia="仿宋_GB2312"/>
          <w:sz w:val="32"/>
        </w:rPr>
        <w:t>要求，压减一般性支出。</w:t>
      </w:r>
    </w:p>
    <w:p>
      <w:pPr>
        <w:pStyle w:val="2"/>
        <w:spacing w:before="93"/>
      </w:pPr>
      <w:r>
        <w:drawing>
          <wp:inline distT="0" distB="0" distL="114300" distR="114300">
            <wp:extent cx="4090670" cy="2515235"/>
            <wp:effectExtent l="4445" t="5080" r="1968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keepNext w:val="0"/>
        <w:keepLines w:val="0"/>
        <w:pageBreakBefore w:val="0"/>
        <w:widowControl w:val="0"/>
        <w:kinsoku/>
        <w:wordWrap/>
        <w:overflowPunct/>
        <w:topLinePunct w:val="0"/>
        <w:autoSpaceDE/>
        <w:autoSpaceDN/>
        <w:bidi w:val="0"/>
        <w:adjustRightInd/>
        <w:snapToGrid/>
        <w:spacing w:before="93" w:line="600" w:lineRule="exact"/>
        <w:ind w:left="0" w:firstLine="641" w:firstLineChars="0"/>
        <w:textAlignment w:val="auto"/>
        <w:outlineLvl w:val="1"/>
        <w:rPr>
          <w:rStyle w:val="26"/>
          <w:rFonts w:ascii="Times New Roman" w:hAnsi="Times New Roman" w:eastAsia="黑体" w:cs="Times New Roman"/>
          <w:b w:val="0"/>
        </w:rPr>
      </w:pPr>
      <w:bookmarkStart w:id="22" w:name="_Toc15377206"/>
      <w:bookmarkStart w:id="23" w:name="_Toc15396604"/>
      <w:r>
        <w:rPr>
          <w:rFonts w:hint="eastAsia" w:eastAsia="黑体"/>
          <w:sz w:val="32"/>
          <w:szCs w:val="32"/>
        </w:rPr>
        <w:t>二、</w:t>
      </w:r>
      <w:r>
        <w:rPr>
          <w:rFonts w:eastAsia="黑体"/>
          <w:sz w:val="32"/>
          <w:szCs w:val="32"/>
        </w:rPr>
        <w:t>收</w:t>
      </w:r>
      <w:r>
        <w:rPr>
          <w:rStyle w:val="26"/>
          <w:rFonts w:ascii="Times New Roman" w:hAnsi="Times New Roman" w:eastAsia="黑体" w:cs="Times New Roman"/>
          <w:b w:val="0"/>
        </w:rPr>
        <w:t>入决算情况说明</w:t>
      </w:r>
      <w:bookmarkEnd w:id="22"/>
      <w:bookmarkEnd w:id="23"/>
    </w:p>
    <w:p>
      <w:pPr>
        <w:adjustRightInd w:val="0"/>
        <w:snapToGrid w:val="0"/>
        <w:spacing w:line="600" w:lineRule="exact"/>
        <w:ind w:firstLine="640" w:firstLineChars="200"/>
        <w:rPr>
          <w:rFonts w:eastAsia="仿宋_GB2312"/>
          <w:sz w:val="32"/>
        </w:rPr>
      </w:pPr>
      <w:r>
        <w:rPr>
          <w:rFonts w:eastAsia="仿宋_GB2312"/>
          <w:sz w:val="32"/>
        </w:rPr>
        <w:t>202</w:t>
      </w:r>
      <w:r>
        <w:rPr>
          <w:rFonts w:hint="eastAsia" w:eastAsia="仿宋_GB2312"/>
          <w:sz w:val="32"/>
        </w:rPr>
        <w:t>1</w:t>
      </w:r>
      <w:r>
        <w:rPr>
          <w:rFonts w:eastAsia="仿宋_GB2312"/>
          <w:sz w:val="32"/>
        </w:rPr>
        <w:t>年本年收入合计4</w:t>
      </w:r>
      <w:r>
        <w:rPr>
          <w:rFonts w:hint="eastAsia" w:eastAsia="仿宋_GB2312"/>
          <w:sz w:val="32"/>
        </w:rPr>
        <w:t>02.45</w:t>
      </w:r>
      <w:r>
        <w:rPr>
          <w:rFonts w:eastAsia="仿宋_GB2312"/>
          <w:sz w:val="32"/>
        </w:rPr>
        <w:t>万元，其中：一般公共预算财政拨款收入</w:t>
      </w:r>
      <w:r>
        <w:rPr>
          <w:rFonts w:hint="eastAsia" w:eastAsia="仿宋_GB2312"/>
          <w:sz w:val="32"/>
        </w:rPr>
        <w:t>316.1</w:t>
      </w:r>
      <w:r>
        <w:rPr>
          <w:rFonts w:eastAsia="仿宋_GB2312"/>
          <w:sz w:val="32"/>
        </w:rPr>
        <w:t>万元，占7</w:t>
      </w:r>
      <w:r>
        <w:rPr>
          <w:rFonts w:hint="eastAsia" w:eastAsia="仿宋_GB2312"/>
          <w:sz w:val="32"/>
        </w:rPr>
        <w:t>9</w:t>
      </w:r>
      <w:r>
        <w:rPr>
          <w:rFonts w:eastAsia="仿宋_GB2312"/>
          <w:sz w:val="32"/>
        </w:rPr>
        <w:t>%；其他收入</w:t>
      </w:r>
      <w:r>
        <w:rPr>
          <w:rFonts w:hint="eastAsia" w:eastAsia="仿宋_GB2312"/>
          <w:sz w:val="32"/>
        </w:rPr>
        <w:t>86.35</w:t>
      </w:r>
      <w:r>
        <w:rPr>
          <w:rFonts w:eastAsia="仿宋_GB2312"/>
          <w:sz w:val="32"/>
        </w:rPr>
        <w:t>万元，占2</w:t>
      </w:r>
      <w:r>
        <w:rPr>
          <w:rFonts w:hint="eastAsia" w:eastAsia="仿宋_GB2312"/>
          <w:sz w:val="32"/>
        </w:rPr>
        <w:t>1</w:t>
      </w:r>
      <w:r>
        <w:rPr>
          <w:rFonts w:eastAsia="仿宋_GB2312"/>
          <w:sz w:val="32"/>
        </w:rPr>
        <w:t>%。</w:t>
      </w:r>
    </w:p>
    <w:p>
      <w:pPr>
        <w:pStyle w:val="2"/>
        <w:spacing w:before="93"/>
        <w:rPr>
          <w:rFonts w:eastAsia="黑体"/>
          <w:sz w:val="32"/>
          <w:szCs w:val="32"/>
        </w:rPr>
      </w:pPr>
      <w:r>
        <w:drawing>
          <wp:inline distT="0" distB="0" distL="114300" distR="114300">
            <wp:extent cx="4061460" cy="2295525"/>
            <wp:effectExtent l="4445" t="5080" r="10795" b="44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24" w:name="_Toc15377207"/>
      <w:bookmarkStart w:id="25" w:name="_Toc15396605"/>
    </w:p>
    <w:p>
      <w:pPr>
        <w:pStyle w:val="24"/>
        <w:keepNext w:val="0"/>
        <w:keepLines w:val="0"/>
        <w:pageBreakBefore w:val="0"/>
        <w:widowControl w:val="0"/>
        <w:kinsoku/>
        <w:wordWrap/>
        <w:overflowPunct/>
        <w:topLinePunct w:val="0"/>
        <w:autoSpaceDE/>
        <w:autoSpaceDN/>
        <w:bidi w:val="0"/>
        <w:adjustRightInd/>
        <w:snapToGrid/>
        <w:spacing w:line="600" w:lineRule="exact"/>
        <w:ind w:left="641" w:firstLine="0" w:firstLineChars="0"/>
        <w:textAlignment w:val="auto"/>
        <w:outlineLvl w:val="1"/>
        <w:rPr>
          <w:rStyle w:val="26"/>
          <w:rFonts w:ascii="Times New Roman" w:hAnsi="Times New Roman" w:eastAsia="黑体" w:cs="Times New Roman"/>
          <w:b w:val="0"/>
        </w:rPr>
      </w:pPr>
      <w:r>
        <w:rPr>
          <w:rFonts w:hint="eastAsia" w:eastAsia="黑体"/>
          <w:sz w:val="32"/>
          <w:szCs w:val="32"/>
        </w:rPr>
        <w:t>三、</w:t>
      </w:r>
      <w:r>
        <w:rPr>
          <w:rFonts w:eastAsia="黑体"/>
          <w:sz w:val="32"/>
          <w:szCs w:val="32"/>
        </w:rPr>
        <w:t>支</w:t>
      </w:r>
      <w:r>
        <w:rPr>
          <w:rStyle w:val="26"/>
          <w:rFonts w:ascii="Times New Roman" w:hAnsi="Times New Roman" w:eastAsia="黑体" w:cs="Times New Roman"/>
          <w:b w:val="0"/>
        </w:rPr>
        <w:t>出决算情况说明</w:t>
      </w:r>
      <w:bookmarkEnd w:id="24"/>
      <w:bookmarkEnd w:id="25"/>
    </w:p>
    <w:p>
      <w:pPr>
        <w:adjustRightInd w:val="0"/>
        <w:snapToGrid w:val="0"/>
        <w:spacing w:line="600" w:lineRule="exact"/>
        <w:ind w:firstLine="640" w:firstLineChars="200"/>
        <w:rPr>
          <w:rFonts w:eastAsia="仿宋_GB2312"/>
          <w:sz w:val="32"/>
        </w:rPr>
      </w:pPr>
      <w:r>
        <w:rPr>
          <w:rFonts w:eastAsia="仿宋_GB2312"/>
          <w:sz w:val="32"/>
        </w:rPr>
        <w:t>202</w:t>
      </w:r>
      <w:r>
        <w:rPr>
          <w:rFonts w:hint="eastAsia" w:eastAsia="仿宋_GB2312"/>
          <w:sz w:val="32"/>
        </w:rPr>
        <w:t>1</w:t>
      </w:r>
      <w:r>
        <w:rPr>
          <w:rFonts w:eastAsia="仿宋_GB2312"/>
          <w:sz w:val="32"/>
        </w:rPr>
        <w:t>年本年支出合计</w:t>
      </w:r>
      <w:r>
        <w:rPr>
          <w:rFonts w:hint="eastAsia" w:eastAsia="仿宋_GB2312"/>
          <w:sz w:val="32"/>
        </w:rPr>
        <w:t>373.92</w:t>
      </w:r>
      <w:r>
        <w:rPr>
          <w:rFonts w:eastAsia="仿宋_GB2312"/>
          <w:sz w:val="32"/>
        </w:rPr>
        <w:t>万元，其中：基本支出</w:t>
      </w:r>
      <w:r>
        <w:rPr>
          <w:rFonts w:hint="eastAsia" w:eastAsia="仿宋_GB2312"/>
          <w:sz w:val="32"/>
        </w:rPr>
        <w:t>216.59</w:t>
      </w:r>
      <w:r>
        <w:rPr>
          <w:rFonts w:eastAsia="仿宋_GB2312"/>
          <w:sz w:val="32"/>
        </w:rPr>
        <w:t>万元，占</w:t>
      </w:r>
      <w:r>
        <w:rPr>
          <w:rFonts w:hint="eastAsia" w:eastAsia="仿宋_GB2312"/>
          <w:sz w:val="32"/>
        </w:rPr>
        <w:t>58</w:t>
      </w:r>
      <w:r>
        <w:rPr>
          <w:rFonts w:eastAsia="仿宋_GB2312"/>
          <w:sz w:val="32"/>
        </w:rPr>
        <w:t>%；项目支出</w:t>
      </w:r>
      <w:r>
        <w:rPr>
          <w:rFonts w:hint="eastAsia" w:eastAsia="仿宋_GB2312"/>
          <w:sz w:val="32"/>
        </w:rPr>
        <w:t>157.33</w:t>
      </w:r>
      <w:r>
        <w:rPr>
          <w:rFonts w:eastAsia="仿宋_GB2312"/>
          <w:sz w:val="32"/>
        </w:rPr>
        <w:t>万元，占</w:t>
      </w:r>
      <w:r>
        <w:rPr>
          <w:rFonts w:hint="eastAsia" w:eastAsia="仿宋_GB2312"/>
          <w:sz w:val="32"/>
        </w:rPr>
        <w:t>42</w:t>
      </w:r>
      <w:r>
        <w:rPr>
          <w:rFonts w:eastAsia="仿宋_GB2312"/>
          <w:sz w:val="32"/>
        </w:rPr>
        <w:t>%。</w:t>
      </w:r>
      <w:bookmarkStart w:id="26" w:name="_Toc15396606"/>
      <w:bookmarkStart w:id="27" w:name="_Toc15377208"/>
    </w:p>
    <w:p>
      <w:pPr>
        <w:pStyle w:val="2"/>
        <w:spacing w:before="93"/>
      </w:pPr>
      <w:r>
        <w:drawing>
          <wp:inline distT="0" distB="0" distL="114300" distR="114300">
            <wp:extent cx="4242435" cy="2418715"/>
            <wp:effectExtent l="4445" t="5080" r="20320"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26"/>
          <w:rFonts w:ascii="Times New Roman" w:hAnsi="Times New Roman" w:eastAsia="黑体" w:cs="Times New Roman"/>
          <w:b w:val="0"/>
        </w:rPr>
      </w:pPr>
      <w:r>
        <w:rPr>
          <w:rFonts w:eastAsia="黑体"/>
          <w:sz w:val="32"/>
          <w:szCs w:val="32"/>
        </w:rPr>
        <w:t>四、财</w:t>
      </w:r>
      <w:r>
        <w:rPr>
          <w:rStyle w:val="26"/>
          <w:rFonts w:ascii="Times New Roman" w:hAnsi="Times New Roman" w:eastAsia="黑体" w:cs="Times New Roman"/>
          <w:b w:val="0"/>
        </w:rPr>
        <w:t>政拨款收入支出决算总体情况说明</w:t>
      </w:r>
      <w:bookmarkEnd w:id="26"/>
      <w:bookmarkEnd w:id="27"/>
    </w:p>
    <w:p>
      <w:pPr>
        <w:spacing w:line="600" w:lineRule="exact"/>
        <w:ind w:firstLine="640" w:firstLineChars="200"/>
        <w:rPr>
          <w:rFonts w:eastAsia="仿宋_GB2312"/>
          <w:sz w:val="32"/>
        </w:rPr>
      </w:pPr>
      <w:r>
        <w:rPr>
          <w:rFonts w:eastAsia="仿宋_GB2312"/>
          <w:sz w:val="32"/>
        </w:rPr>
        <w:t>202</w:t>
      </w:r>
      <w:r>
        <w:rPr>
          <w:rFonts w:hint="eastAsia" w:eastAsia="仿宋_GB2312"/>
          <w:sz w:val="32"/>
        </w:rPr>
        <w:t>1</w:t>
      </w:r>
      <w:r>
        <w:rPr>
          <w:rFonts w:eastAsia="仿宋_GB2312"/>
          <w:sz w:val="32"/>
        </w:rPr>
        <w:t>年财政拨款收、支总计3</w:t>
      </w:r>
      <w:r>
        <w:rPr>
          <w:rFonts w:hint="eastAsia" w:eastAsia="仿宋_GB2312"/>
          <w:sz w:val="32"/>
        </w:rPr>
        <w:t>16.1</w:t>
      </w:r>
      <w:r>
        <w:rPr>
          <w:rFonts w:eastAsia="仿宋_GB2312"/>
          <w:sz w:val="32"/>
        </w:rPr>
        <w:t>万元。与20</w:t>
      </w:r>
      <w:r>
        <w:rPr>
          <w:rFonts w:hint="eastAsia" w:eastAsia="仿宋_GB2312"/>
          <w:sz w:val="32"/>
        </w:rPr>
        <w:t>20</w:t>
      </w:r>
      <w:r>
        <w:rPr>
          <w:rFonts w:eastAsia="仿宋_GB2312"/>
          <w:sz w:val="32"/>
        </w:rPr>
        <w:t>年相比，财政拨款收、支总计各减少</w:t>
      </w:r>
      <w:r>
        <w:rPr>
          <w:rFonts w:hint="eastAsia" w:eastAsia="仿宋_GB2312"/>
          <w:sz w:val="32"/>
        </w:rPr>
        <w:t>7.17</w:t>
      </w:r>
      <w:r>
        <w:rPr>
          <w:rFonts w:eastAsia="仿宋_GB2312"/>
          <w:sz w:val="32"/>
        </w:rPr>
        <w:t>万元，下降2%。主要变动原因是一是按照</w:t>
      </w:r>
      <w:r>
        <w:rPr>
          <w:rFonts w:hint="eastAsia" w:eastAsia="仿宋_GB2312"/>
          <w:sz w:val="32"/>
        </w:rPr>
        <w:t>相关</w:t>
      </w:r>
      <w:r>
        <w:rPr>
          <w:rFonts w:eastAsia="仿宋_GB2312"/>
          <w:sz w:val="32"/>
        </w:rPr>
        <w:t>要求，压减一般性支出</w:t>
      </w:r>
      <w:bookmarkStart w:id="28" w:name="_Toc15377209"/>
      <w:bookmarkStart w:id="29" w:name="_Toc15396607"/>
      <w:r>
        <w:rPr>
          <w:rFonts w:hint="eastAsia" w:eastAsia="仿宋_GB2312"/>
          <w:sz w:val="32"/>
        </w:rPr>
        <w:t>。</w:t>
      </w:r>
    </w:p>
    <w:p>
      <w:pPr>
        <w:pStyle w:val="2"/>
        <w:spacing w:before="93"/>
      </w:pPr>
      <w:r>
        <w:rPr>
          <w:rFonts w:hint="eastAsia"/>
        </w:rPr>
        <w:drawing>
          <wp:inline distT="0" distB="0" distL="114300" distR="114300">
            <wp:extent cx="4385310" cy="2772410"/>
            <wp:effectExtent l="19050" t="0" r="15240" b="889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1" w:firstLineChars="0"/>
        <w:textAlignment w:val="auto"/>
        <w:rPr>
          <w:rStyle w:val="26"/>
          <w:rFonts w:ascii="Times New Roman" w:hAnsi="Times New Roman" w:eastAsia="黑体" w:cs="Times New Roman"/>
          <w:b w:val="0"/>
        </w:rPr>
      </w:pPr>
      <w:r>
        <w:rPr>
          <w:rFonts w:eastAsia="黑体"/>
          <w:sz w:val="32"/>
          <w:szCs w:val="32"/>
        </w:rPr>
        <w:t>五、</w:t>
      </w:r>
      <w:r>
        <w:rPr>
          <w:rFonts w:eastAsia="黑体"/>
          <w:b/>
          <w:sz w:val="32"/>
          <w:szCs w:val="32"/>
        </w:rPr>
        <w:t>一</w:t>
      </w:r>
      <w:r>
        <w:rPr>
          <w:rStyle w:val="26"/>
          <w:rFonts w:ascii="Times New Roman" w:hAnsi="Times New Roman" w:eastAsia="黑体" w:cs="Times New Roman"/>
          <w:b w:val="0"/>
        </w:rPr>
        <w:t>般公共预算财政拨款支出决算情况说明</w:t>
      </w:r>
      <w:bookmarkEnd w:id="28"/>
      <w:bookmarkEnd w:id="29"/>
    </w:p>
    <w:p>
      <w:pPr>
        <w:spacing w:line="600" w:lineRule="exact"/>
        <w:ind w:firstLine="643" w:firstLineChars="200"/>
        <w:outlineLvl w:val="2"/>
        <w:rPr>
          <w:rFonts w:eastAsia="楷体_GB2312"/>
          <w:b/>
          <w:sz w:val="32"/>
          <w:szCs w:val="32"/>
        </w:rPr>
      </w:pPr>
      <w:bookmarkStart w:id="30" w:name="_Toc15377210"/>
      <w:r>
        <w:rPr>
          <w:rFonts w:eastAsia="楷体_GB2312"/>
          <w:b/>
          <w:sz w:val="32"/>
          <w:szCs w:val="32"/>
        </w:rPr>
        <w:t>（一）一般公共预算财政拨款支出决算总体情况</w:t>
      </w:r>
      <w:bookmarkEnd w:id="30"/>
    </w:p>
    <w:p>
      <w:pPr>
        <w:spacing w:line="600" w:lineRule="exact"/>
        <w:ind w:firstLine="640" w:firstLineChars="200"/>
        <w:rPr>
          <w:rFonts w:eastAsia="仿宋_GB2312"/>
          <w:sz w:val="32"/>
        </w:rPr>
      </w:pPr>
      <w:r>
        <w:rPr>
          <w:rFonts w:eastAsia="仿宋_GB2312"/>
          <w:sz w:val="32"/>
        </w:rPr>
        <w:t>202</w:t>
      </w:r>
      <w:r>
        <w:rPr>
          <w:rFonts w:hint="eastAsia" w:eastAsia="仿宋_GB2312"/>
          <w:sz w:val="32"/>
        </w:rPr>
        <w:t>1</w:t>
      </w:r>
      <w:r>
        <w:rPr>
          <w:rFonts w:eastAsia="仿宋_GB2312"/>
          <w:sz w:val="32"/>
        </w:rPr>
        <w:t>年一般公共预算财政拨款支出3</w:t>
      </w:r>
      <w:r>
        <w:rPr>
          <w:rFonts w:hint="eastAsia" w:eastAsia="仿宋_GB2312"/>
          <w:sz w:val="32"/>
        </w:rPr>
        <w:t>16.1</w:t>
      </w:r>
      <w:r>
        <w:rPr>
          <w:rFonts w:eastAsia="仿宋_GB2312"/>
          <w:sz w:val="32"/>
        </w:rPr>
        <w:t>万元，占本年支出合计的</w:t>
      </w:r>
      <w:r>
        <w:rPr>
          <w:rFonts w:hint="eastAsia" w:eastAsia="仿宋_GB2312"/>
          <w:sz w:val="32"/>
        </w:rPr>
        <w:t>84</w:t>
      </w:r>
      <w:r>
        <w:rPr>
          <w:rFonts w:eastAsia="仿宋_GB2312"/>
          <w:sz w:val="32"/>
        </w:rPr>
        <w:t>%。与20</w:t>
      </w:r>
      <w:r>
        <w:rPr>
          <w:rFonts w:hint="eastAsia" w:eastAsia="仿宋_GB2312"/>
          <w:sz w:val="32"/>
        </w:rPr>
        <w:t>20</w:t>
      </w:r>
      <w:r>
        <w:rPr>
          <w:rFonts w:eastAsia="仿宋_GB2312"/>
          <w:sz w:val="32"/>
        </w:rPr>
        <w:t>年相比，一般公共预算财政拨款减少</w:t>
      </w:r>
      <w:r>
        <w:rPr>
          <w:rFonts w:hint="eastAsia" w:eastAsia="仿宋_GB2312"/>
          <w:sz w:val="32"/>
        </w:rPr>
        <w:t>7.17</w:t>
      </w:r>
      <w:r>
        <w:rPr>
          <w:rFonts w:eastAsia="仿宋_GB2312"/>
          <w:sz w:val="32"/>
        </w:rPr>
        <w:t>万元，下降2%。主要变动原因是一是按照</w:t>
      </w:r>
      <w:r>
        <w:rPr>
          <w:rFonts w:hint="eastAsia" w:eastAsia="仿宋_GB2312"/>
          <w:sz w:val="32"/>
        </w:rPr>
        <w:t>相关</w:t>
      </w:r>
      <w:r>
        <w:rPr>
          <w:rFonts w:eastAsia="仿宋_GB2312"/>
          <w:sz w:val="32"/>
        </w:rPr>
        <w:t>要求，压减一般性支出。</w:t>
      </w:r>
      <w:bookmarkStart w:id="31" w:name="_Toc15377211"/>
    </w:p>
    <w:p>
      <w:pPr>
        <w:pStyle w:val="2"/>
        <w:spacing w:before="93"/>
      </w:pPr>
      <w:r>
        <w:drawing>
          <wp:inline distT="0" distB="0" distL="114300" distR="114300">
            <wp:extent cx="4690110" cy="2783840"/>
            <wp:effectExtent l="4445" t="4445" r="10795" b="1206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eastAsia="楷体_GB2312"/>
          <w:b/>
          <w:sz w:val="32"/>
          <w:szCs w:val="32"/>
        </w:rPr>
      </w:pPr>
      <w:r>
        <w:rPr>
          <w:rFonts w:eastAsia="楷体_GB2312"/>
          <w:b/>
          <w:sz w:val="32"/>
          <w:szCs w:val="32"/>
        </w:rPr>
        <w:t>（二）一般公共预算财政拨款支出决算结构情况</w:t>
      </w:r>
      <w:bookmarkEnd w:id="31"/>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年一般公共预算财政拨款支出3</w:t>
      </w:r>
      <w:r>
        <w:rPr>
          <w:rFonts w:hint="eastAsia" w:eastAsia="仿宋_GB2312"/>
          <w:sz w:val="32"/>
          <w:szCs w:val="32"/>
        </w:rPr>
        <w:t>16.1</w:t>
      </w:r>
      <w:r>
        <w:rPr>
          <w:rFonts w:eastAsia="仿宋_GB2312"/>
          <w:sz w:val="32"/>
          <w:szCs w:val="32"/>
        </w:rPr>
        <w:t>万元，主要用于以下方面:</w:t>
      </w:r>
      <w:r>
        <w:rPr>
          <w:rFonts w:eastAsia="仿宋_GB2312"/>
          <w:b/>
          <w:sz w:val="32"/>
          <w:szCs w:val="32"/>
        </w:rPr>
        <w:t>一般公共服务（类）</w:t>
      </w:r>
      <w:r>
        <w:rPr>
          <w:rFonts w:eastAsia="仿宋_GB2312"/>
          <w:sz w:val="32"/>
          <w:szCs w:val="32"/>
        </w:rPr>
        <w:t>支出2</w:t>
      </w:r>
      <w:r>
        <w:rPr>
          <w:rFonts w:hint="eastAsia" w:eastAsia="仿宋_GB2312"/>
          <w:sz w:val="32"/>
          <w:szCs w:val="32"/>
        </w:rPr>
        <w:t>16.64</w:t>
      </w:r>
      <w:r>
        <w:rPr>
          <w:rFonts w:eastAsia="仿宋_GB2312"/>
          <w:sz w:val="32"/>
          <w:szCs w:val="32"/>
        </w:rPr>
        <w:t>万元，占</w:t>
      </w:r>
      <w:r>
        <w:rPr>
          <w:rFonts w:hint="eastAsia" w:eastAsia="仿宋_GB2312"/>
          <w:sz w:val="32"/>
          <w:szCs w:val="32"/>
        </w:rPr>
        <w:t>68</w:t>
      </w:r>
      <w:r>
        <w:rPr>
          <w:rFonts w:eastAsia="仿宋_GB2312"/>
          <w:sz w:val="32"/>
          <w:szCs w:val="32"/>
        </w:rPr>
        <w:t>%；</w:t>
      </w:r>
      <w:r>
        <w:rPr>
          <w:rFonts w:hint="eastAsia" w:ascii="仿宋" w:hAnsi="仿宋" w:eastAsia="仿宋"/>
          <w:b/>
          <w:sz w:val="32"/>
          <w:szCs w:val="32"/>
        </w:rPr>
        <w:t>教育支出（类）11.89</w:t>
      </w:r>
      <w:r>
        <w:rPr>
          <w:rFonts w:hint="eastAsia" w:ascii="仿宋" w:hAnsi="仿宋" w:eastAsia="仿宋"/>
          <w:sz w:val="32"/>
          <w:szCs w:val="32"/>
        </w:rPr>
        <w:t>万元，占3.7</w:t>
      </w:r>
      <w:r>
        <w:rPr>
          <w:rFonts w:ascii="仿宋" w:hAnsi="仿宋" w:eastAsia="仿宋"/>
          <w:sz w:val="32"/>
          <w:szCs w:val="32"/>
        </w:rPr>
        <w:t>%</w:t>
      </w:r>
      <w:r>
        <w:rPr>
          <w:rFonts w:hint="eastAsia" w:ascii="仿宋" w:hAnsi="仿宋" w:eastAsia="仿宋"/>
          <w:sz w:val="32"/>
          <w:szCs w:val="32"/>
        </w:rPr>
        <w:t>；</w:t>
      </w:r>
      <w:r>
        <w:rPr>
          <w:rFonts w:eastAsia="仿宋_GB2312"/>
          <w:b/>
          <w:sz w:val="32"/>
          <w:szCs w:val="32"/>
        </w:rPr>
        <w:t>社会保障和就业（类）</w:t>
      </w:r>
      <w:r>
        <w:rPr>
          <w:rFonts w:eastAsia="仿宋_GB2312"/>
          <w:sz w:val="32"/>
          <w:szCs w:val="32"/>
        </w:rPr>
        <w:t>支出</w:t>
      </w:r>
      <w:r>
        <w:rPr>
          <w:rFonts w:hint="eastAsia" w:eastAsia="仿宋_GB2312"/>
          <w:sz w:val="32"/>
          <w:szCs w:val="32"/>
        </w:rPr>
        <w:t>60.4万</w:t>
      </w:r>
      <w:r>
        <w:rPr>
          <w:rFonts w:eastAsia="仿宋_GB2312"/>
          <w:sz w:val="32"/>
          <w:szCs w:val="32"/>
        </w:rPr>
        <w:t>元，占</w:t>
      </w:r>
      <w:r>
        <w:rPr>
          <w:rFonts w:hint="eastAsia" w:eastAsia="仿宋_GB2312"/>
          <w:sz w:val="32"/>
          <w:szCs w:val="32"/>
        </w:rPr>
        <w:t>19.1</w:t>
      </w:r>
      <w:r>
        <w:rPr>
          <w:rFonts w:eastAsia="仿宋_GB2312"/>
          <w:sz w:val="32"/>
          <w:szCs w:val="32"/>
        </w:rPr>
        <w:t>%；</w:t>
      </w:r>
      <w:r>
        <w:rPr>
          <w:rFonts w:eastAsia="仿宋_GB2312"/>
          <w:b/>
          <w:bCs/>
          <w:sz w:val="32"/>
          <w:szCs w:val="32"/>
        </w:rPr>
        <w:t>卫生</w:t>
      </w:r>
      <w:r>
        <w:rPr>
          <w:rFonts w:hint="eastAsia" w:eastAsia="仿宋_GB2312"/>
          <w:b/>
          <w:bCs/>
          <w:sz w:val="32"/>
          <w:szCs w:val="32"/>
        </w:rPr>
        <w:t>健康支出</w:t>
      </w:r>
      <w:r>
        <w:rPr>
          <w:rFonts w:eastAsia="仿宋_GB2312"/>
          <w:b/>
          <w:sz w:val="32"/>
          <w:szCs w:val="32"/>
        </w:rPr>
        <w:t>（类）</w:t>
      </w:r>
      <w:r>
        <w:rPr>
          <w:rFonts w:eastAsia="仿宋_GB2312"/>
          <w:bCs/>
          <w:sz w:val="32"/>
          <w:szCs w:val="32"/>
        </w:rPr>
        <w:t>支出</w:t>
      </w:r>
      <w:r>
        <w:rPr>
          <w:rFonts w:hint="eastAsia" w:eastAsia="仿宋_GB2312"/>
          <w:bCs/>
          <w:sz w:val="32"/>
          <w:szCs w:val="32"/>
        </w:rPr>
        <w:t>12.67</w:t>
      </w:r>
      <w:r>
        <w:rPr>
          <w:rFonts w:eastAsia="仿宋_GB2312"/>
          <w:sz w:val="32"/>
          <w:szCs w:val="32"/>
        </w:rPr>
        <w:t>万元，占</w:t>
      </w:r>
      <w:r>
        <w:rPr>
          <w:rFonts w:hint="eastAsia" w:eastAsia="仿宋_GB2312"/>
          <w:sz w:val="32"/>
          <w:szCs w:val="32"/>
        </w:rPr>
        <w:t>4</w:t>
      </w:r>
      <w:r>
        <w:rPr>
          <w:rFonts w:eastAsia="仿宋_GB2312"/>
          <w:sz w:val="32"/>
          <w:szCs w:val="32"/>
        </w:rPr>
        <w:t>%；</w:t>
      </w:r>
      <w:r>
        <w:rPr>
          <w:rFonts w:eastAsia="仿宋_GB2312"/>
          <w:b/>
          <w:bCs/>
          <w:sz w:val="32"/>
          <w:szCs w:val="32"/>
        </w:rPr>
        <w:t>住房保障</w:t>
      </w:r>
      <w:r>
        <w:rPr>
          <w:rFonts w:eastAsia="仿宋_GB2312"/>
          <w:bCs/>
          <w:sz w:val="32"/>
          <w:szCs w:val="32"/>
        </w:rPr>
        <w:t>支出</w:t>
      </w:r>
      <w:r>
        <w:rPr>
          <w:rFonts w:hint="eastAsia" w:eastAsia="仿宋_GB2312"/>
          <w:bCs/>
          <w:sz w:val="32"/>
          <w:szCs w:val="32"/>
        </w:rPr>
        <w:t>14.5</w:t>
      </w:r>
      <w:r>
        <w:rPr>
          <w:rFonts w:eastAsia="仿宋_GB2312"/>
          <w:sz w:val="32"/>
          <w:szCs w:val="32"/>
        </w:rPr>
        <w:t>万元，占</w:t>
      </w:r>
      <w:r>
        <w:rPr>
          <w:rFonts w:hint="eastAsia" w:eastAsia="仿宋_GB2312"/>
          <w:sz w:val="32"/>
          <w:szCs w:val="32"/>
        </w:rPr>
        <w:t>5.2</w:t>
      </w:r>
      <w:r>
        <w:rPr>
          <w:rFonts w:eastAsia="仿宋_GB2312"/>
          <w:sz w:val="32"/>
          <w:szCs w:val="32"/>
        </w:rPr>
        <w:t>%。</w:t>
      </w:r>
    </w:p>
    <w:p>
      <w:pPr>
        <w:pStyle w:val="2"/>
        <w:spacing w:before="93"/>
      </w:pPr>
      <w:r>
        <w:drawing>
          <wp:inline distT="0" distB="0" distL="114300" distR="114300">
            <wp:extent cx="4507230" cy="2953385"/>
            <wp:effectExtent l="19050" t="0" r="2667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eastAsia="楷体_GB2312"/>
          <w:b/>
          <w:bCs/>
          <w:sz w:val="32"/>
          <w:szCs w:val="32"/>
        </w:rPr>
      </w:pPr>
      <w:bookmarkStart w:id="32" w:name="_Toc15377212"/>
      <w:r>
        <w:rPr>
          <w:rFonts w:eastAsia="楷体_GB2312"/>
          <w:b/>
          <w:bCs/>
          <w:sz w:val="32"/>
          <w:szCs w:val="32"/>
        </w:rPr>
        <w:t>（三）一般公共预算财政拨款支出决算具体情况</w:t>
      </w:r>
      <w:bookmarkEnd w:id="32"/>
      <w:bookmarkStart w:id="33" w:name="_Toc15377213"/>
      <w:bookmarkStart w:id="34" w:name="_Toc15377444"/>
      <w:bookmarkStart w:id="35" w:name="_Toc15378460"/>
    </w:p>
    <w:p>
      <w:pPr>
        <w:spacing w:line="600" w:lineRule="exact"/>
        <w:ind w:firstLine="643" w:firstLineChars="200"/>
        <w:outlineLvl w:val="2"/>
        <w:rPr>
          <w:rFonts w:eastAsia="仿宋_GB2312"/>
          <w:sz w:val="32"/>
          <w:szCs w:val="32"/>
        </w:rPr>
      </w:pPr>
      <w:r>
        <w:rPr>
          <w:rFonts w:eastAsia="仿宋_GB2312"/>
          <w:b/>
          <w:sz w:val="32"/>
          <w:szCs w:val="32"/>
        </w:rPr>
        <w:t>202</w:t>
      </w:r>
      <w:r>
        <w:rPr>
          <w:rFonts w:hint="eastAsia" w:eastAsia="仿宋_GB2312"/>
          <w:b/>
          <w:sz w:val="32"/>
          <w:szCs w:val="32"/>
        </w:rPr>
        <w:t>1</w:t>
      </w:r>
      <w:r>
        <w:rPr>
          <w:rFonts w:eastAsia="仿宋_GB2312"/>
          <w:b/>
          <w:sz w:val="32"/>
          <w:szCs w:val="32"/>
        </w:rPr>
        <w:t>年一般公共预算支出决算数为3</w:t>
      </w:r>
      <w:r>
        <w:rPr>
          <w:rFonts w:hint="eastAsia" w:eastAsia="仿宋_GB2312"/>
          <w:b/>
          <w:sz w:val="32"/>
          <w:szCs w:val="32"/>
        </w:rPr>
        <w:t>16.10</w:t>
      </w:r>
      <w:r>
        <w:rPr>
          <w:rFonts w:eastAsia="仿宋_GB2312"/>
          <w:b/>
          <w:sz w:val="32"/>
          <w:szCs w:val="32"/>
        </w:rPr>
        <w:t>万元</w:t>
      </w:r>
      <w:r>
        <w:rPr>
          <w:rFonts w:eastAsia="仿宋_GB2312"/>
          <w:sz w:val="32"/>
          <w:szCs w:val="32"/>
        </w:rPr>
        <w:t>，</w:t>
      </w:r>
      <w:r>
        <w:rPr>
          <w:rStyle w:val="14"/>
          <w:rFonts w:eastAsia="仿宋_GB2312"/>
          <w:bCs/>
          <w:sz w:val="32"/>
          <w:szCs w:val="32"/>
        </w:rPr>
        <w:t>完成预算</w:t>
      </w:r>
      <w:r>
        <w:rPr>
          <w:rStyle w:val="14"/>
          <w:rFonts w:hint="eastAsia" w:eastAsia="仿宋_GB2312"/>
          <w:bCs/>
          <w:sz w:val="32"/>
          <w:szCs w:val="32"/>
        </w:rPr>
        <w:t>76.64</w:t>
      </w:r>
      <w:r>
        <w:rPr>
          <w:rStyle w:val="14"/>
          <w:rFonts w:eastAsia="仿宋_GB2312"/>
          <w:bCs/>
          <w:sz w:val="32"/>
          <w:szCs w:val="32"/>
        </w:rPr>
        <w:t>%。其中：</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1.一般公共服务支出（类）民族事务（款）民族工作专项（项）:</w:t>
      </w:r>
      <w:r>
        <w:rPr>
          <w:rStyle w:val="14"/>
          <w:rFonts w:eastAsia="仿宋_GB2312"/>
          <w:b w:val="0"/>
          <w:bCs/>
          <w:sz w:val="32"/>
          <w:szCs w:val="32"/>
        </w:rPr>
        <w:t xml:space="preserve"> 支出决算为</w:t>
      </w:r>
      <w:r>
        <w:rPr>
          <w:rStyle w:val="14"/>
          <w:rFonts w:hint="eastAsia" w:eastAsia="仿宋_GB2312"/>
          <w:b w:val="0"/>
          <w:bCs/>
          <w:sz w:val="32"/>
          <w:szCs w:val="32"/>
        </w:rPr>
        <w:t>99.5</w:t>
      </w:r>
      <w:r>
        <w:rPr>
          <w:rStyle w:val="14"/>
          <w:rFonts w:eastAsia="仿宋_GB2312"/>
          <w:b w:val="0"/>
          <w:bCs/>
          <w:sz w:val="32"/>
          <w:szCs w:val="32"/>
        </w:rPr>
        <w:t>万元，完成预算</w:t>
      </w:r>
      <w:r>
        <w:rPr>
          <w:rStyle w:val="14"/>
          <w:rFonts w:hint="eastAsia" w:eastAsia="仿宋_GB2312"/>
          <w:b w:val="0"/>
          <w:bCs/>
          <w:sz w:val="32"/>
          <w:szCs w:val="32"/>
        </w:rPr>
        <w:t>52</w:t>
      </w:r>
      <w:r>
        <w:rPr>
          <w:rStyle w:val="14"/>
          <w:rFonts w:eastAsia="仿宋_GB2312"/>
          <w:b w:val="0"/>
          <w:bCs/>
          <w:sz w:val="32"/>
          <w:szCs w:val="32"/>
        </w:rPr>
        <w:t>%。决算数小于预算数的主要原因是</w:t>
      </w:r>
      <w:r>
        <w:rPr>
          <w:rStyle w:val="14"/>
          <w:rFonts w:hint="eastAsia" w:eastAsia="仿宋_GB2312"/>
          <w:b w:val="0"/>
          <w:bCs/>
          <w:sz w:val="32"/>
          <w:szCs w:val="32"/>
        </w:rPr>
        <w:t>政府采购印刷费</w:t>
      </w:r>
      <w:r>
        <w:rPr>
          <w:rStyle w:val="14"/>
          <w:rFonts w:eastAsia="仿宋_GB2312"/>
          <w:b w:val="0"/>
          <w:bCs/>
          <w:sz w:val="32"/>
          <w:szCs w:val="32"/>
        </w:rPr>
        <w:t>专项工作因</w:t>
      </w:r>
      <w:r>
        <w:rPr>
          <w:rStyle w:val="14"/>
          <w:rFonts w:hint="eastAsia" w:eastAsia="仿宋_GB2312"/>
          <w:b w:val="0"/>
          <w:bCs/>
          <w:sz w:val="32"/>
          <w:szCs w:val="32"/>
        </w:rPr>
        <w:t>工作需要结转到2022年使用</w:t>
      </w:r>
      <w:r>
        <w:rPr>
          <w:rStyle w:val="14"/>
          <w:rFonts w:eastAsia="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2.一般公共服务支出（类）民族事务（款）事业运行（项）:</w:t>
      </w:r>
      <w:r>
        <w:rPr>
          <w:rStyle w:val="14"/>
          <w:rFonts w:eastAsia="仿宋_GB2312"/>
          <w:b w:val="0"/>
          <w:bCs/>
          <w:sz w:val="32"/>
          <w:szCs w:val="32"/>
        </w:rPr>
        <w:t xml:space="preserve"> 支出决算为</w:t>
      </w:r>
      <w:r>
        <w:rPr>
          <w:rStyle w:val="14"/>
          <w:rFonts w:hint="eastAsia" w:eastAsia="仿宋_GB2312"/>
          <w:b w:val="0"/>
          <w:bCs/>
          <w:sz w:val="32"/>
          <w:szCs w:val="32"/>
        </w:rPr>
        <w:t>117.14</w:t>
      </w:r>
      <w:r>
        <w:rPr>
          <w:rStyle w:val="14"/>
          <w:rFonts w:eastAsia="仿宋_GB2312"/>
          <w:b w:val="0"/>
          <w:bCs/>
          <w:sz w:val="32"/>
          <w:szCs w:val="32"/>
        </w:rPr>
        <w:t>万元，完成预算95</w:t>
      </w:r>
      <w:r>
        <w:rPr>
          <w:rStyle w:val="14"/>
          <w:rFonts w:hint="eastAsia" w:eastAsia="仿宋_GB2312"/>
          <w:b w:val="0"/>
          <w:bCs/>
          <w:sz w:val="32"/>
          <w:szCs w:val="32"/>
        </w:rPr>
        <w:t>.3</w:t>
      </w:r>
      <w:r>
        <w:rPr>
          <w:rStyle w:val="14"/>
          <w:rFonts w:eastAsia="仿宋_GB2312"/>
          <w:b w:val="0"/>
          <w:bCs/>
          <w:sz w:val="32"/>
          <w:szCs w:val="32"/>
        </w:rPr>
        <w:t>%，决算数小于预算数的主要原因是部分工作因疫情原因未开展。</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3.教育支出（类）进修及培训（款）培训支出（项）:</w:t>
      </w:r>
      <w:r>
        <w:rPr>
          <w:rStyle w:val="14"/>
          <w:rFonts w:eastAsia="仿宋_GB2312"/>
          <w:b w:val="0"/>
          <w:bCs/>
          <w:sz w:val="32"/>
          <w:szCs w:val="32"/>
        </w:rPr>
        <w:t xml:space="preserve"> 支出决算为</w:t>
      </w:r>
      <w:r>
        <w:rPr>
          <w:rStyle w:val="14"/>
          <w:rFonts w:hint="eastAsia" w:eastAsia="仿宋_GB2312"/>
          <w:b w:val="0"/>
          <w:bCs/>
          <w:sz w:val="32"/>
          <w:szCs w:val="32"/>
        </w:rPr>
        <w:t>11.89</w:t>
      </w:r>
      <w:r>
        <w:rPr>
          <w:rStyle w:val="14"/>
          <w:rFonts w:eastAsia="仿宋_GB2312"/>
          <w:b w:val="0"/>
          <w:bCs/>
          <w:sz w:val="32"/>
          <w:szCs w:val="32"/>
        </w:rPr>
        <w:t>万元，完成预算</w:t>
      </w:r>
      <w:r>
        <w:rPr>
          <w:rStyle w:val="14"/>
          <w:rFonts w:hint="eastAsia" w:eastAsia="仿宋_GB2312"/>
          <w:b w:val="0"/>
          <w:bCs/>
          <w:sz w:val="32"/>
          <w:szCs w:val="32"/>
        </w:rPr>
        <w:t>91.5</w:t>
      </w:r>
      <w:r>
        <w:rPr>
          <w:rStyle w:val="14"/>
          <w:rFonts w:eastAsia="仿宋_GB2312"/>
          <w:b w:val="0"/>
          <w:bCs/>
          <w:sz w:val="32"/>
          <w:szCs w:val="32"/>
        </w:rPr>
        <w:t>%，决算数小于预算数的主要原因是</w:t>
      </w:r>
      <w:r>
        <w:rPr>
          <w:rStyle w:val="14"/>
          <w:rFonts w:hint="eastAsia" w:eastAsia="仿宋_GB2312"/>
          <w:b w:val="0"/>
          <w:bCs/>
          <w:sz w:val="32"/>
          <w:szCs w:val="32"/>
        </w:rPr>
        <w:t>因疫情原因部分资格证再教育培训未参加</w:t>
      </w:r>
      <w:r>
        <w:rPr>
          <w:rStyle w:val="14"/>
          <w:rFonts w:eastAsia="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pPr>
      <w:r>
        <w:rPr>
          <w:rStyle w:val="14"/>
          <w:rFonts w:eastAsia="仿宋_GB2312"/>
          <w:bCs/>
          <w:sz w:val="32"/>
          <w:szCs w:val="32"/>
        </w:rPr>
        <w:t>4.社会保障和就业支出（类）行政事业单位养老支出（款）事业单位离退休（项）:</w:t>
      </w:r>
      <w:r>
        <w:rPr>
          <w:rStyle w:val="14"/>
          <w:rFonts w:eastAsia="仿宋_GB2312"/>
          <w:b w:val="0"/>
          <w:bCs/>
          <w:sz w:val="32"/>
          <w:szCs w:val="32"/>
        </w:rPr>
        <w:t>支出决算为</w:t>
      </w:r>
      <w:r>
        <w:rPr>
          <w:rStyle w:val="14"/>
          <w:rFonts w:hint="eastAsia" w:eastAsia="仿宋_GB2312"/>
          <w:b w:val="0"/>
          <w:bCs/>
          <w:sz w:val="32"/>
          <w:szCs w:val="32"/>
        </w:rPr>
        <w:t>29.03</w:t>
      </w:r>
      <w:r>
        <w:rPr>
          <w:rStyle w:val="14"/>
          <w:rFonts w:eastAsia="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5.社会保障和就业支出（类）行政事业单位养老支出（款）机关事业单位基本养老保险缴费支出（项）:</w:t>
      </w:r>
      <w:r>
        <w:rPr>
          <w:rStyle w:val="14"/>
          <w:rFonts w:eastAsia="仿宋_GB2312"/>
          <w:b w:val="0"/>
          <w:bCs/>
          <w:sz w:val="32"/>
          <w:szCs w:val="32"/>
        </w:rPr>
        <w:t>支出决算为</w:t>
      </w:r>
      <w:r>
        <w:rPr>
          <w:rStyle w:val="14"/>
          <w:rFonts w:hint="eastAsia" w:eastAsia="仿宋_GB2312"/>
          <w:b w:val="0"/>
          <w:bCs/>
          <w:sz w:val="32"/>
          <w:szCs w:val="32"/>
        </w:rPr>
        <w:t>16.72</w:t>
      </w:r>
      <w:r>
        <w:rPr>
          <w:rStyle w:val="14"/>
          <w:rFonts w:eastAsia="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6.社会保障和就业支出（类）行政事业单位养老支出（款）机关事业单位职业年金缴费支出（项）:</w:t>
      </w:r>
      <w:r>
        <w:rPr>
          <w:rStyle w:val="14"/>
          <w:rFonts w:eastAsia="仿宋_GB2312"/>
          <w:b w:val="0"/>
          <w:bCs/>
          <w:sz w:val="32"/>
          <w:szCs w:val="32"/>
        </w:rPr>
        <w:t>支出决算为</w:t>
      </w:r>
      <w:r>
        <w:rPr>
          <w:rStyle w:val="14"/>
          <w:rFonts w:hint="eastAsia" w:eastAsia="仿宋_GB2312"/>
          <w:b w:val="0"/>
          <w:bCs/>
          <w:sz w:val="32"/>
          <w:szCs w:val="32"/>
        </w:rPr>
        <w:t>8.36</w:t>
      </w:r>
      <w:r>
        <w:rPr>
          <w:rStyle w:val="14"/>
          <w:rFonts w:eastAsia="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7.社会保障和就业支出（类）其他社会保障和就业支出（款）其他社会保障和就业支出（项）:</w:t>
      </w:r>
      <w:r>
        <w:rPr>
          <w:rStyle w:val="14"/>
          <w:rFonts w:eastAsia="仿宋_GB2312"/>
          <w:b w:val="0"/>
          <w:bCs/>
          <w:sz w:val="32"/>
          <w:szCs w:val="32"/>
        </w:rPr>
        <w:t>支出决算为</w:t>
      </w:r>
      <w:r>
        <w:rPr>
          <w:rStyle w:val="14"/>
          <w:rFonts w:hint="eastAsia" w:eastAsia="仿宋_GB2312"/>
          <w:b w:val="0"/>
          <w:bCs/>
          <w:sz w:val="32"/>
          <w:szCs w:val="32"/>
        </w:rPr>
        <w:t>6.29</w:t>
      </w:r>
      <w:r>
        <w:rPr>
          <w:rStyle w:val="14"/>
          <w:rFonts w:eastAsia="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8.医疗健康支出（类）行政事业单位医疗（款）事业单位医疗（项）:</w:t>
      </w:r>
      <w:r>
        <w:rPr>
          <w:rStyle w:val="14"/>
          <w:rFonts w:eastAsia="仿宋_GB2312"/>
          <w:b w:val="0"/>
          <w:bCs/>
          <w:sz w:val="32"/>
          <w:szCs w:val="32"/>
        </w:rPr>
        <w:t>支出决算为</w:t>
      </w:r>
      <w:r>
        <w:rPr>
          <w:rStyle w:val="14"/>
          <w:rFonts w:hint="eastAsia" w:eastAsia="仿宋_GB2312"/>
          <w:b w:val="0"/>
          <w:bCs/>
          <w:sz w:val="32"/>
          <w:szCs w:val="32"/>
        </w:rPr>
        <w:t>12.67</w:t>
      </w:r>
      <w:r>
        <w:rPr>
          <w:rStyle w:val="14"/>
          <w:rFonts w:eastAsia="仿宋_GB2312"/>
          <w:b w:val="0"/>
          <w:bCs/>
          <w:sz w:val="32"/>
          <w:szCs w:val="32"/>
        </w:rPr>
        <w:t xml:space="preserve">万元，完成预算100%。 </w:t>
      </w:r>
    </w:p>
    <w:p>
      <w:pPr>
        <w:keepNext w:val="0"/>
        <w:keepLines w:val="0"/>
        <w:pageBreakBefore w:val="0"/>
        <w:widowControl w:val="0"/>
        <w:kinsoku/>
        <w:wordWrap/>
        <w:overflowPunct/>
        <w:topLinePunct w:val="0"/>
        <w:autoSpaceDE/>
        <w:autoSpaceDN/>
        <w:bidi w:val="0"/>
        <w:adjustRightInd/>
        <w:snapToGrid/>
        <w:spacing w:line="240" w:lineRule="auto"/>
        <w:ind w:left="0" w:firstLine="641"/>
        <w:textAlignment w:val="auto"/>
        <w:rPr>
          <w:rStyle w:val="14"/>
          <w:rFonts w:eastAsia="仿宋_GB2312"/>
          <w:b w:val="0"/>
          <w:bCs/>
          <w:sz w:val="32"/>
          <w:szCs w:val="32"/>
        </w:rPr>
      </w:pPr>
      <w:r>
        <w:rPr>
          <w:rStyle w:val="14"/>
          <w:rFonts w:eastAsia="仿宋_GB2312"/>
          <w:bCs/>
          <w:sz w:val="32"/>
          <w:szCs w:val="32"/>
        </w:rPr>
        <w:t>9.住房保障支出（类）住房改革支出（款）住房公积金（项）:</w:t>
      </w:r>
      <w:r>
        <w:rPr>
          <w:rStyle w:val="14"/>
          <w:rFonts w:eastAsia="仿宋_GB2312"/>
          <w:b w:val="0"/>
          <w:bCs/>
          <w:sz w:val="32"/>
          <w:szCs w:val="32"/>
        </w:rPr>
        <w:t>支出决算为1</w:t>
      </w:r>
      <w:r>
        <w:rPr>
          <w:rStyle w:val="14"/>
          <w:rFonts w:hint="eastAsia" w:eastAsia="仿宋_GB2312"/>
          <w:b w:val="0"/>
          <w:bCs/>
          <w:sz w:val="32"/>
          <w:szCs w:val="32"/>
        </w:rPr>
        <w:t>4.5</w:t>
      </w:r>
      <w:r>
        <w:rPr>
          <w:rStyle w:val="14"/>
          <w:rFonts w:eastAsia="仿宋_GB2312"/>
          <w:b w:val="0"/>
          <w:bCs/>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1"/>
        <w:textAlignment w:val="auto"/>
        <w:outlineLvl w:val="1"/>
        <w:rPr>
          <w:rStyle w:val="26"/>
          <w:rFonts w:ascii="Times New Roman" w:hAnsi="Times New Roman" w:cs="Times New Roman"/>
        </w:rPr>
      </w:pPr>
      <w:bookmarkStart w:id="36" w:name="_Toc15377214"/>
      <w:bookmarkStart w:id="37" w:name="_Toc15396608"/>
      <w:r>
        <w:rPr>
          <w:rFonts w:eastAsia="黑体"/>
          <w:sz w:val="32"/>
          <w:szCs w:val="32"/>
        </w:rPr>
        <w:t>六</w:t>
      </w:r>
      <w:r>
        <w:rPr>
          <w:rFonts w:eastAsia="黑体"/>
          <w:b/>
          <w:sz w:val="32"/>
          <w:szCs w:val="32"/>
        </w:rPr>
        <w:t>、一</w:t>
      </w:r>
      <w:r>
        <w:rPr>
          <w:rStyle w:val="26"/>
          <w:rFonts w:ascii="Times New Roman" w:hAnsi="Times New Roman" w:eastAsia="黑体" w:cs="Times New Roman"/>
          <w:b w:val="0"/>
        </w:rPr>
        <w:t>般公共预算财政拨款基本支出决算情况说明</w:t>
      </w:r>
      <w:bookmarkEnd w:id="36"/>
      <w:bookmarkEnd w:id="37"/>
      <w:r>
        <w:rPr>
          <w:rStyle w:val="26"/>
          <w:rFonts w:ascii="Times New Roman" w:hAnsi="Times New Roman" w:eastAsia="黑体" w:cs="Times New Roman"/>
          <w:b w:val="0"/>
        </w:rPr>
        <w:tab/>
      </w:r>
    </w:p>
    <w:p>
      <w:pPr>
        <w:spacing w:line="600" w:lineRule="exact"/>
        <w:ind w:firstLine="640" w:firstLineChars="200"/>
        <w:rPr>
          <w:rStyle w:val="14"/>
          <w:rFonts w:eastAsia="仿宋_GB2312"/>
          <w:b w:val="0"/>
          <w:bCs/>
          <w:sz w:val="32"/>
          <w:szCs w:val="32"/>
        </w:rPr>
      </w:pPr>
      <w:r>
        <w:rPr>
          <w:rStyle w:val="14"/>
          <w:rFonts w:eastAsia="仿宋_GB2312"/>
          <w:b w:val="0"/>
          <w:bCs/>
          <w:sz w:val="32"/>
          <w:szCs w:val="32"/>
        </w:rPr>
        <w:t>202</w:t>
      </w:r>
      <w:r>
        <w:rPr>
          <w:rStyle w:val="14"/>
          <w:rFonts w:hint="eastAsia" w:eastAsia="仿宋_GB2312"/>
          <w:b w:val="0"/>
          <w:bCs/>
          <w:sz w:val="32"/>
          <w:szCs w:val="32"/>
        </w:rPr>
        <w:t>1</w:t>
      </w:r>
      <w:r>
        <w:rPr>
          <w:rStyle w:val="14"/>
          <w:rFonts w:eastAsia="仿宋_GB2312"/>
          <w:b w:val="0"/>
          <w:bCs/>
          <w:sz w:val="32"/>
          <w:szCs w:val="32"/>
        </w:rPr>
        <w:t>年一般公共预算财政拨款基本支出</w:t>
      </w:r>
      <w:r>
        <w:rPr>
          <w:rStyle w:val="14"/>
          <w:rFonts w:hint="eastAsia" w:eastAsia="仿宋_GB2312"/>
          <w:b w:val="0"/>
          <w:bCs/>
          <w:sz w:val="32"/>
          <w:szCs w:val="32"/>
        </w:rPr>
        <w:t>216.59</w:t>
      </w:r>
      <w:r>
        <w:rPr>
          <w:rStyle w:val="14"/>
          <w:rFonts w:eastAsia="仿宋_GB2312"/>
          <w:b w:val="0"/>
          <w:bCs/>
          <w:sz w:val="32"/>
          <w:szCs w:val="32"/>
        </w:rPr>
        <w:t>万元，其中：</w:t>
      </w:r>
    </w:p>
    <w:p>
      <w:pPr>
        <w:spacing w:line="600" w:lineRule="exact"/>
        <w:ind w:firstLine="640" w:firstLineChars="200"/>
        <w:rPr>
          <w:rStyle w:val="14"/>
          <w:rFonts w:eastAsia="仿宋_GB2312"/>
          <w:b w:val="0"/>
          <w:bCs/>
          <w:sz w:val="32"/>
          <w:szCs w:val="32"/>
        </w:rPr>
      </w:pPr>
      <w:r>
        <w:rPr>
          <w:rStyle w:val="14"/>
          <w:rFonts w:eastAsia="仿宋_GB2312"/>
          <w:b w:val="0"/>
          <w:bCs/>
          <w:sz w:val="32"/>
          <w:szCs w:val="32"/>
        </w:rPr>
        <w:t>人员经费</w:t>
      </w:r>
      <w:r>
        <w:rPr>
          <w:rStyle w:val="14"/>
          <w:rFonts w:hint="eastAsia" w:eastAsia="仿宋_GB2312"/>
          <w:b w:val="0"/>
          <w:bCs/>
          <w:sz w:val="32"/>
          <w:szCs w:val="32"/>
        </w:rPr>
        <w:t>177.24</w:t>
      </w:r>
      <w:r>
        <w:rPr>
          <w:rStyle w:val="14"/>
          <w:rFonts w:eastAsia="仿宋_GB2312"/>
          <w:b w:val="0"/>
          <w:bCs/>
          <w:sz w:val="32"/>
          <w:szCs w:val="32"/>
        </w:rPr>
        <w:t>万元，主要包括：基本工资、津贴补贴、绩效工资、机关事业单位基本养老保险缴费、职业年金缴费、职工基本医疗保险缴费、离休费、</w:t>
      </w:r>
      <w:r>
        <w:rPr>
          <w:rStyle w:val="14"/>
          <w:rFonts w:hint="eastAsia" w:eastAsia="仿宋_GB2312"/>
          <w:b w:val="0"/>
          <w:bCs/>
          <w:sz w:val="32"/>
          <w:szCs w:val="32"/>
        </w:rPr>
        <w:t>奖励金、</w:t>
      </w:r>
      <w:r>
        <w:rPr>
          <w:rStyle w:val="14"/>
          <w:rFonts w:eastAsia="仿宋_GB2312"/>
          <w:b w:val="0"/>
          <w:bCs/>
          <w:sz w:val="32"/>
          <w:szCs w:val="32"/>
        </w:rPr>
        <w:t>住房公积金、其他对个人和家庭的补助支出等。</w:t>
      </w:r>
    </w:p>
    <w:p>
      <w:pPr>
        <w:spacing w:line="600" w:lineRule="exact"/>
        <w:ind w:firstLine="640" w:firstLineChars="200"/>
        <w:rPr>
          <w:rStyle w:val="14"/>
          <w:rFonts w:eastAsia="仿宋_GB2312"/>
          <w:b w:val="0"/>
          <w:bCs/>
          <w:sz w:val="32"/>
          <w:szCs w:val="32"/>
        </w:rPr>
      </w:pPr>
      <w:r>
        <w:rPr>
          <w:rStyle w:val="14"/>
          <w:rFonts w:eastAsia="仿宋_GB2312"/>
          <w:b w:val="0"/>
          <w:bCs/>
          <w:sz w:val="32"/>
          <w:szCs w:val="32"/>
        </w:rPr>
        <w:t>日常公用经费</w:t>
      </w:r>
      <w:r>
        <w:rPr>
          <w:rStyle w:val="14"/>
          <w:rFonts w:hint="eastAsia" w:eastAsia="仿宋_GB2312"/>
          <w:b w:val="0"/>
          <w:bCs/>
          <w:sz w:val="32"/>
          <w:szCs w:val="32"/>
        </w:rPr>
        <w:t>39.35</w:t>
      </w:r>
      <w:r>
        <w:rPr>
          <w:rStyle w:val="14"/>
          <w:rFonts w:eastAsia="仿宋_GB2312"/>
          <w:b w:val="0"/>
          <w:bCs/>
          <w:sz w:val="32"/>
          <w:szCs w:val="32"/>
        </w:rPr>
        <w:t>万元，主要包括：办公费、水费、电费、邮电费、差旅费、维</w:t>
      </w:r>
      <w:r>
        <w:rPr>
          <w:rStyle w:val="14"/>
          <w:rFonts w:hint="eastAsia" w:eastAsia="仿宋_GB2312"/>
          <w:b w:val="0"/>
          <w:bCs/>
          <w:sz w:val="32"/>
          <w:szCs w:val="32"/>
        </w:rPr>
        <w:t>修（</w:t>
      </w:r>
      <w:r>
        <w:rPr>
          <w:rStyle w:val="14"/>
          <w:rFonts w:eastAsia="仿宋_GB2312"/>
          <w:b w:val="0"/>
          <w:bCs/>
          <w:sz w:val="32"/>
          <w:szCs w:val="32"/>
        </w:rPr>
        <w:t>护</w:t>
      </w:r>
      <w:r>
        <w:rPr>
          <w:rStyle w:val="14"/>
          <w:rFonts w:hint="eastAsia" w:eastAsia="仿宋_GB2312"/>
          <w:b w:val="0"/>
          <w:bCs/>
          <w:sz w:val="32"/>
          <w:szCs w:val="32"/>
        </w:rPr>
        <w:t>）</w:t>
      </w:r>
      <w:r>
        <w:rPr>
          <w:rStyle w:val="14"/>
          <w:rFonts w:eastAsia="仿宋_GB2312"/>
          <w:b w:val="0"/>
          <w:bCs/>
          <w:sz w:val="32"/>
          <w:szCs w:val="32"/>
        </w:rPr>
        <w:t>费、</w:t>
      </w:r>
      <w:r>
        <w:rPr>
          <w:rStyle w:val="14"/>
          <w:rFonts w:hint="eastAsia" w:eastAsia="仿宋_GB2312"/>
          <w:b w:val="0"/>
          <w:bCs/>
          <w:sz w:val="32"/>
          <w:szCs w:val="32"/>
        </w:rPr>
        <w:t>培训费、</w:t>
      </w:r>
      <w:r>
        <w:rPr>
          <w:rStyle w:val="14"/>
          <w:rFonts w:eastAsia="仿宋_GB2312"/>
          <w:b w:val="0"/>
          <w:bCs/>
          <w:sz w:val="32"/>
          <w:szCs w:val="32"/>
        </w:rPr>
        <w:t>工会经费、福利费、公务用车运行其他交通费、其他商品和服务支出等。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26"/>
          <w:rFonts w:ascii="Times New Roman" w:hAnsi="Times New Roman" w:eastAsia="黑体" w:cs="Times New Roman"/>
          <w:b w:val="0"/>
        </w:rPr>
      </w:pPr>
      <w:bookmarkStart w:id="38" w:name="_Toc15377215"/>
      <w:bookmarkStart w:id="39" w:name="_Toc15396609"/>
      <w:r>
        <w:rPr>
          <w:rFonts w:eastAsia="黑体"/>
          <w:sz w:val="32"/>
          <w:szCs w:val="32"/>
        </w:rPr>
        <w:t>七、</w:t>
      </w:r>
      <w:r>
        <w:rPr>
          <w:rStyle w:val="26"/>
          <w:rFonts w:ascii="Times New Roman" w:hAnsi="Times New Roman" w:eastAsia="黑体" w:cs="Times New Roman"/>
        </w:rPr>
        <w:t>“</w:t>
      </w:r>
      <w:r>
        <w:rPr>
          <w:rStyle w:val="26"/>
          <w:rFonts w:ascii="Times New Roman" w:hAnsi="Times New Roman" w:eastAsia="黑体" w:cs="Times New Roman"/>
          <w:b w:val="0"/>
        </w:rPr>
        <w:t>三公”经费财政拨款支出决算情况说明</w:t>
      </w:r>
      <w:bookmarkEnd w:id="38"/>
      <w:bookmarkEnd w:id="39"/>
    </w:p>
    <w:p>
      <w:pPr>
        <w:spacing w:line="600" w:lineRule="exact"/>
        <w:ind w:firstLine="640"/>
        <w:outlineLvl w:val="2"/>
        <w:rPr>
          <w:rFonts w:eastAsia="仿宋_GB2312"/>
          <w:b/>
          <w:sz w:val="32"/>
          <w:szCs w:val="32"/>
        </w:rPr>
      </w:pPr>
      <w:bookmarkStart w:id="40" w:name="_Toc15377216"/>
      <w:r>
        <w:rPr>
          <w:rFonts w:eastAsia="仿宋_GB2312"/>
          <w:b/>
          <w:sz w:val="32"/>
          <w:szCs w:val="32"/>
        </w:rPr>
        <w:t>（一）“三公”经费财政拨款支出决算总体情况说明</w:t>
      </w:r>
      <w:bookmarkEnd w:id="40"/>
    </w:p>
    <w:p>
      <w:pPr>
        <w:spacing w:line="600" w:lineRule="exact"/>
        <w:ind w:firstLine="640" w:firstLineChars="200"/>
        <w:rPr>
          <w:rStyle w:val="14"/>
          <w:rFonts w:eastAsia="仿宋_GB2312"/>
          <w:b w:val="0"/>
          <w:bCs/>
          <w:sz w:val="32"/>
          <w:szCs w:val="32"/>
        </w:rPr>
      </w:pPr>
      <w:r>
        <w:rPr>
          <w:rStyle w:val="14"/>
          <w:rFonts w:eastAsia="仿宋_GB2312"/>
          <w:b w:val="0"/>
          <w:bCs/>
          <w:sz w:val="32"/>
          <w:szCs w:val="32"/>
        </w:rPr>
        <w:t>202</w:t>
      </w:r>
      <w:r>
        <w:rPr>
          <w:rStyle w:val="14"/>
          <w:rFonts w:hint="eastAsia" w:eastAsia="仿宋_GB2312"/>
          <w:b w:val="0"/>
          <w:bCs/>
          <w:sz w:val="32"/>
          <w:szCs w:val="32"/>
        </w:rPr>
        <w:t>1</w:t>
      </w:r>
      <w:r>
        <w:rPr>
          <w:rStyle w:val="14"/>
          <w:rFonts w:eastAsia="仿宋_GB2312"/>
          <w:b w:val="0"/>
          <w:bCs/>
          <w:sz w:val="32"/>
          <w:szCs w:val="32"/>
        </w:rPr>
        <w:t>年“三公”经费财政拨款支出决算为</w:t>
      </w:r>
      <w:r>
        <w:rPr>
          <w:rStyle w:val="14"/>
          <w:rFonts w:hint="eastAsia" w:eastAsia="仿宋_GB2312"/>
          <w:b w:val="0"/>
          <w:bCs/>
          <w:sz w:val="32"/>
          <w:szCs w:val="32"/>
        </w:rPr>
        <w:t>2.34</w:t>
      </w:r>
      <w:r>
        <w:rPr>
          <w:rStyle w:val="14"/>
          <w:rFonts w:eastAsia="仿宋_GB2312"/>
          <w:b w:val="0"/>
          <w:bCs/>
          <w:sz w:val="32"/>
          <w:szCs w:val="32"/>
        </w:rPr>
        <w:t>万元，完成预算</w:t>
      </w:r>
      <w:r>
        <w:rPr>
          <w:rStyle w:val="14"/>
          <w:rFonts w:hint="eastAsia" w:eastAsia="仿宋_GB2312"/>
          <w:b w:val="0"/>
          <w:bCs/>
          <w:sz w:val="32"/>
          <w:szCs w:val="32"/>
        </w:rPr>
        <w:t>94</w:t>
      </w:r>
      <w:r>
        <w:rPr>
          <w:rStyle w:val="14"/>
          <w:rFonts w:eastAsia="仿宋_GB2312"/>
          <w:b w:val="0"/>
          <w:bCs/>
          <w:sz w:val="32"/>
          <w:szCs w:val="32"/>
        </w:rPr>
        <w:t>%，决算数小于预算数的主要原因一是受疫情影响出差减少，公务用车运行维护费减少；二是严格执行八项规定，没产生公务接待费用。</w:t>
      </w:r>
    </w:p>
    <w:p>
      <w:pPr>
        <w:spacing w:line="600" w:lineRule="exact"/>
        <w:ind w:firstLine="640"/>
        <w:outlineLvl w:val="2"/>
        <w:rPr>
          <w:rFonts w:eastAsia="仿宋_GB2312"/>
          <w:b/>
          <w:sz w:val="32"/>
          <w:szCs w:val="32"/>
        </w:rPr>
      </w:pPr>
      <w:bookmarkStart w:id="41" w:name="_Toc15377217"/>
      <w:r>
        <w:rPr>
          <w:rFonts w:eastAsia="仿宋_GB2312"/>
          <w:b/>
          <w:sz w:val="32"/>
          <w:szCs w:val="32"/>
        </w:rPr>
        <w:t>（二）“三公”经费财政拨款支出决算具体情况说明</w:t>
      </w:r>
      <w:bookmarkEnd w:id="41"/>
    </w:p>
    <w:p>
      <w:pPr>
        <w:spacing w:line="600" w:lineRule="exact"/>
        <w:ind w:firstLine="640" w:firstLineChars="200"/>
        <w:rPr>
          <w:rStyle w:val="14"/>
          <w:rFonts w:eastAsia="仿宋_GB2312"/>
          <w:b w:val="0"/>
          <w:bCs/>
          <w:sz w:val="32"/>
          <w:szCs w:val="32"/>
        </w:rPr>
      </w:pPr>
      <w:r>
        <w:rPr>
          <w:rStyle w:val="14"/>
          <w:rFonts w:eastAsia="仿宋_GB2312"/>
          <w:b w:val="0"/>
          <w:bCs/>
          <w:sz w:val="32"/>
          <w:szCs w:val="32"/>
        </w:rPr>
        <w:t>202</w:t>
      </w:r>
      <w:r>
        <w:rPr>
          <w:rStyle w:val="14"/>
          <w:rFonts w:hint="eastAsia" w:eastAsia="仿宋_GB2312"/>
          <w:b w:val="0"/>
          <w:bCs/>
          <w:sz w:val="32"/>
          <w:szCs w:val="32"/>
        </w:rPr>
        <w:t>1</w:t>
      </w:r>
      <w:r>
        <w:rPr>
          <w:rStyle w:val="14"/>
          <w:rFonts w:eastAsia="仿宋_GB2312"/>
          <w:b w:val="0"/>
          <w:bCs/>
          <w:sz w:val="32"/>
          <w:szCs w:val="32"/>
        </w:rPr>
        <w:t>年“三公”经费财政拨款支出决算中，因公出国（境）费支出决算0万元，占0%；公务用车购置及运行维护费支出决算</w:t>
      </w:r>
      <w:r>
        <w:rPr>
          <w:rStyle w:val="14"/>
          <w:rFonts w:hint="eastAsia" w:eastAsia="仿宋_GB2312"/>
          <w:b w:val="0"/>
          <w:bCs/>
          <w:sz w:val="32"/>
          <w:szCs w:val="32"/>
        </w:rPr>
        <w:t>2.34</w:t>
      </w:r>
      <w:r>
        <w:rPr>
          <w:rStyle w:val="14"/>
          <w:rFonts w:eastAsia="仿宋_GB2312"/>
          <w:b w:val="0"/>
          <w:bCs/>
          <w:sz w:val="32"/>
          <w:szCs w:val="32"/>
        </w:rPr>
        <w:t>万元，占100%；公务接待费支出决算0万元，占0%。具体情况如下：</w:t>
      </w:r>
    </w:p>
    <w:p>
      <w:pPr>
        <w:pStyle w:val="2"/>
        <w:spacing w:before="93"/>
      </w:pPr>
      <w:r>
        <w:drawing>
          <wp:inline distT="0" distB="0" distL="114300" distR="114300">
            <wp:extent cx="4556760" cy="2867660"/>
            <wp:effectExtent l="19050" t="0" r="15240" b="889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pPr>
        <w:rPr>
          <w:rStyle w:val="14"/>
          <w:rFonts w:eastAsia="仿宋_GB2312"/>
          <w:b w:val="0"/>
          <w:bCs/>
          <w:sz w:val="32"/>
          <w:szCs w:val="32"/>
        </w:rPr>
      </w:pPr>
      <w:r>
        <w:rPr>
          <w:rFonts w:hint="eastAsia"/>
        </w:rPr>
        <w:t xml:space="preserve">    </w:t>
      </w:r>
      <w:r>
        <w:rPr>
          <w:rFonts w:hint="eastAsia" w:eastAsia="楷体_GB2312"/>
          <w:b/>
          <w:sz w:val="32"/>
          <w:szCs w:val="32"/>
        </w:rPr>
        <w:t>2</w:t>
      </w:r>
      <w:r>
        <w:rPr>
          <w:rFonts w:eastAsia="楷体_GB2312"/>
          <w:b/>
          <w:sz w:val="32"/>
          <w:szCs w:val="32"/>
        </w:rPr>
        <w:t>.公务用车购置及运行维护费支出</w:t>
      </w:r>
      <w:r>
        <w:rPr>
          <w:rFonts w:hint="eastAsia" w:eastAsia="楷体_GB2312"/>
          <w:b/>
          <w:sz w:val="32"/>
          <w:szCs w:val="32"/>
        </w:rPr>
        <w:t>2.34</w:t>
      </w:r>
      <w:r>
        <w:rPr>
          <w:rFonts w:eastAsia="楷体_GB2312"/>
          <w:b/>
          <w:sz w:val="32"/>
          <w:szCs w:val="32"/>
        </w:rPr>
        <w:t>万元</w:t>
      </w:r>
      <w:r>
        <w:rPr>
          <w:rFonts w:eastAsia="仿宋_GB2312"/>
          <w:sz w:val="32"/>
          <w:szCs w:val="32"/>
        </w:rPr>
        <w:t>。</w:t>
      </w:r>
      <w:r>
        <w:rPr>
          <w:rStyle w:val="14"/>
          <w:rFonts w:eastAsia="仿宋_GB2312"/>
          <w:b w:val="0"/>
          <w:bCs/>
          <w:sz w:val="32"/>
          <w:szCs w:val="32"/>
        </w:rPr>
        <w:t>完成预算</w:t>
      </w:r>
      <w:r>
        <w:rPr>
          <w:rStyle w:val="14"/>
          <w:rFonts w:hint="eastAsia" w:eastAsia="仿宋_GB2312"/>
          <w:b w:val="0"/>
          <w:bCs/>
          <w:sz w:val="32"/>
          <w:szCs w:val="32"/>
        </w:rPr>
        <w:t>94</w:t>
      </w:r>
      <w:r>
        <w:rPr>
          <w:rStyle w:val="14"/>
          <w:rFonts w:eastAsia="仿宋_GB2312"/>
          <w:b w:val="0"/>
          <w:bCs/>
          <w:sz w:val="32"/>
          <w:szCs w:val="32"/>
        </w:rPr>
        <w:t>%。公务用车购置及运行维护费支出决算比20</w:t>
      </w:r>
      <w:r>
        <w:rPr>
          <w:rStyle w:val="14"/>
          <w:rFonts w:hint="eastAsia" w:eastAsia="仿宋_GB2312"/>
          <w:b w:val="0"/>
          <w:bCs/>
          <w:sz w:val="32"/>
          <w:szCs w:val="32"/>
        </w:rPr>
        <w:t>20</w:t>
      </w:r>
      <w:r>
        <w:rPr>
          <w:rStyle w:val="14"/>
          <w:rFonts w:eastAsia="仿宋_GB2312"/>
          <w:b w:val="0"/>
          <w:bCs/>
          <w:sz w:val="32"/>
          <w:szCs w:val="32"/>
        </w:rPr>
        <w:t>年</w:t>
      </w:r>
      <w:r>
        <w:rPr>
          <w:rStyle w:val="14"/>
          <w:rFonts w:hint="eastAsia" w:eastAsia="仿宋_GB2312"/>
          <w:b w:val="0"/>
          <w:bCs/>
          <w:sz w:val="32"/>
          <w:szCs w:val="32"/>
        </w:rPr>
        <w:t>增加1.51</w:t>
      </w:r>
      <w:r>
        <w:rPr>
          <w:rStyle w:val="14"/>
          <w:rFonts w:eastAsia="仿宋_GB2312"/>
          <w:b w:val="0"/>
          <w:bCs/>
          <w:sz w:val="32"/>
          <w:szCs w:val="32"/>
        </w:rPr>
        <w:t>万元，</w:t>
      </w:r>
      <w:r>
        <w:rPr>
          <w:rStyle w:val="14"/>
          <w:rFonts w:hint="eastAsia" w:eastAsia="仿宋_GB2312"/>
          <w:b w:val="0"/>
          <w:bCs/>
          <w:sz w:val="32"/>
          <w:szCs w:val="32"/>
        </w:rPr>
        <w:t>增长181</w:t>
      </w:r>
      <w:r>
        <w:rPr>
          <w:rStyle w:val="14"/>
          <w:rFonts w:eastAsia="仿宋_GB2312"/>
          <w:b w:val="0"/>
          <w:bCs/>
          <w:sz w:val="32"/>
          <w:szCs w:val="32"/>
        </w:rPr>
        <w:t>%。主要原因是</w:t>
      </w:r>
      <w:r>
        <w:rPr>
          <w:rStyle w:val="14"/>
          <w:rFonts w:hint="eastAsia" w:eastAsia="仿宋_GB2312"/>
          <w:b w:val="0"/>
          <w:bCs/>
          <w:sz w:val="32"/>
          <w:szCs w:val="32"/>
        </w:rPr>
        <w:t>单位唯一公务用车使用年限已超10年，当年产生车辆大修费用</w:t>
      </w:r>
      <w:r>
        <w:rPr>
          <w:rStyle w:val="14"/>
          <w:rFonts w:eastAsia="仿宋_GB2312"/>
          <w:b w:val="0"/>
          <w:bCs/>
          <w:sz w:val="32"/>
          <w:szCs w:val="32"/>
        </w:rPr>
        <w:t>。</w:t>
      </w:r>
    </w:p>
    <w:p>
      <w:pPr>
        <w:spacing w:line="600" w:lineRule="exact"/>
        <w:ind w:firstLine="640" w:firstLineChars="200"/>
        <w:rPr>
          <w:rStyle w:val="14"/>
          <w:rFonts w:eastAsia="仿宋_GB2312"/>
          <w:b w:val="0"/>
          <w:bCs/>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w:t>
      </w:r>
      <w:r>
        <w:rPr>
          <w:rStyle w:val="14"/>
          <w:rFonts w:eastAsia="仿宋_GB2312"/>
          <w:b w:val="0"/>
          <w:bCs/>
          <w:sz w:val="32"/>
          <w:szCs w:val="32"/>
        </w:rPr>
        <w:t>全年按规定更新购置公务用车0辆，其中：轿车0辆、金额0万元，越野车0辆、金额0万元，载客汽车0辆、金额0万元。截至202</w:t>
      </w:r>
      <w:r>
        <w:rPr>
          <w:rStyle w:val="14"/>
          <w:rFonts w:hint="eastAsia" w:eastAsia="仿宋_GB2312"/>
          <w:b w:val="0"/>
          <w:bCs/>
          <w:sz w:val="32"/>
          <w:szCs w:val="32"/>
        </w:rPr>
        <w:t>1</w:t>
      </w:r>
      <w:r>
        <w:rPr>
          <w:rStyle w:val="14"/>
          <w:rFonts w:eastAsia="仿宋_GB2312"/>
          <w:b w:val="0"/>
          <w:bCs/>
          <w:sz w:val="32"/>
          <w:szCs w:val="32"/>
        </w:rPr>
        <w:t>年12月底，单位共有公务用车1辆，其中：越野车1辆。</w:t>
      </w:r>
    </w:p>
    <w:p>
      <w:pPr>
        <w:spacing w:line="600" w:lineRule="exact"/>
        <w:ind w:firstLine="640"/>
        <w:rPr>
          <w:rStyle w:val="14"/>
          <w:rFonts w:eastAsia="仿宋_GB2312"/>
          <w:b w:val="0"/>
          <w:bCs/>
          <w:sz w:val="32"/>
          <w:szCs w:val="32"/>
        </w:rPr>
      </w:pPr>
      <w:r>
        <w:rPr>
          <w:rFonts w:eastAsia="楷体_GB2312"/>
          <w:b/>
          <w:sz w:val="32"/>
          <w:szCs w:val="32"/>
        </w:rPr>
        <w:t>公务用车运行维护费支出</w:t>
      </w:r>
      <w:r>
        <w:rPr>
          <w:rFonts w:hint="eastAsia" w:eastAsia="楷体_GB2312"/>
          <w:b/>
          <w:sz w:val="32"/>
          <w:szCs w:val="32"/>
        </w:rPr>
        <w:t>2.34</w:t>
      </w:r>
      <w:r>
        <w:rPr>
          <w:rFonts w:eastAsia="楷体_GB2312"/>
          <w:b/>
          <w:sz w:val="32"/>
          <w:szCs w:val="32"/>
        </w:rPr>
        <w:t>万元。</w:t>
      </w:r>
      <w:r>
        <w:rPr>
          <w:rStyle w:val="14"/>
          <w:rFonts w:eastAsia="仿宋_GB2312"/>
          <w:b w:val="0"/>
          <w:bCs/>
          <w:sz w:val="32"/>
          <w:szCs w:val="32"/>
        </w:rPr>
        <w:t>主要用于民族宗教工作调研、采访等的公务用车燃料费、维修费、过路过桥费、保险费等支出。</w:t>
      </w:r>
    </w:p>
    <w:p>
      <w:pPr>
        <w:spacing w:line="600" w:lineRule="exact"/>
        <w:ind w:firstLine="640"/>
        <w:rPr>
          <w:rFonts w:ascii="仿宋_GB2312" w:eastAsia="仿宋_GB2312"/>
          <w:sz w:val="32"/>
          <w:szCs w:val="32"/>
        </w:rPr>
      </w:pPr>
      <w:r>
        <w:rPr>
          <w:rFonts w:eastAsia="楷体_GB2312"/>
          <w:b/>
          <w:sz w:val="32"/>
          <w:szCs w:val="32"/>
        </w:rPr>
        <w:t>3.公务接待费支出0</w:t>
      </w:r>
      <w:r>
        <w:rPr>
          <w:rStyle w:val="14"/>
          <w:rFonts w:eastAsia="楷体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w:t>
      </w:r>
      <w:r>
        <w:rPr>
          <w:rFonts w:hint="eastAsia" w:ascii="仿宋_GB2312" w:eastAsia="仿宋_GB2312"/>
          <w:sz w:val="32"/>
          <w:szCs w:val="32"/>
        </w:rPr>
        <w:t>020年持平。</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outlineLvl w:val="1"/>
        <w:rPr>
          <w:rStyle w:val="14"/>
          <w:rFonts w:eastAsia="仿宋_GB2312"/>
          <w:b w:val="0"/>
          <w:bCs/>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2" w:name="_Toc15377218"/>
      <w:bookmarkStart w:id="43" w:name="_Toc15396610"/>
    </w:p>
    <w:bookmarkEnd w:id="42"/>
    <w:bookmarkEnd w:id="43"/>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26"/>
          <w:rFonts w:ascii="黑体" w:hAnsi="黑体" w:eastAsia="黑体"/>
        </w:rPr>
      </w:pPr>
      <w:bookmarkStart w:id="44" w:name="_Toc15396612"/>
      <w:bookmarkStart w:id="45" w:name="_Toc15377221"/>
      <w:r>
        <w:rPr>
          <w:rFonts w:hint="eastAsia" w:ascii="黑体" w:eastAsia="黑体"/>
          <w:sz w:val="32"/>
          <w:szCs w:val="32"/>
        </w:rPr>
        <w:t>八、</w:t>
      </w:r>
      <w:r>
        <w:rPr>
          <w:rStyle w:val="26"/>
          <w:rFonts w:hint="eastAsia" w:ascii="黑体" w:hAnsi="黑体" w:eastAsia="黑体"/>
          <w:b w:val="0"/>
        </w:rPr>
        <w:t>政府性基金预算支出决算情况说明</w:t>
      </w:r>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1"/>
        <w:textAlignment w:val="auto"/>
        <w:outlineLvl w:val="1"/>
        <w:rPr>
          <w:rStyle w:val="26"/>
          <w:rFonts w:ascii="黑体" w:hAnsi="黑体" w:eastAsia="黑体"/>
          <w:b w:val="0"/>
        </w:rPr>
      </w:pPr>
      <w:bookmarkStart w:id="46" w:name="_Toc15377219"/>
      <w:bookmarkStart w:id="47" w:name="_Toc15396611"/>
      <w:r>
        <w:rPr>
          <w:rStyle w:val="26"/>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600" w:lineRule="exact"/>
        <w:ind w:firstLine="640" w:firstLineChars="200"/>
        <w:outlineLvl w:val="1"/>
        <w:rPr>
          <w:rFonts w:eastAsia="仿宋_GB2312"/>
          <w:sz w:val="32"/>
          <w:szCs w:val="32"/>
        </w:rPr>
      </w:pPr>
      <w:r>
        <w:rPr>
          <w:rStyle w:val="26"/>
          <w:rFonts w:hint="eastAsia" w:eastAsia="黑体" w:cs="Times New Roman"/>
          <w:b w:val="0"/>
        </w:rPr>
        <w:t>十、</w:t>
      </w:r>
      <w:r>
        <w:rPr>
          <w:rStyle w:val="26"/>
          <w:rFonts w:ascii="Times New Roman" w:hAnsi="Times New Roman" w:eastAsia="黑体" w:cs="Times New Roman"/>
          <w:b w:val="0"/>
        </w:rPr>
        <w:t>其他重要事项的情况说明</w:t>
      </w:r>
      <w:bookmarkEnd w:id="44"/>
      <w:bookmarkEnd w:id="45"/>
    </w:p>
    <w:p>
      <w:pPr>
        <w:autoSpaceDE w:val="0"/>
        <w:autoSpaceDN w:val="0"/>
        <w:adjustRightInd w:val="0"/>
        <w:spacing w:line="600" w:lineRule="exact"/>
        <w:ind w:firstLine="643" w:firstLineChars="200"/>
        <w:jc w:val="left"/>
        <w:outlineLvl w:val="2"/>
        <w:rPr>
          <w:rFonts w:eastAsia="仿宋_GB2312"/>
          <w:b/>
          <w:sz w:val="32"/>
          <w:szCs w:val="32"/>
        </w:rPr>
      </w:pPr>
      <w:bookmarkStart w:id="48" w:name="_Toc15377223"/>
      <w:r>
        <w:rPr>
          <w:rFonts w:eastAsia="仿宋_GB2312"/>
          <w:b/>
          <w:sz w:val="32"/>
          <w:szCs w:val="32"/>
        </w:rPr>
        <w:t>（</w:t>
      </w:r>
      <w:r>
        <w:rPr>
          <w:rFonts w:hint="eastAsia" w:eastAsia="仿宋_GB2312"/>
          <w:b/>
          <w:sz w:val="32"/>
          <w:szCs w:val="32"/>
        </w:rPr>
        <w:t>一</w:t>
      </w:r>
      <w:r>
        <w:rPr>
          <w:rFonts w:eastAsia="仿宋_GB2312"/>
          <w:b/>
          <w:sz w:val="32"/>
          <w:szCs w:val="32"/>
        </w:rPr>
        <w:t>）</w:t>
      </w:r>
      <w:bookmarkEnd w:id="48"/>
      <w:r>
        <w:rPr>
          <w:rFonts w:hint="eastAsia" w:eastAsia="仿宋_GB2312"/>
          <w:b/>
          <w:sz w:val="32"/>
          <w:szCs w:val="32"/>
        </w:rPr>
        <w:t>机关运行经费支出情况</w:t>
      </w:r>
    </w:p>
    <w:p>
      <w:pPr>
        <w:spacing w:line="600" w:lineRule="exact"/>
        <w:ind w:firstLine="640"/>
        <w:rPr>
          <w:rFonts w:ascii="仿宋_GB2312" w:eastAsia="仿宋_GB2312"/>
          <w:sz w:val="32"/>
          <w:szCs w:val="32"/>
        </w:rPr>
      </w:pPr>
      <w:r>
        <w:rPr>
          <w:rFonts w:hint="eastAsia" w:ascii="仿宋_GB2312" w:eastAsia="仿宋_GB2312"/>
          <w:sz w:val="32"/>
          <w:szCs w:val="32"/>
        </w:rPr>
        <w:t>2021年，四川省民族杂志社机关运行经费支出0万元，于2020年决算数持平。</w:t>
      </w:r>
    </w:p>
    <w:p>
      <w:pPr>
        <w:autoSpaceDE w:val="0"/>
        <w:autoSpaceDN w:val="0"/>
        <w:adjustRightInd w:val="0"/>
        <w:spacing w:line="600" w:lineRule="exact"/>
        <w:ind w:firstLine="643" w:firstLineChars="200"/>
        <w:jc w:val="left"/>
        <w:outlineLvl w:val="2"/>
        <w:rPr>
          <w:rFonts w:eastAsia="仿宋_GB2312"/>
          <w:b/>
          <w:sz w:val="32"/>
          <w:szCs w:val="32"/>
        </w:rPr>
      </w:pPr>
      <w:r>
        <w:rPr>
          <w:rFonts w:eastAsia="仿宋_GB2312"/>
          <w:b/>
          <w:sz w:val="32"/>
          <w:szCs w:val="32"/>
        </w:rPr>
        <w:t>（</w:t>
      </w:r>
      <w:r>
        <w:rPr>
          <w:rFonts w:hint="eastAsia" w:eastAsia="仿宋_GB2312"/>
          <w:b/>
          <w:sz w:val="32"/>
          <w:szCs w:val="32"/>
        </w:rPr>
        <w:t>二</w:t>
      </w:r>
      <w:r>
        <w:rPr>
          <w:rFonts w:eastAsia="仿宋_GB2312"/>
          <w:b/>
          <w:sz w:val="32"/>
          <w:szCs w:val="32"/>
        </w:rPr>
        <w:t>）政府采购支出情况</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年，民族杂志社政府采购支出总额</w:t>
      </w:r>
      <w:r>
        <w:rPr>
          <w:rFonts w:hint="eastAsia" w:eastAsia="仿宋_GB2312"/>
          <w:sz w:val="32"/>
          <w:szCs w:val="32"/>
        </w:rPr>
        <w:t>0</w:t>
      </w:r>
      <w:r>
        <w:rPr>
          <w:rFonts w:eastAsia="仿宋_GB2312"/>
          <w:sz w:val="32"/>
          <w:szCs w:val="32"/>
        </w:rPr>
        <w:t>万元，</w:t>
      </w:r>
      <w:r>
        <w:rPr>
          <w:rFonts w:hint="eastAsia" w:ascii="仿宋_GB2312" w:eastAsia="仿宋_GB2312"/>
          <w:sz w:val="32"/>
          <w:szCs w:val="32"/>
        </w:rPr>
        <w:t>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eastAsia="楷体_GB2312"/>
          <w:b/>
          <w:sz w:val="32"/>
          <w:szCs w:val="32"/>
        </w:rPr>
      </w:pPr>
      <w:bookmarkStart w:id="49" w:name="_Toc15377224"/>
      <w:r>
        <w:rPr>
          <w:rFonts w:eastAsia="楷体_GB2312"/>
          <w:b/>
          <w:sz w:val="32"/>
          <w:szCs w:val="32"/>
        </w:rPr>
        <w:t>（</w:t>
      </w:r>
      <w:r>
        <w:rPr>
          <w:rFonts w:hint="eastAsia" w:eastAsia="楷体_GB2312"/>
          <w:b/>
          <w:sz w:val="32"/>
          <w:szCs w:val="32"/>
        </w:rPr>
        <w:t>三</w:t>
      </w:r>
      <w:r>
        <w:rPr>
          <w:rFonts w:eastAsia="楷体_GB2312"/>
          <w:b/>
          <w:sz w:val="32"/>
          <w:szCs w:val="32"/>
        </w:rPr>
        <w:t>）国有资产占有使用情况</w:t>
      </w:r>
      <w:bookmarkEnd w:id="49"/>
    </w:p>
    <w:p>
      <w:pPr>
        <w:autoSpaceDE w:val="0"/>
        <w:autoSpaceDN w:val="0"/>
        <w:adjustRightInd w:val="0"/>
        <w:spacing w:line="600" w:lineRule="exact"/>
        <w:ind w:firstLine="640" w:firstLineChars="200"/>
        <w:jc w:val="left"/>
        <w:rPr>
          <w:rFonts w:eastAsia="仿宋_GB2312"/>
          <w:b/>
          <w:sz w:val="32"/>
          <w:szCs w:val="32"/>
        </w:rPr>
      </w:pPr>
      <w:r>
        <w:rPr>
          <w:rFonts w:eastAsia="仿宋_GB2312"/>
          <w:sz w:val="32"/>
          <w:szCs w:val="32"/>
        </w:rPr>
        <w:t>截至202</w:t>
      </w:r>
      <w:r>
        <w:rPr>
          <w:rFonts w:hint="eastAsia" w:eastAsia="仿宋_GB2312"/>
          <w:sz w:val="32"/>
          <w:szCs w:val="32"/>
        </w:rPr>
        <w:t>1</w:t>
      </w:r>
      <w:r>
        <w:rPr>
          <w:rFonts w:eastAsia="仿宋_GB2312"/>
          <w:sz w:val="32"/>
          <w:szCs w:val="32"/>
        </w:rPr>
        <w:t>年12月31日，民族杂志社共有车辆1辆，其中：主要领导干部用车0辆、机要通信用车0辆、应急保障用车0辆、其他用车1辆。单价50万元以上通用设备0台（套），单价100万元以上专用设备0台（套）。</w:t>
      </w:r>
    </w:p>
    <w:p>
      <w:pPr>
        <w:autoSpaceDE w:val="0"/>
        <w:autoSpaceDN w:val="0"/>
        <w:adjustRightInd w:val="0"/>
        <w:spacing w:line="600" w:lineRule="exact"/>
        <w:ind w:firstLine="643" w:firstLineChars="200"/>
        <w:jc w:val="left"/>
        <w:outlineLvl w:val="2"/>
        <w:rPr>
          <w:rFonts w:eastAsia="仿宋_GB2312"/>
          <w:sz w:val="32"/>
          <w:szCs w:val="32"/>
        </w:rPr>
      </w:pPr>
      <w:r>
        <w:rPr>
          <w:rFonts w:eastAsia="楷体_GB2312"/>
          <w:b/>
          <w:sz w:val="32"/>
          <w:szCs w:val="32"/>
        </w:rPr>
        <w:t>（</w:t>
      </w:r>
      <w:r>
        <w:rPr>
          <w:rFonts w:hint="eastAsia" w:eastAsia="楷体_GB2312"/>
          <w:b/>
          <w:sz w:val="32"/>
          <w:szCs w:val="32"/>
        </w:rPr>
        <w:t>四</w:t>
      </w:r>
      <w:r>
        <w:rPr>
          <w:rFonts w:eastAsia="楷体_GB2312"/>
          <w:b/>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eastAsia="仿宋_GB2312"/>
          <w:sz w:val="32"/>
          <w:szCs w:val="32"/>
        </w:rPr>
        <w:t>综合业务经费</w:t>
      </w:r>
      <w:r>
        <w:rPr>
          <w:rFonts w:hint="eastAsia" w:ascii="仿宋_GB2312" w:hAnsi="仿宋_GB2312" w:eastAsia="仿宋_GB2312" w:cs="仿宋_GB2312"/>
          <w:sz w:val="32"/>
          <w:szCs w:val="32"/>
        </w:rPr>
        <w:t>项目等1个项目开展了预算事前绩效评估，对1个项目编制了绩效目标，预算执行过程中，选取1个项目开展绩效监控，年终执行完毕后，对1个项目开展了绩效自评，2021年特定目标类部门预算项目绩效目标自评表见附件（第四部分）。</w:t>
      </w:r>
    </w:p>
    <w:p>
      <w:pPr>
        <w:pStyle w:val="2"/>
        <w:spacing w:before="93"/>
        <w:rPr>
          <w:rFonts w:hAnsi="仿宋_GB2312" w:cs="仿宋_GB2312"/>
          <w:sz w:val="32"/>
          <w:szCs w:val="32"/>
        </w:rPr>
      </w:pPr>
    </w:p>
    <w:p>
      <w:pPr>
        <w:rPr>
          <w:rFonts w:eastAsia="仿宋_GB2312"/>
          <w:sz w:val="32"/>
          <w:szCs w:val="32"/>
        </w:rPr>
      </w:pPr>
    </w:p>
    <w:p>
      <w:pPr>
        <w:rPr>
          <w:rFonts w:eastAsia="仿宋_GB2312"/>
          <w:sz w:val="32"/>
          <w:szCs w:val="32"/>
        </w:rPr>
      </w:pPr>
    </w:p>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0" w:firstLineChars="0"/>
        <w:jc w:val="center"/>
        <w:textAlignment w:val="auto"/>
        <w:outlineLvl w:val="0"/>
        <w:rPr>
          <w:rStyle w:val="25"/>
          <w:rFonts w:eastAsia="黑体"/>
          <w:b w:val="0"/>
        </w:rPr>
      </w:pPr>
      <w:bookmarkStart w:id="50" w:name="_Toc15377225"/>
      <w:bookmarkStart w:id="51" w:name="_Toc15396613"/>
      <w:r>
        <w:rPr>
          <w:rFonts w:eastAsia="黑体"/>
          <w:sz w:val="44"/>
          <w:szCs w:val="44"/>
        </w:rPr>
        <w:t>名</w:t>
      </w:r>
      <w:r>
        <w:rPr>
          <w:rStyle w:val="25"/>
          <w:rFonts w:eastAsia="黑体"/>
          <w:b w:val="0"/>
        </w:rPr>
        <w:t>词解释</w:t>
      </w:r>
      <w:bookmarkEnd w:id="50"/>
      <w:bookmarkEnd w:id="51"/>
    </w:p>
    <w:p>
      <w:pPr>
        <w:spacing w:line="600" w:lineRule="exact"/>
        <w:jc w:val="left"/>
        <w:rPr>
          <w:b/>
          <w:sz w:val="44"/>
          <w:szCs w:val="44"/>
        </w:rPr>
      </w:pPr>
    </w:p>
    <w:p>
      <w:pPr>
        <w:pStyle w:val="23"/>
        <w:spacing w:line="560" w:lineRule="exact"/>
        <w:ind w:firstLine="640" w:firstLineChars="200"/>
        <w:rPr>
          <w:rFonts w:ascii="Times New Roman" w:hAnsi="Times New Roman" w:eastAsia="仿宋_GB2312" w:cs="Times New Roman"/>
          <w:color w:val="auto"/>
          <w:sz w:val="32"/>
          <w:szCs w:val="32"/>
        </w:rPr>
      </w:pPr>
      <w:bookmarkStart w:id="52" w:name="_Toc15377226"/>
      <w:r>
        <w:rPr>
          <w:rFonts w:ascii="Times New Roman" w:hAnsi="Times New Roman" w:eastAsia="仿宋_GB2312" w:cs="Times New Roman"/>
          <w:color w:val="auto"/>
          <w:sz w:val="32"/>
          <w:szCs w:val="32"/>
        </w:rPr>
        <w:t>1.财政拨款收入：指单位从同级财政部门取得的财政预算资金。</w:t>
      </w:r>
    </w:p>
    <w:p>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2.其他收入：指单位取得的除上述收入以外的各项收入。主要是杂志发行及卫生厅拨来离休干部医疗费等。 </w:t>
      </w:r>
    </w:p>
    <w:p>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3.年初结转和结余：指以前年度尚未完成、结转到本年按有关规定继续使用的资金。 </w:t>
      </w:r>
    </w:p>
    <w:p>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4、年末结转和结余：指单位按有关规定结转到下年或以后年度继续使用的资金。</w:t>
      </w:r>
    </w:p>
    <w:p>
      <w:pPr>
        <w:ind w:firstLine="640" w:firstLineChars="200"/>
        <w:rPr>
          <w:rFonts w:eastAsia="仿宋_GB2312"/>
          <w:sz w:val="32"/>
          <w:szCs w:val="32"/>
        </w:rPr>
      </w:pPr>
      <w:r>
        <w:rPr>
          <w:rFonts w:eastAsia="仿宋_GB2312"/>
          <w:sz w:val="32"/>
          <w:szCs w:val="32"/>
        </w:rPr>
        <w:t>5.一般公共服务支出（类）民族事务（款）民族工作专项（项）：反映用于民族事务管理方面的专项支出。</w:t>
      </w:r>
    </w:p>
    <w:p>
      <w:pPr>
        <w:ind w:firstLine="640" w:firstLineChars="200"/>
        <w:rPr>
          <w:rFonts w:eastAsia="仿宋_GB2312"/>
          <w:sz w:val="32"/>
          <w:szCs w:val="32"/>
        </w:rPr>
      </w:pPr>
      <w:r>
        <w:rPr>
          <w:rFonts w:eastAsia="仿宋_GB2312"/>
          <w:sz w:val="32"/>
          <w:szCs w:val="32"/>
        </w:rPr>
        <w:t>6.一般公共服务支出（类）民族事务（款）事业运行（项）：反映事业单位的基本支出，不包括行政单位(包括实行公务员管理的事业单位)后勤服务中心、医务室等附属事业单位。</w:t>
      </w:r>
    </w:p>
    <w:p>
      <w:pPr>
        <w:ind w:firstLine="640" w:firstLineChars="200"/>
        <w:rPr>
          <w:rFonts w:eastAsia="仿宋_GB2312"/>
          <w:sz w:val="32"/>
          <w:szCs w:val="32"/>
        </w:rPr>
      </w:pPr>
      <w:r>
        <w:rPr>
          <w:rFonts w:eastAsia="仿宋_GB2312"/>
          <w:sz w:val="32"/>
          <w:szCs w:val="32"/>
        </w:rPr>
        <w:t>7.社会保障和就业支出（类）</w:t>
      </w:r>
      <w:r>
        <w:rPr>
          <w:rStyle w:val="14"/>
          <w:rFonts w:eastAsia="仿宋_GB2312"/>
          <w:b w:val="0"/>
          <w:sz w:val="32"/>
          <w:szCs w:val="32"/>
        </w:rPr>
        <w:t>行政事业单位养老支出</w:t>
      </w:r>
      <w:r>
        <w:rPr>
          <w:rFonts w:eastAsia="仿宋_GB2312"/>
          <w:sz w:val="32"/>
          <w:szCs w:val="32"/>
        </w:rPr>
        <w:t>（款）事业单位离退休（项）：反映实行归口管理的事业单位开支的离退休经费。</w:t>
      </w:r>
    </w:p>
    <w:p>
      <w:pPr>
        <w:ind w:firstLine="640" w:firstLineChars="200"/>
        <w:rPr>
          <w:rFonts w:eastAsia="仿宋_GB2312"/>
          <w:sz w:val="32"/>
          <w:szCs w:val="32"/>
        </w:rPr>
      </w:pPr>
      <w:r>
        <w:rPr>
          <w:rFonts w:eastAsia="仿宋_GB2312"/>
          <w:sz w:val="32"/>
          <w:szCs w:val="32"/>
        </w:rPr>
        <w:t>8.社会保障和就业支出（类）</w:t>
      </w:r>
      <w:r>
        <w:rPr>
          <w:rStyle w:val="14"/>
          <w:rFonts w:eastAsia="仿宋_GB2312"/>
          <w:b w:val="0"/>
          <w:sz w:val="32"/>
          <w:szCs w:val="32"/>
        </w:rPr>
        <w:t>行政事业单位养老支出</w:t>
      </w:r>
      <w:r>
        <w:rPr>
          <w:rFonts w:eastAsia="仿宋_GB2312"/>
          <w:sz w:val="32"/>
          <w:szCs w:val="32"/>
        </w:rPr>
        <w:t>（款）机关事业单位基本养老保险缴费支出（项）：反映机关事业单位实施养老保险制度由单位缴纳的基本养老保险费支出。</w:t>
      </w:r>
    </w:p>
    <w:p>
      <w:pPr>
        <w:ind w:firstLine="640" w:firstLineChars="200"/>
        <w:rPr>
          <w:rFonts w:eastAsia="仿宋_GB2312"/>
          <w:sz w:val="32"/>
          <w:szCs w:val="32"/>
        </w:rPr>
      </w:pPr>
      <w:r>
        <w:rPr>
          <w:rFonts w:eastAsia="仿宋_GB2312"/>
          <w:sz w:val="32"/>
          <w:szCs w:val="32"/>
        </w:rPr>
        <w:t>9.社会保障和就业支出（类）</w:t>
      </w:r>
      <w:r>
        <w:rPr>
          <w:rStyle w:val="14"/>
          <w:rFonts w:eastAsia="仿宋_GB2312"/>
          <w:b w:val="0"/>
          <w:sz w:val="32"/>
          <w:szCs w:val="32"/>
        </w:rPr>
        <w:t>行政事业单位养老支出</w:t>
      </w:r>
      <w:r>
        <w:rPr>
          <w:rFonts w:eastAsia="仿宋_GB2312"/>
          <w:sz w:val="32"/>
          <w:szCs w:val="32"/>
        </w:rPr>
        <w:t>（款）机关事业单位职业年金缴费支出（项）：反映机关事业单位实施养老保险制度由单位实际缴纳的职业年金支出。</w:t>
      </w:r>
    </w:p>
    <w:p>
      <w:pPr>
        <w:ind w:firstLine="640" w:firstLineChars="200"/>
        <w:rPr>
          <w:rFonts w:eastAsia="仿宋_GB2312"/>
          <w:sz w:val="32"/>
          <w:szCs w:val="32"/>
        </w:rPr>
      </w:pPr>
      <w:r>
        <w:rPr>
          <w:rFonts w:eastAsia="仿宋_GB2312"/>
          <w:sz w:val="32"/>
          <w:szCs w:val="32"/>
        </w:rPr>
        <w:t>10.卫生健康支出（类）行政事业单位医疗（款）事业单位医疗（项）：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eastAsia="仿宋_GB2312"/>
          <w:sz w:val="32"/>
          <w:szCs w:val="32"/>
        </w:rPr>
      </w:pPr>
      <w:r>
        <w:rPr>
          <w:rFonts w:eastAsia="仿宋_GB2312"/>
          <w:sz w:val="32"/>
          <w:szCs w:val="32"/>
        </w:rPr>
        <w:t>11.住房保障支出（类）住房改革支出（款）住房公积金（项）：反映行政事业单位按人力资源和社会保障部、财政部规定的基本工资和津贴补贴以及规定比例为职工缴纳的住房公积金。</w:t>
      </w:r>
    </w:p>
    <w:p>
      <w:pPr>
        <w:spacing w:line="580" w:lineRule="exact"/>
        <w:ind w:firstLine="640" w:firstLineChars="200"/>
        <w:rPr>
          <w:rFonts w:eastAsia="仿宋_GB2312"/>
          <w:sz w:val="32"/>
          <w:szCs w:val="32"/>
        </w:rPr>
      </w:pPr>
      <w:r>
        <w:rPr>
          <w:rFonts w:eastAsia="仿宋_GB2312"/>
          <w:sz w:val="32"/>
          <w:szCs w:val="32"/>
        </w:rPr>
        <w:t>12.基本支出：指为保障机构正常运转、完成日常工作任务而发生的人员支出和公用支出。</w:t>
      </w:r>
    </w:p>
    <w:p>
      <w:pPr>
        <w:spacing w:line="580" w:lineRule="exact"/>
        <w:ind w:firstLine="640" w:firstLineChars="200"/>
        <w:rPr>
          <w:rFonts w:eastAsia="仿宋_GB2312"/>
          <w:sz w:val="32"/>
          <w:szCs w:val="32"/>
        </w:rPr>
      </w:pPr>
      <w:r>
        <w:rPr>
          <w:rFonts w:eastAsia="仿宋_GB2312"/>
          <w:sz w:val="32"/>
          <w:szCs w:val="32"/>
        </w:rPr>
        <w:t xml:space="preserve">13.项目支出：指在基本支出之外为完成特定行政任务和事业发展目标所发生的支出。 </w:t>
      </w:r>
    </w:p>
    <w:p>
      <w:pPr>
        <w:pStyle w:val="23"/>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eastAsia="黑体"/>
          <w:b w:val="0"/>
        </w:rPr>
      </w:pPr>
      <w:r>
        <w:rPr>
          <w:b/>
          <w:sz w:val="44"/>
          <w:szCs w:val="44"/>
        </w:rPr>
        <w:br w:type="page"/>
      </w:r>
      <w:bookmarkStart w:id="53" w:name="_Toc15396614"/>
      <w:r>
        <w:rPr>
          <w:rFonts w:eastAsia="黑体"/>
          <w:sz w:val="44"/>
          <w:szCs w:val="44"/>
        </w:rPr>
        <w:t>第</w:t>
      </w:r>
      <w:r>
        <w:rPr>
          <w:rStyle w:val="25"/>
          <w:rFonts w:eastAsia="黑体"/>
          <w:b w:val="0"/>
        </w:rPr>
        <w:t>四部分 附件</w:t>
      </w:r>
      <w:bookmarkEnd w:id="53"/>
    </w:p>
    <w:p>
      <w:pPr>
        <w:pStyle w:val="33"/>
        <w:spacing w:line="600" w:lineRule="exact"/>
        <w:jc w:val="center"/>
        <w:rPr>
          <w:rFonts w:ascii="Times New Roman" w:hAnsi="Times New Roman" w:eastAsia="方正小标宋简体"/>
          <w:color w:val="auto"/>
          <w:sz w:val="40"/>
          <w:szCs w:val="40"/>
          <w:lang w:val="en-US"/>
        </w:rPr>
      </w:pPr>
    </w:p>
    <w:p>
      <w:pPr>
        <w:pStyle w:val="33"/>
        <w:spacing w:line="600" w:lineRule="exact"/>
        <w:jc w:val="center"/>
        <w:rPr>
          <w:rFonts w:ascii="Times New Roman" w:hAnsi="Times New Roman" w:eastAsia="方正小标宋简体"/>
          <w:color w:val="auto"/>
          <w:sz w:val="40"/>
          <w:szCs w:val="40"/>
          <w:lang w:val="en-US"/>
        </w:rPr>
      </w:pPr>
      <w:r>
        <w:rPr>
          <w:rFonts w:ascii="Times New Roman" w:hAnsi="Times New Roman" w:eastAsia="方正小标宋简体"/>
          <w:color w:val="auto"/>
          <w:sz w:val="40"/>
          <w:szCs w:val="40"/>
          <w:lang w:val="en-US"/>
        </w:rPr>
        <w:t>民族杂志社综合业务经费</w:t>
      </w:r>
    </w:p>
    <w:p>
      <w:pPr>
        <w:pStyle w:val="33"/>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sz w:val="40"/>
          <w:szCs w:val="40"/>
        </w:rPr>
        <w:t>项目支出绩效自评报告</w:t>
      </w:r>
    </w:p>
    <w:p>
      <w:pPr>
        <w:pStyle w:val="33"/>
        <w:spacing w:line="600" w:lineRule="exact"/>
        <w:rPr>
          <w:rFonts w:ascii="Times New Roman" w:hAnsi="Times New Roman"/>
          <w:color w:val="auto"/>
        </w:rPr>
      </w:pPr>
    </w:p>
    <w:p>
      <w:pPr>
        <w:adjustRightInd w:val="0"/>
        <w:snapToGrid w:val="0"/>
        <w:spacing w:line="600" w:lineRule="exact"/>
        <w:ind w:firstLine="720"/>
        <w:rPr>
          <w:rFonts w:eastAsia="仿宋_GB2312"/>
          <w:sz w:val="32"/>
          <w:szCs w:val="32"/>
        </w:rPr>
      </w:pPr>
      <w:r>
        <w:rPr>
          <w:rFonts w:eastAsia="仿宋_GB2312"/>
          <w:sz w:val="32"/>
          <w:szCs w:val="32"/>
        </w:rPr>
        <w:t>根据《财政厅关于开展2021年部门、政策和项目支出绩效评价工作的通知》（川财绩〔2021〕6号）有关要求，为进一步加强和规范专项资金管理，切实提高财政资金使用效益，我委对202</w:t>
      </w:r>
      <w:r>
        <w:rPr>
          <w:rFonts w:hint="eastAsia" w:eastAsia="仿宋_GB2312"/>
          <w:sz w:val="32"/>
          <w:szCs w:val="32"/>
        </w:rPr>
        <w:t>1</w:t>
      </w:r>
      <w:r>
        <w:rPr>
          <w:rFonts w:eastAsia="仿宋_GB2312"/>
          <w:sz w:val="32"/>
          <w:szCs w:val="32"/>
        </w:rPr>
        <w:t>年“民族杂志社综合业务经费”项目开展了绩效自评工作。现将有关情况报告如下：</w:t>
      </w:r>
    </w:p>
    <w:p>
      <w:pPr>
        <w:adjustRightInd w:val="0"/>
        <w:snapToGrid w:val="0"/>
        <w:spacing w:line="600" w:lineRule="exact"/>
        <w:ind w:firstLine="640" w:firstLineChars="200"/>
        <w:rPr>
          <w:rFonts w:eastAsia="黑体"/>
          <w:sz w:val="32"/>
          <w:szCs w:val="32"/>
        </w:rPr>
      </w:pPr>
      <w:r>
        <w:rPr>
          <w:rFonts w:eastAsia="黑体"/>
          <w:sz w:val="32"/>
          <w:szCs w:val="32"/>
        </w:rPr>
        <w:t>一、基本情况</w:t>
      </w:r>
    </w:p>
    <w:p>
      <w:pPr>
        <w:adjustRightInd w:val="0"/>
        <w:snapToGrid w:val="0"/>
        <w:spacing w:line="600" w:lineRule="exact"/>
        <w:ind w:firstLine="720"/>
        <w:rPr>
          <w:rFonts w:eastAsia="仿宋_GB2312"/>
          <w:b/>
          <w:sz w:val="32"/>
          <w:szCs w:val="32"/>
        </w:rPr>
      </w:pPr>
      <w:r>
        <w:rPr>
          <w:rFonts w:eastAsia="仿宋_GB2312"/>
          <w:b/>
          <w:sz w:val="32"/>
          <w:szCs w:val="32"/>
          <w:lang w:val="zh-CN"/>
        </w:rPr>
        <w:t>（一）</w:t>
      </w:r>
      <w:r>
        <w:rPr>
          <w:rFonts w:eastAsia="仿宋_GB2312"/>
          <w:b/>
          <w:sz w:val="32"/>
          <w:szCs w:val="32"/>
        </w:rPr>
        <w:t>项目概况</w:t>
      </w:r>
    </w:p>
    <w:p>
      <w:pPr>
        <w:adjustRightInd w:val="0"/>
        <w:snapToGrid w:val="0"/>
        <w:spacing w:line="600" w:lineRule="exact"/>
        <w:ind w:firstLine="720"/>
        <w:rPr>
          <w:rFonts w:eastAsia="仿宋_GB2312"/>
          <w:b/>
          <w:sz w:val="32"/>
          <w:szCs w:val="32"/>
          <w:lang w:val="zh-CN"/>
        </w:rPr>
      </w:pPr>
      <w:r>
        <w:rPr>
          <w:rFonts w:eastAsia="仿宋_GB2312"/>
          <w:b/>
          <w:sz w:val="32"/>
          <w:szCs w:val="32"/>
        </w:rPr>
        <w:t>1.单位</w:t>
      </w:r>
      <w:r>
        <w:rPr>
          <w:rFonts w:eastAsia="仿宋_GB2312"/>
          <w:b/>
          <w:sz w:val="32"/>
          <w:szCs w:val="32"/>
          <w:lang w:val="zh-CN"/>
        </w:rPr>
        <w:t>基本情况</w:t>
      </w:r>
    </w:p>
    <w:p>
      <w:pPr>
        <w:adjustRightInd w:val="0"/>
        <w:snapToGrid w:val="0"/>
        <w:spacing w:line="600" w:lineRule="exact"/>
        <w:ind w:firstLine="640" w:firstLineChars="200"/>
        <w:rPr>
          <w:rFonts w:eastAsia="仿宋_GB2312"/>
          <w:sz w:val="32"/>
          <w:szCs w:val="32"/>
        </w:rPr>
      </w:pPr>
      <w:r>
        <w:rPr>
          <w:rFonts w:eastAsia="仿宋_GB2312"/>
          <w:sz w:val="32"/>
          <w:szCs w:val="32"/>
        </w:rPr>
        <w:t>民族杂志社隶属于四川省民族宗教事务委员会，是经四川省编办批准成立的事业单位，经费来源为核定收支、定额补助，开办资金5万元。民族杂志社主要负责《民族》杂志和《四川民族宗教》的出版和发行。其中：《民族》杂志是四川省民族宗教委的机关刊物，有汉文、藏文、彝文三个文版，分别于1984年、1987年创刊。</w:t>
      </w:r>
    </w:p>
    <w:p>
      <w:pPr>
        <w:adjustRightInd w:val="0"/>
        <w:snapToGrid w:val="0"/>
        <w:spacing w:line="600" w:lineRule="exact"/>
        <w:ind w:firstLine="640" w:firstLineChars="200"/>
        <w:rPr>
          <w:rFonts w:eastAsia="仿宋_GB2312"/>
          <w:sz w:val="32"/>
          <w:szCs w:val="32"/>
        </w:rPr>
      </w:pPr>
      <w:r>
        <w:rPr>
          <w:rFonts w:eastAsia="仿宋_GB2312"/>
          <w:sz w:val="32"/>
          <w:szCs w:val="32"/>
        </w:rPr>
        <w:t>截</w:t>
      </w:r>
      <w:r>
        <w:rPr>
          <w:rFonts w:hint="eastAsia" w:eastAsia="仿宋_GB2312"/>
          <w:sz w:val="32"/>
          <w:szCs w:val="32"/>
          <w:lang w:eastAsia="zh-CN"/>
        </w:rPr>
        <w:t>至</w:t>
      </w:r>
      <w:r>
        <w:rPr>
          <w:rFonts w:eastAsia="仿宋_GB2312"/>
          <w:sz w:val="32"/>
          <w:szCs w:val="32"/>
        </w:rPr>
        <w:t>2020年末，单位事业编制14人，在职人员1</w:t>
      </w:r>
      <w:r>
        <w:rPr>
          <w:rFonts w:hint="eastAsia" w:eastAsia="仿宋_GB2312"/>
          <w:sz w:val="32"/>
          <w:szCs w:val="32"/>
        </w:rPr>
        <w:t>3</w:t>
      </w:r>
      <w:r>
        <w:rPr>
          <w:rFonts w:eastAsia="仿宋_GB2312"/>
          <w:sz w:val="32"/>
          <w:szCs w:val="32"/>
        </w:rPr>
        <w:t>人，离休人员1人。</w:t>
      </w:r>
    </w:p>
    <w:p>
      <w:pPr>
        <w:adjustRightInd w:val="0"/>
        <w:snapToGrid w:val="0"/>
        <w:spacing w:line="600" w:lineRule="exact"/>
        <w:ind w:firstLine="720"/>
        <w:rPr>
          <w:rFonts w:eastAsia="仿宋_GB2312"/>
          <w:b/>
          <w:sz w:val="32"/>
          <w:szCs w:val="32"/>
        </w:rPr>
      </w:pPr>
      <w:r>
        <w:rPr>
          <w:rFonts w:eastAsia="仿宋_GB2312"/>
          <w:b/>
          <w:sz w:val="32"/>
          <w:szCs w:val="32"/>
        </w:rPr>
        <w:t>2.项目设立基本情况</w:t>
      </w:r>
    </w:p>
    <w:p>
      <w:pPr>
        <w:spacing w:line="600" w:lineRule="exact"/>
        <w:ind w:firstLine="640" w:firstLineChars="200"/>
        <w:jc w:val="left"/>
        <w:rPr>
          <w:rFonts w:eastAsia="仿宋_GB2312"/>
          <w:b/>
          <w:sz w:val="32"/>
          <w:szCs w:val="32"/>
          <w:lang w:val="zh-CN"/>
        </w:rPr>
      </w:pPr>
      <w:r>
        <w:rPr>
          <w:rFonts w:eastAsia="仿宋_GB2312"/>
          <w:sz w:val="32"/>
          <w:szCs w:val="32"/>
        </w:rPr>
        <w:t>四川是一个多民族大省，少数民族人口500多万，民族地区面积占全省的62.9%，有我国第二大藏族聚居区、最大的彝族聚居区和唯一的羌族居住区。同时四川也是宗教工作重点省份，五大教齐全，民族宗教工作极其重要。《民族》杂志藏文版是国内为数不多的几家公开发行的藏文期刊，彝文版是国内目前唯一公开发行的彝文综合性期刊。《民族》和《四川民族宗教》以习近平新时代中国特色社会主义思想为指导，紧紧围绕铸牢中华民族共同体意识民族工作主线和坚持我国宗教中国化方向，为搞好民族宗教领域的宣传工作，加强民族团结进步教育，反对分裂，维护社会稳定，营造民族团结进步的舆论氛围，开创全省的民族宗教工作新局面，实现民族地区和少数民族的同步小康提供了坚实的保证。为切实保障《民族》和《四川民族宗教》杂志的出版、发行工作，设立了“民族杂志社综合业务经费”项目，并作为常年项目予以保留。</w:t>
      </w:r>
    </w:p>
    <w:p>
      <w:pPr>
        <w:adjustRightInd w:val="0"/>
        <w:snapToGrid w:val="0"/>
        <w:spacing w:line="600" w:lineRule="exact"/>
        <w:ind w:firstLine="720"/>
        <w:rPr>
          <w:rFonts w:eastAsia="仿宋_GB2312"/>
          <w:b/>
          <w:sz w:val="32"/>
          <w:szCs w:val="32"/>
        </w:rPr>
      </w:pPr>
      <w:r>
        <w:rPr>
          <w:rFonts w:eastAsia="仿宋_GB2312"/>
          <w:b/>
          <w:sz w:val="32"/>
          <w:szCs w:val="32"/>
          <w:lang w:val="zh-CN"/>
        </w:rPr>
        <w:t>（</w:t>
      </w:r>
      <w:r>
        <w:rPr>
          <w:rFonts w:eastAsia="仿宋_GB2312"/>
          <w:b/>
          <w:sz w:val="32"/>
          <w:szCs w:val="32"/>
        </w:rPr>
        <w:t>二</w:t>
      </w:r>
      <w:r>
        <w:rPr>
          <w:rFonts w:eastAsia="仿宋_GB2312"/>
          <w:b/>
          <w:sz w:val="32"/>
          <w:szCs w:val="32"/>
          <w:lang w:val="zh-CN"/>
        </w:rPr>
        <w:t>）项目绩效目标</w:t>
      </w:r>
      <w:r>
        <w:rPr>
          <w:rFonts w:eastAsia="仿宋_GB2312"/>
          <w:b/>
          <w:sz w:val="32"/>
          <w:szCs w:val="32"/>
        </w:rPr>
        <w:t>设置情况</w:t>
      </w:r>
    </w:p>
    <w:p>
      <w:pPr>
        <w:spacing w:line="600" w:lineRule="exact"/>
        <w:ind w:firstLine="640" w:firstLineChars="200"/>
        <w:contextualSpacing/>
        <w:rPr>
          <w:rFonts w:eastAsia="仿宋_GB2312"/>
          <w:sz w:val="32"/>
          <w:szCs w:val="32"/>
        </w:rPr>
      </w:pPr>
      <w:r>
        <w:rPr>
          <w:rFonts w:eastAsia="仿宋_GB2312"/>
          <w:sz w:val="32"/>
          <w:szCs w:val="32"/>
        </w:rPr>
        <w:t>按照绩效目标设置的要求，民族杂志社具体细化量化了三级指标，共计设置绩效目标14项。其中：数量指标4项，用于量化4类杂志发行数量；质量指标1项，用于衡量杂志出版发行质量；时效指标1项，用于量化按期发行率；成本指标3项，用于量化印刷费、劳务费、委托业务费成本；经济效益指标1项，用于衡量资金使用效果；社会效益指标1项，用于衡量杂志发行产生的社会效益；生态效益指标1项，用于量化杂志使用环保纸张的效果；可持续影响指标1项，用于衡量杂志产生的宣传效益；满意度指标1项，用于量化杂志阅读者的满意度水平。</w:t>
      </w:r>
    </w:p>
    <w:p>
      <w:pPr>
        <w:adjustRightInd w:val="0"/>
        <w:snapToGrid w:val="0"/>
        <w:spacing w:line="600" w:lineRule="exact"/>
        <w:ind w:firstLine="720"/>
        <w:rPr>
          <w:rFonts w:eastAsia="仿宋_GB2312"/>
          <w:b/>
          <w:sz w:val="32"/>
          <w:szCs w:val="32"/>
          <w:lang w:val="zh-CN"/>
        </w:rPr>
      </w:pPr>
      <w:r>
        <w:rPr>
          <w:rFonts w:eastAsia="仿宋_GB2312"/>
          <w:b/>
          <w:sz w:val="32"/>
          <w:szCs w:val="32"/>
          <w:lang w:val="zh-CN"/>
        </w:rPr>
        <w:t>（</w:t>
      </w:r>
      <w:r>
        <w:rPr>
          <w:rFonts w:eastAsia="仿宋_GB2312"/>
          <w:b/>
          <w:sz w:val="32"/>
          <w:szCs w:val="32"/>
        </w:rPr>
        <w:t>三</w:t>
      </w:r>
      <w:r>
        <w:rPr>
          <w:rFonts w:eastAsia="仿宋_GB2312"/>
          <w:b/>
          <w:sz w:val="32"/>
          <w:szCs w:val="32"/>
          <w:lang w:val="zh-CN"/>
        </w:rPr>
        <w:t>）资金投入</w:t>
      </w:r>
      <w:r>
        <w:rPr>
          <w:rFonts w:eastAsia="仿宋_GB2312"/>
          <w:b/>
          <w:sz w:val="32"/>
          <w:szCs w:val="32"/>
        </w:rPr>
        <w:t>及项目实施</w:t>
      </w:r>
      <w:r>
        <w:rPr>
          <w:rFonts w:eastAsia="仿宋_GB2312"/>
          <w:b/>
          <w:sz w:val="32"/>
          <w:szCs w:val="32"/>
          <w:lang w:val="zh-CN"/>
        </w:rPr>
        <w:t>情况</w:t>
      </w:r>
    </w:p>
    <w:p>
      <w:pPr>
        <w:numPr>
          <w:ilvl w:val="255"/>
          <w:numId w:val="0"/>
        </w:numPr>
        <w:adjustRightInd w:val="0"/>
        <w:snapToGrid w:val="0"/>
        <w:spacing w:line="600" w:lineRule="exact"/>
        <w:ind w:firstLine="720"/>
        <w:jc w:val="left"/>
        <w:rPr>
          <w:rFonts w:eastAsia="仿宋_GB2312"/>
          <w:sz w:val="32"/>
          <w:szCs w:val="32"/>
        </w:rPr>
      </w:pPr>
      <w:r>
        <w:rPr>
          <w:rFonts w:eastAsia="仿宋_GB2312"/>
          <w:sz w:val="32"/>
          <w:szCs w:val="32"/>
        </w:rPr>
        <w:t>2020年，“民族杂志社综合业务经费”项目总预算</w:t>
      </w:r>
      <w:r>
        <w:rPr>
          <w:rFonts w:hint="eastAsia" w:eastAsia="仿宋_GB2312"/>
          <w:sz w:val="32"/>
          <w:szCs w:val="32"/>
        </w:rPr>
        <w:t>99.5</w:t>
      </w:r>
      <w:r>
        <w:rPr>
          <w:rFonts w:eastAsia="仿宋_GB2312"/>
          <w:sz w:val="32"/>
          <w:szCs w:val="32"/>
        </w:rPr>
        <w:t>万元，其中：劳务费75万、委托业务费2</w:t>
      </w:r>
      <w:r>
        <w:rPr>
          <w:rFonts w:hint="eastAsia" w:eastAsia="仿宋_GB2312"/>
          <w:sz w:val="32"/>
          <w:szCs w:val="32"/>
        </w:rPr>
        <w:t>4.5</w:t>
      </w:r>
      <w:r>
        <w:rPr>
          <w:rFonts w:eastAsia="仿宋_GB2312"/>
          <w:sz w:val="32"/>
          <w:szCs w:val="32"/>
        </w:rPr>
        <w:t>万。根据项目预算绩效管理要求，民族杂志社负责项目资金管理和具体实施。项目资金的主要用途为：一是保障《民族》汉藏彝三个文版以及《四川民族宗教》全年共24期的印刷出版和发行；二是保障杂志的正常办刊及运作，按时发放和缴纳聘用人员的工资及社会保险，按期发放稿费审定费等;三是保障杂志打样、美编、设计、邮发等出版发行工作；四是保障办刊的其他工作。</w:t>
      </w:r>
    </w:p>
    <w:p>
      <w:pPr>
        <w:numPr>
          <w:ilvl w:val="255"/>
          <w:numId w:val="0"/>
        </w:numPr>
        <w:adjustRightInd w:val="0"/>
        <w:snapToGrid w:val="0"/>
        <w:spacing w:line="600" w:lineRule="exact"/>
        <w:ind w:firstLine="720"/>
        <w:jc w:val="left"/>
        <w:rPr>
          <w:rFonts w:eastAsia="仿宋_GB2312"/>
          <w:sz w:val="32"/>
          <w:szCs w:val="32"/>
        </w:rPr>
      </w:pPr>
      <w:r>
        <w:rPr>
          <w:rFonts w:eastAsia="仿宋_GB2312"/>
          <w:sz w:val="32"/>
          <w:szCs w:val="32"/>
        </w:rPr>
        <w:t>全年，项目支出共计</w:t>
      </w:r>
      <w:r>
        <w:rPr>
          <w:rFonts w:hint="eastAsia" w:eastAsia="仿宋_GB2312"/>
          <w:sz w:val="32"/>
          <w:szCs w:val="32"/>
        </w:rPr>
        <w:t>99.5</w:t>
      </w:r>
      <w:r>
        <w:rPr>
          <w:rFonts w:eastAsia="仿宋_GB2312"/>
          <w:sz w:val="32"/>
          <w:szCs w:val="32"/>
        </w:rPr>
        <w:t>万元，预算执行率为</w:t>
      </w:r>
      <w:r>
        <w:rPr>
          <w:rFonts w:hint="eastAsia" w:eastAsia="仿宋_GB2312"/>
          <w:sz w:val="32"/>
          <w:szCs w:val="32"/>
        </w:rPr>
        <w:t>100</w:t>
      </w:r>
      <w:r>
        <w:rPr>
          <w:rFonts w:eastAsia="仿宋_GB2312"/>
          <w:sz w:val="32"/>
          <w:szCs w:val="32"/>
        </w:rPr>
        <w:t>%。</w:t>
      </w:r>
    </w:p>
    <w:p>
      <w:pPr>
        <w:snapToGrid w:val="0"/>
        <w:spacing w:line="600" w:lineRule="exact"/>
        <w:ind w:firstLine="640" w:firstLineChars="200"/>
        <w:rPr>
          <w:rFonts w:eastAsia="黑体"/>
          <w:sz w:val="32"/>
          <w:szCs w:val="32"/>
        </w:rPr>
      </w:pPr>
      <w:r>
        <w:rPr>
          <w:rFonts w:eastAsia="黑体"/>
          <w:sz w:val="32"/>
          <w:szCs w:val="32"/>
        </w:rPr>
        <w:t>二、评价工作开展情况</w:t>
      </w:r>
    </w:p>
    <w:p>
      <w:pPr>
        <w:snapToGrid w:val="0"/>
        <w:spacing w:line="600" w:lineRule="exact"/>
        <w:ind w:firstLine="643" w:firstLineChars="200"/>
        <w:rPr>
          <w:rFonts w:eastAsia="仿宋_GB2312"/>
          <w:sz w:val="32"/>
          <w:szCs w:val="32"/>
        </w:rPr>
      </w:pPr>
      <w:r>
        <w:rPr>
          <w:rFonts w:eastAsia="仿宋_GB2312"/>
          <w:b/>
          <w:sz w:val="32"/>
          <w:szCs w:val="32"/>
          <w:lang w:val="zh-CN"/>
        </w:rPr>
        <w:t>（一）评价组织情况</w:t>
      </w:r>
    </w:p>
    <w:p>
      <w:pPr>
        <w:snapToGrid w:val="0"/>
        <w:spacing w:line="600" w:lineRule="exact"/>
        <w:ind w:firstLine="640" w:firstLineChars="200"/>
        <w:rPr>
          <w:rFonts w:eastAsia="仿宋_GB2312"/>
          <w:sz w:val="32"/>
          <w:szCs w:val="32"/>
        </w:rPr>
      </w:pPr>
      <w:r>
        <w:rPr>
          <w:rFonts w:eastAsia="仿宋_GB2312"/>
          <w:sz w:val="32"/>
          <w:szCs w:val="32"/>
        </w:rPr>
        <w:t>本次绩效评价按照前期准备、单位自评、部门复评、报告撰写四个阶段，组织实施项目绩效评价工作。</w:t>
      </w:r>
    </w:p>
    <w:p>
      <w:pPr>
        <w:snapToGrid w:val="0"/>
        <w:spacing w:line="600" w:lineRule="exact"/>
        <w:ind w:firstLine="643" w:firstLineChars="200"/>
        <w:rPr>
          <w:rFonts w:eastAsia="仿宋_GB2312"/>
          <w:sz w:val="32"/>
          <w:szCs w:val="32"/>
        </w:rPr>
      </w:pPr>
      <w:r>
        <w:rPr>
          <w:rFonts w:eastAsia="仿宋_GB2312"/>
          <w:b/>
          <w:sz w:val="32"/>
          <w:szCs w:val="32"/>
          <w:lang w:val="zh-CN"/>
        </w:rPr>
        <w:t>（二）评价指标体系</w:t>
      </w:r>
    </w:p>
    <w:p>
      <w:pPr>
        <w:snapToGrid w:val="0"/>
        <w:spacing w:line="600" w:lineRule="exact"/>
        <w:ind w:firstLine="640" w:firstLineChars="200"/>
        <w:rPr>
          <w:rFonts w:eastAsia="仿宋_GB2312"/>
          <w:sz w:val="32"/>
          <w:szCs w:val="32"/>
        </w:rPr>
      </w:pPr>
      <w:r>
        <w:rPr>
          <w:rFonts w:eastAsia="仿宋_GB2312"/>
          <w:sz w:val="32"/>
          <w:szCs w:val="32"/>
        </w:rPr>
        <w:t>根据绩效评价工作部署要求，省民族宗教委细化制定了《省民族宗教委2021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keepNext w:val="0"/>
        <w:keepLines w:val="0"/>
        <w:pageBreakBefore w:val="0"/>
        <w:widowControl w:val="0"/>
        <w:kinsoku/>
        <w:wordWrap/>
        <w:overflowPunct/>
        <w:topLinePunct w:val="0"/>
        <w:autoSpaceDE/>
        <w:autoSpaceDN/>
        <w:bidi w:val="0"/>
        <w:adjustRightInd/>
        <w:snapToGrid w:val="0"/>
        <w:spacing w:line="600" w:lineRule="exact"/>
        <w:ind w:firstLine="641" w:firstLineChars="0"/>
        <w:textAlignment w:val="auto"/>
        <w:rPr>
          <w:rFonts w:eastAsia="仿宋_GB2312"/>
          <w:sz w:val="32"/>
          <w:szCs w:val="32"/>
        </w:rPr>
      </w:pPr>
      <w:r>
        <w:rPr>
          <w:rFonts w:eastAsia="仿宋_GB2312"/>
          <w:b/>
          <w:sz w:val="32"/>
          <w:szCs w:val="32"/>
          <w:lang w:val="zh-CN"/>
        </w:rPr>
        <w:t>（三）评价方法和评价标准等内容</w:t>
      </w:r>
    </w:p>
    <w:p>
      <w:pPr>
        <w:snapToGrid w:val="0"/>
        <w:spacing w:line="600" w:lineRule="exact"/>
        <w:ind w:firstLine="640" w:firstLineChars="200"/>
        <w:rPr>
          <w:rFonts w:eastAsia="仿宋_GB2312"/>
          <w:sz w:val="32"/>
          <w:szCs w:val="32"/>
        </w:rPr>
      </w:pPr>
      <w:r>
        <w:rPr>
          <w:rFonts w:eastAsia="仿宋_GB2312"/>
          <w:sz w:val="32"/>
          <w:szCs w:val="32"/>
        </w:rPr>
        <w:t>在整理汇总出刊情况资料、明确评价指标及评价标准的基础上，查看资金实施及运行情况，收集相关数据资料，通过汇总整理，通过定量和定性分析，形成评价结论并形成绩效评价自评报告。</w:t>
      </w:r>
    </w:p>
    <w:p>
      <w:pPr>
        <w:numPr>
          <w:ilvl w:val="0"/>
          <w:numId w:val="4"/>
        </w:numPr>
        <w:snapToGrid w:val="0"/>
        <w:spacing w:line="600" w:lineRule="exact"/>
        <w:ind w:firstLine="640" w:firstLineChars="200"/>
        <w:rPr>
          <w:rFonts w:eastAsia="黑体"/>
          <w:sz w:val="32"/>
          <w:szCs w:val="32"/>
        </w:rPr>
      </w:pPr>
      <w:r>
        <w:rPr>
          <w:rFonts w:eastAsia="黑体"/>
          <w:sz w:val="32"/>
          <w:szCs w:val="32"/>
        </w:rPr>
        <w:t>综合评价结论</w:t>
      </w:r>
    </w:p>
    <w:p>
      <w:pPr>
        <w:snapToGrid w:val="0"/>
        <w:spacing w:line="600" w:lineRule="exact"/>
        <w:ind w:firstLine="640" w:firstLineChars="200"/>
        <w:rPr>
          <w:rFonts w:eastAsia="仿宋_GB2312"/>
          <w:sz w:val="32"/>
          <w:szCs w:val="32"/>
        </w:rPr>
      </w:pPr>
      <w:r>
        <w:rPr>
          <w:rFonts w:eastAsia="仿宋_GB2312"/>
          <w:sz w:val="32"/>
          <w:szCs w:val="32"/>
        </w:rPr>
        <w:t>按照《省民族宗教委2021年度部门预算项目支出绩效评价指标体系》，单位自评得分8</w:t>
      </w:r>
      <w:r>
        <w:rPr>
          <w:rFonts w:hint="eastAsia" w:eastAsia="仿宋_GB2312"/>
          <w:sz w:val="32"/>
          <w:szCs w:val="32"/>
        </w:rPr>
        <w:t>5.6</w:t>
      </w:r>
      <w:r>
        <w:rPr>
          <w:rFonts w:eastAsia="仿宋_GB2312"/>
          <w:sz w:val="32"/>
          <w:szCs w:val="32"/>
        </w:rPr>
        <w:t>分，部门考核自评质量得分10分，总计得分为9</w:t>
      </w:r>
      <w:r>
        <w:rPr>
          <w:rFonts w:hint="eastAsia" w:eastAsia="仿宋_GB2312"/>
          <w:sz w:val="32"/>
          <w:szCs w:val="32"/>
        </w:rPr>
        <w:t>5</w:t>
      </w:r>
      <w:r>
        <w:rPr>
          <w:rFonts w:eastAsia="仿宋_GB2312"/>
          <w:sz w:val="32"/>
          <w:szCs w:val="32"/>
        </w:rPr>
        <w:t>.6分。</w:t>
      </w:r>
    </w:p>
    <w:p>
      <w:pPr>
        <w:snapToGrid w:val="0"/>
        <w:spacing w:line="600" w:lineRule="exact"/>
        <w:ind w:firstLine="640" w:firstLineChars="200"/>
        <w:rPr>
          <w:rFonts w:eastAsia="仿宋_GB2312"/>
          <w:sz w:val="32"/>
          <w:szCs w:val="32"/>
        </w:rPr>
      </w:pPr>
      <w:r>
        <w:rPr>
          <w:rFonts w:eastAsia="仿宋_GB2312"/>
          <w:sz w:val="32"/>
          <w:szCs w:val="32"/>
        </w:rPr>
        <w:t>扣分原因说明：</w:t>
      </w:r>
    </w:p>
    <w:p>
      <w:pPr>
        <w:snapToGrid w:val="0"/>
        <w:spacing w:line="600" w:lineRule="exact"/>
        <w:ind w:firstLine="640" w:firstLineChars="200"/>
        <w:rPr>
          <w:rFonts w:eastAsia="仿宋_GB2312"/>
          <w:sz w:val="32"/>
          <w:szCs w:val="32"/>
        </w:rPr>
      </w:pPr>
      <w:r>
        <w:rPr>
          <w:rFonts w:eastAsia="仿宋_GB2312"/>
          <w:sz w:val="32"/>
          <w:szCs w:val="32"/>
        </w:rPr>
        <w:t>1.目标制定：绩效目标细化量化上尚不完善，按评分要求扣1分。</w:t>
      </w:r>
    </w:p>
    <w:p>
      <w:pPr>
        <w:snapToGrid w:val="0"/>
        <w:spacing w:line="600" w:lineRule="exact"/>
        <w:ind w:firstLine="640" w:firstLineChars="200"/>
        <w:rPr>
          <w:rFonts w:eastAsia="仿宋_GB2312"/>
          <w:sz w:val="32"/>
          <w:szCs w:val="32"/>
        </w:rPr>
      </w:pPr>
      <w:r>
        <w:rPr>
          <w:rFonts w:eastAsia="仿宋_GB2312"/>
          <w:sz w:val="32"/>
          <w:szCs w:val="32"/>
        </w:rPr>
        <w:t>2.目标实现：《四川民族宗教》第四期未按期出版，按评分要求扣1.4分。</w:t>
      </w:r>
    </w:p>
    <w:p>
      <w:pPr>
        <w:snapToGrid w:val="0"/>
        <w:spacing w:line="600" w:lineRule="exact"/>
        <w:ind w:firstLine="640" w:firstLineChars="200"/>
        <w:rPr>
          <w:rFonts w:eastAsia="仿宋_GB2312"/>
          <w:sz w:val="32"/>
          <w:szCs w:val="32"/>
        </w:rPr>
      </w:pPr>
      <w:r>
        <w:rPr>
          <w:rFonts w:eastAsia="仿宋_GB2312"/>
          <w:sz w:val="32"/>
          <w:szCs w:val="32"/>
        </w:rPr>
        <w:t>3.执行进度：因受疫情等原因影响，</w:t>
      </w:r>
      <w:r>
        <w:rPr>
          <w:rFonts w:hint="eastAsia" w:eastAsia="仿宋_GB2312"/>
          <w:sz w:val="32"/>
          <w:szCs w:val="32"/>
        </w:rPr>
        <w:t>项目1-6月未完成进度要求</w:t>
      </w:r>
      <w:r>
        <w:rPr>
          <w:rFonts w:eastAsia="仿宋_GB2312"/>
          <w:sz w:val="32"/>
          <w:szCs w:val="32"/>
        </w:rPr>
        <w:t>造成扣2分。</w:t>
      </w:r>
    </w:p>
    <w:p>
      <w:pPr>
        <w:snapToGrid w:val="0"/>
        <w:spacing w:line="600" w:lineRule="exact"/>
        <w:ind w:firstLine="640" w:firstLineChars="200"/>
        <w:rPr>
          <w:rFonts w:eastAsia="黑体"/>
          <w:bCs/>
          <w:sz w:val="32"/>
          <w:szCs w:val="32"/>
        </w:rPr>
      </w:pPr>
      <w:r>
        <w:rPr>
          <w:rFonts w:eastAsia="黑体"/>
          <w:bCs/>
          <w:sz w:val="32"/>
          <w:szCs w:val="32"/>
        </w:rPr>
        <w:t>四、绩效评价分析</w:t>
      </w:r>
    </w:p>
    <w:p>
      <w:pPr>
        <w:snapToGrid w:val="0"/>
        <w:spacing w:line="600" w:lineRule="exact"/>
        <w:ind w:firstLine="643" w:firstLineChars="200"/>
        <w:rPr>
          <w:rFonts w:eastAsia="仿宋_GB2312"/>
          <w:b/>
          <w:sz w:val="32"/>
          <w:szCs w:val="32"/>
        </w:rPr>
      </w:pPr>
      <w:r>
        <w:rPr>
          <w:rFonts w:eastAsia="仿宋_GB2312"/>
          <w:b/>
          <w:sz w:val="32"/>
          <w:szCs w:val="32"/>
        </w:rPr>
        <w:t>（一）项目决策情况</w:t>
      </w:r>
    </w:p>
    <w:p>
      <w:pPr>
        <w:snapToGrid w:val="0"/>
        <w:spacing w:line="600" w:lineRule="exact"/>
        <w:ind w:firstLine="640" w:firstLineChars="200"/>
        <w:rPr>
          <w:rFonts w:eastAsia="仿宋_GB2312"/>
          <w:sz w:val="32"/>
          <w:szCs w:val="32"/>
        </w:rPr>
      </w:pPr>
      <w:r>
        <w:rPr>
          <w:rFonts w:eastAsia="仿宋_GB2312"/>
          <w:sz w:val="32"/>
          <w:szCs w:val="32"/>
        </w:rPr>
        <w:t>1.决策依据充分。依据铸牢中华民族共同体意识民族工作主线和坚持我国宗教中国化方向，为搞好民族宗教领域的宣传工作，加强民族团结进步教育，反对分裂，维护社会稳定，营造民族团结进步的舆论氛围，开创全省的民族宗教工作新局面，实现民族地区和少数民族的同步小康提供了坚实的保证的要求。</w:t>
      </w:r>
    </w:p>
    <w:p>
      <w:pPr>
        <w:snapToGrid w:val="0"/>
        <w:spacing w:line="600" w:lineRule="exact"/>
        <w:ind w:firstLine="640" w:firstLineChars="200"/>
        <w:rPr>
          <w:rFonts w:eastAsia="仿宋_GB2312"/>
          <w:sz w:val="32"/>
          <w:szCs w:val="32"/>
        </w:rPr>
      </w:pPr>
      <w:r>
        <w:rPr>
          <w:rFonts w:eastAsia="仿宋_GB2312"/>
          <w:sz w:val="32"/>
          <w:szCs w:val="32"/>
        </w:rPr>
        <w:t>2.决策程序严谨。通过社务会集中决策并按照预算编制要求，于年初预算编制时，填报了《部门预算项目立项审核表》，报经委计财处审定。</w:t>
      </w:r>
    </w:p>
    <w:p>
      <w:pPr>
        <w:snapToGrid w:val="0"/>
        <w:spacing w:line="600" w:lineRule="exact"/>
        <w:ind w:firstLine="640" w:firstLineChars="200"/>
        <w:rPr>
          <w:rFonts w:eastAsia="仿宋_GB2312"/>
          <w:sz w:val="32"/>
          <w:szCs w:val="32"/>
        </w:rPr>
      </w:pPr>
      <w:r>
        <w:rPr>
          <w:rFonts w:eastAsia="仿宋_GB2312"/>
          <w:sz w:val="32"/>
          <w:szCs w:val="32"/>
        </w:rPr>
        <w:t>3.成本核算科学。相关经费预算，严格按照相关业务成本进行测算，坚持“厉行节约”，确保财政资金使用绩效。</w:t>
      </w:r>
    </w:p>
    <w:p>
      <w:pPr>
        <w:snapToGrid w:val="0"/>
        <w:spacing w:line="600" w:lineRule="exact"/>
        <w:ind w:firstLine="643" w:firstLineChars="200"/>
        <w:rPr>
          <w:rFonts w:eastAsia="仿宋_GB2312"/>
          <w:b/>
          <w:sz w:val="32"/>
          <w:szCs w:val="32"/>
        </w:rPr>
      </w:pPr>
      <w:r>
        <w:rPr>
          <w:rFonts w:eastAsia="仿宋_GB2312"/>
          <w:b/>
          <w:sz w:val="32"/>
          <w:szCs w:val="32"/>
        </w:rPr>
        <w:t>（二）项目管理情况</w:t>
      </w:r>
    </w:p>
    <w:p>
      <w:pPr>
        <w:snapToGrid w:val="0"/>
        <w:spacing w:line="600" w:lineRule="exact"/>
        <w:ind w:firstLine="640" w:firstLineChars="200"/>
        <w:rPr>
          <w:rFonts w:eastAsia="仿宋_GB2312"/>
          <w:sz w:val="32"/>
          <w:szCs w:val="32"/>
        </w:rPr>
      </w:pPr>
      <w:r>
        <w:rPr>
          <w:rFonts w:eastAsia="仿宋_GB2312"/>
          <w:sz w:val="32"/>
          <w:szCs w:val="32"/>
        </w:rPr>
        <w:t>项目支出均按照有关规章制度和项目实施完成情况进行支付。专项经费使用由办公室为主管理，各编辑部协助，严格按照委相关财务管理制度执行，并按要求完善记录，确保专款专用。</w:t>
      </w:r>
    </w:p>
    <w:p>
      <w:pPr>
        <w:snapToGrid w:val="0"/>
        <w:spacing w:line="600" w:lineRule="exact"/>
        <w:ind w:firstLine="643" w:firstLineChars="200"/>
        <w:rPr>
          <w:rFonts w:eastAsia="仿宋_GB2312"/>
          <w:b/>
          <w:sz w:val="32"/>
          <w:szCs w:val="32"/>
        </w:rPr>
      </w:pPr>
      <w:r>
        <w:rPr>
          <w:rFonts w:eastAsia="仿宋_GB2312"/>
          <w:b/>
          <w:sz w:val="32"/>
          <w:szCs w:val="32"/>
        </w:rPr>
        <w:t>（三）项目产出情况</w:t>
      </w:r>
    </w:p>
    <w:p>
      <w:pPr>
        <w:snapToGrid w:val="0"/>
        <w:spacing w:line="600" w:lineRule="exact"/>
        <w:ind w:firstLine="640" w:firstLineChars="200"/>
        <w:rPr>
          <w:rFonts w:eastAsia="仿宋_GB2312"/>
          <w:sz w:val="32"/>
          <w:szCs w:val="32"/>
        </w:rPr>
      </w:pPr>
      <w:r>
        <w:rPr>
          <w:rFonts w:eastAsia="仿宋_GB2312"/>
          <w:sz w:val="32"/>
          <w:szCs w:val="32"/>
        </w:rPr>
        <w:t>有效保障了每期稿费发放，以及编外职工的工资及社会保险缴纳。按时保质出刊《民族》杂志汉文版12期、藏文版4期、彝文版4期、《四川民族宗教》3期。</w:t>
      </w:r>
    </w:p>
    <w:p>
      <w:pPr>
        <w:snapToGrid w:val="0"/>
        <w:spacing w:line="600" w:lineRule="exact"/>
        <w:ind w:firstLine="643" w:firstLineChars="200"/>
        <w:rPr>
          <w:rFonts w:eastAsia="仿宋_GB2312"/>
          <w:b/>
          <w:sz w:val="32"/>
          <w:szCs w:val="32"/>
        </w:rPr>
      </w:pPr>
      <w:r>
        <w:rPr>
          <w:rFonts w:eastAsia="仿宋_GB2312"/>
          <w:b/>
          <w:sz w:val="32"/>
          <w:szCs w:val="32"/>
        </w:rPr>
        <w:t>（四）项目效益情况</w:t>
      </w:r>
    </w:p>
    <w:p>
      <w:pPr>
        <w:snapToGrid w:val="0"/>
        <w:spacing w:line="600" w:lineRule="exact"/>
        <w:ind w:firstLine="640" w:firstLineChars="200"/>
        <w:rPr>
          <w:rFonts w:eastAsia="仿宋_GB2312"/>
          <w:sz w:val="32"/>
          <w:szCs w:val="32"/>
        </w:rPr>
      </w:pPr>
      <w:r>
        <w:rPr>
          <w:rFonts w:hint="eastAsia" w:eastAsia="仿宋_GB2312"/>
          <w:sz w:val="32"/>
          <w:szCs w:val="32"/>
        </w:rPr>
        <w:t>一是在《民族》杂志汉、藏、彝三个文版开设“铸牢中华民族共同体意识”专栏，登载相关理论文章，介绍四川实践。</w:t>
      </w:r>
    </w:p>
    <w:p>
      <w:pPr>
        <w:snapToGrid w:val="0"/>
        <w:spacing w:line="600" w:lineRule="exact"/>
        <w:ind w:firstLine="640" w:firstLineChars="200"/>
        <w:rPr>
          <w:rFonts w:eastAsia="仿宋_GB2312"/>
          <w:sz w:val="32"/>
          <w:szCs w:val="32"/>
        </w:rPr>
      </w:pPr>
      <w:r>
        <w:rPr>
          <w:rFonts w:hint="eastAsia" w:eastAsia="仿宋_GB2312"/>
          <w:sz w:val="32"/>
          <w:szCs w:val="32"/>
        </w:rPr>
        <w:t>二是积极开展庆祝中国共产党建党100周年和党史学习教育主题宣传报道。在《民族》汉文版开设“奋斗百年路 启航新征程”栏目，深度报道省民族宗教委开展党史学习教育情况；选载红色历史故事，回顾党的光辉历程，赓续红色文化，传承革命传统。</w:t>
      </w:r>
    </w:p>
    <w:p>
      <w:pPr>
        <w:snapToGrid w:val="0"/>
        <w:spacing w:line="600" w:lineRule="exact"/>
        <w:ind w:firstLine="640" w:firstLineChars="200"/>
        <w:rPr>
          <w:rFonts w:eastAsia="仿宋_GB2312"/>
          <w:sz w:val="32"/>
          <w:szCs w:val="32"/>
        </w:rPr>
      </w:pPr>
      <w:r>
        <w:rPr>
          <w:rFonts w:hint="eastAsia" w:eastAsia="仿宋_GB2312"/>
          <w:sz w:val="32"/>
          <w:szCs w:val="32"/>
        </w:rPr>
        <w:t>三是完成《民族》汉文版第6期“庆祝中国共产党成立100周年暨党史学习教育”宣传专刊。该期专刊入选2021年第二十八届北京国际图书博览会（BIBF)“中国共产党建党100周年主题宣传精品期刊展”。</w:t>
      </w:r>
    </w:p>
    <w:p>
      <w:pPr>
        <w:snapToGrid w:val="0"/>
        <w:spacing w:line="600" w:lineRule="exact"/>
        <w:ind w:firstLine="640" w:firstLineChars="200"/>
        <w:rPr>
          <w:rFonts w:eastAsia="仿宋_GB2312"/>
          <w:sz w:val="32"/>
          <w:szCs w:val="32"/>
        </w:rPr>
      </w:pPr>
      <w:r>
        <w:rPr>
          <w:rFonts w:hint="eastAsia" w:eastAsia="仿宋_GB2312"/>
          <w:sz w:val="32"/>
          <w:szCs w:val="32"/>
        </w:rPr>
        <w:t>四是推出学习贯彻中央民族工作会议精神系列访谈文章，《民族》汉文版4期共登载17个市州民族宗教委（局）负责人及1个县主要领导的访谈文章。</w:t>
      </w:r>
    </w:p>
    <w:p>
      <w:pPr>
        <w:snapToGrid w:val="0"/>
        <w:spacing w:line="600" w:lineRule="exact"/>
        <w:ind w:firstLine="640" w:firstLineChars="200"/>
        <w:rPr>
          <w:rFonts w:eastAsia="仿宋_GB2312"/>
          <w:sz w:val="32"/>
          <w:szCs w:val="32"/>
        </w:rPr>
      </w:pPr>
      <w:r>
        <w:rPr>
          <w:rFonts w:hint="eastAsia" w:eastAsia="仿宋_GB2312"/>
          <w:sz w:val="32"/>
          <w:szCs w:val="32"/>
        </w:rPr>
        <w:t>五是精心组织特别策划和专题策划，不断推出特色栏目，力争做到期期有亮点，本本有新意。先后推出了“走进特色村寨 感受美丽乡情”“民族团结进步创建在路上”“社区--我们共同的家”“学习国家通用语言文字 共享团结发展幸福生活”“今日彝乡 见证巨变”“沐浴党的恩情 见证小康阿坝”“提高质量 创新发展”等10多个特色栏目。</w:t>
      </w:r>
    </w:p>
    <w:p>
      <w:pPr>
        <w:snapToGrid w:val="0"/>
        <w:spacing w:line="600" w:lineRule="exact"/>
        <w:ind w:firstLine="640" w:firstLineChars="200"/>
        <w:rPr>
          <w:rFonts w:eastAsia="仿宋_GB2312"/>
          <w:sz w:val="32"/>
          <w:szCs w:val="32"/>
        </w:rPr>
      </w:pPr>
      <w:r>
        <w:rPr>
          <w:rFonts w:hint="eastAsia" w:eastAsia="仿宋_GB2312"/>
          <w:sz w:val="32"/>
          <w:szCs w:val="32"/>
        </w:rPr>
        <w:t>六是在《四川民族宗教》持续做好“坚持我国宗教中国化方向”的报道和做好全省宗教界庆祝中国共产党成立100周年、庆祝新中国成立72周年集中升旗仪式和宗教界“爱国爱教爱家乡”系列主题活动的宣传报道。</w:t>
      </w:r>
    </w:p>
    <w:p>
      <w:pPr>
        <w:snapToGrid w:val="0"/>
        <w:spacing w:line="600" w:lineRule="exact"/>
        <w:ind w:firstLine="640" w:firstLineChars="200"/>
        <w:rPr>
          <w:rFonts w:eastAsia="黑体"/>
          <w:sz w:val="32"/>
          <w:szCs w:val="32"/>
        </w:rPr>
      </w:pPr>
      <w:r>
        <w:rPr>
          <w:rFonts w:eastAsia="黑体"/>
          <w:sz w:val="32"/>
          <w:szCs w:val="32"/>
        </w:rPr>
        <w:t>五、存在主要问题</w:t>
      </w:r>
    </w:p>
    <w:p>
      <w:pPr>
        <w:adjustRightInd w:val="0"/>
        <w:snapToGrid w:val="0"/>
        <w:spacing w:line="620" w:lineRule="exact"/>
        <w:ind w:firstLine="640" w:firstLineChars="200"/>
        <w:rPr>
          <w:rFonts w:eastAsia="仿宋_GB2312"/>
          <w:sz w:val="32"/>
          <w:szCs w:val="32"/>
        </w:rPr>
      </w:pPr>
      <w:r>
        <w:rPr>
          <w:rFonts w:eastAsia="仿宋_GB2312"/>
          <w:sz w:val="32"/>
          <w:szCs w:val="32"/>
        </w:rPr>
        <w:t>本次自评，仍然存在少数问题待解决。主要问题包括：</w:t>
      </w:r>
    </w:p>
    <w:p>
      <w:pPr>
        <w:numPr>
          <w:ilvl w:val="0"/>
          <w:numId w:val="5"/>
        </w:numPr>
        <w:snapToGrid w:val="0"/>
        <w:spacing w:line="600" w:lineRule="exact"/>
        <w:ind w:firstLine="640" w:firstLineChars="200"/>
        <w:rPr>
          <w:rFonts w:eastAsia="仿宋_GB2312"/>
          <w:sz w:val="32"/>
          <w:szCs w:val="32"/>
        </w:rPr>
      </w:pPr>
      <w:r>
        <w:rPr>
          <w:rFonts w:eastAsia="仿宋_GB2312"/>
          <w:sz w:val="32"/>
          <w:szCs w:val="32"/>
        </w:rPr>
        <w:t>绩效目标细化量化上尚不完善。</w:t>
      </w:r>
    </w:p>
    <w:p>
      <w:pPr>
        <w:numPr>
          <w:ilvl w:val="0"/>
          <w:numId w:val="5"/>
        </w:numPr>
        <w:snapToGrid w:val="0"/>
        <w:spacing w:line="600" w:lineRule="exact"/>
        <w:ind w:firstLine="640" w:firstLineChars="200"/>
        <w:rPr>
          <w:rFonts w:eastAsia="仿宋_GB2312"/>
          <w:sz w:val="32"/>
          <w:szCs w:val="32"/>
        </w:rPr>
      </w:pPr>
      <w:r>
        <w:rPr>
          <w:rFonts w:eastAsia="仿宋_GB2312"/>
          <w:sz w:val="32"/>
          <w:szCs w:val="32"/>
        </w:rPr>
        <w:t>执行进度因政府采购等原因</w:t>
      </w:r>
      <w:r>
        <w:rPr>
          <w:rFonts w:hint="eastAsia" w:eastAsia="仿宋_GB2312"/>
          <w:sz w:val="32"/>
          <w:szCs w:val="32"/>
        </w:rPr>
        <w:t>稍滞后造成上半年无法达标</w:t>
      </w:r>
      <w:r>
        <w:rPr>
          <w:rFonts w:eastAsia="仿宋_GB2312"/>
          <w:sz w:val="32"/>
          <w:szCs w:val="32"/>
        </w:rPr>
        <w:t>等问题。</w:t>
      </w:r>
    </w:p>
    <w:p>
      <w:pPr>
        <w:snapToGrid w:val="0"/>
        <w:spacing w:line="600" w:lineRule="exact"/>
        <w:ind w:firstLine="640" w:firstLineChars="200"/>
        <w:rPr>
          <w:rFonts w:eastAsia="黑体"/>
          <w:sz w:val="32"/>
          <w:szCs w:val="32"/>
        </w:rPr>
      </w:pPr>
      <w:r>
        <w:rPr>
          <w:rFonts w:eastAsia="黑体"/>
          <w:sz w:val="32"/>
          <w:szCs w:val="32"/>
        </w:rPr>
        <w:t>六、相关措施建议</w:t>
      </w:r>
    </w:p>
    <w:p>
      <w:pPr>
        <w:snapToGrid w:val="0"/>
        <w:spacing w:line="600" w:lineRule="exact"/>
        <w:ind w:firstLine="640" w:firstLineChars="200"/>
        <w:rPr>
          <w:rFonts w:eastAsia="仿宋_GB2312"/>
          <w:sz w:val="32"/>
          <w:szCs w:val="32"/>
        </w:rPr>
      </w:pPr>
      <w:r>
        <w:rPr>
          <w:rFonts w:eastAsia="仿宋_GB2312"/>
          <w:sz w:val="32"/>
          <w:szCs w:val="32"/>
        </w:rPr>
        <w:t>（1）要联系工作实际，今后在项目立项和设置绩效目标上要更进一步细化和量化，促进杂志的出版宣传工作。</w:t>
      </w:r>
    </w:p>
    <w:p>
      <w:pPr>
        <w:snapToGrid w:val="0"/>
        <w:spacing w:line="600" w:lineRule="exact"/>
        <w:ind w:firstLine="640" w:firstLineChars="200"/>
        <w:rPr>
          <w:rFonts w:eastAsia="仿宋_GB2312"/>
          <w:sz w:val="32"/>
          <w:szCs w:val="32"/>
        </w:rPr>
      </w:pPr>
      <w:r>
        <w:rPr>
          <w:rFonts w:eastAsia="仿宋_GB2312"/>
          <w:sz w:val="32"/>
          <w:szCs w:val="32"/>
        </w:rPr>
        <w:t>（2）根据工作需要，对项目中涉及政府采购的印刷服务在程序和事宜力争尽早安排和进行，力争资金使用进度符合要求。</w:t>
      </w:r>
    </w:p>
    <w:p>
      <w:pPr>
        <w:snapToGrid w:val="0"/>
        <w:spacing w:line="600" w:lineRule="exact"/>
        <w:ind w:firstLine="640" w:firstLineChars="200"/>
        <w:rPr>
          <w:rFonts w:eastAsia="仿宋_GB2312"/>
          <w:sz w:val="32"/>
          <w:szCs w:val="32"/>
        </w:rPr>
      </w:pPr>
      <w:r>
        <w:rPr>
          <w:rFonts w:eastAsia="仿宋_GB2312"/>
          <w:sz w:val="32"/>
          <w:szCs w:val="32"/>
        </w:rPr>
        <w:t>（3）进一步加强期刊出版发行工作，按期完成全年出版任务。确保项目完成的质量，进度和收到良好的社会效益。</w:t>
      </w:r>
    </w:p>
    <w:tbl>
      <w:tblPr>
        <w:tblStyle w:val="12"/>
        <w:tblW w:w="8260" w:type="dxa"/>
        <w:tblInd w:w="93" w:type="dxa"/>
        <w:tblLayout w:type="autofit"/>
        <w:tblCellMar>
          <w:top w:w="0" w:type="dxa"/>
          <w:left w:w="108" w:type="dxa"/>
          <w:bottom w:w="0" w:type="dxa"/>
          <w:right w:w="108" w:type="dxa"/>
        </w:tblCellMar>
      </w:tblPr>
      <w:tblGrid>
        <w:gridCol w:w="1016"/>
        <w:gridCol w:w="724"/>
        <w:gridCol w:w="982"/>
        <w:gridCol w:w="968"/>
        <w:gridCol w:w="1268"/>
        <w:gridCol w:w="2152"/>
        <w:gridCol w:w="1150"/>
      </w:tblGrid>
      <w:tr>
        <w:tblPrEx>
          <w:tblCellMar>
            <w:top w:w="0" w:type="dxa"/>
            <w:left w:w="108" w:type="dxa"/>
            <w:bottom w:w="0" w:type="dxa"/>
            <w:right w:w="108" w:type="dxa"/>
          </w:tblCellMar>
        </w:tblPrEx>
        <w:trPr>
          <w:trHeight w:val="675" w:hRule="atLeast"/>
        </w:trPr>
        <w:tc>
          <w:tcPr>
            <w:tcW w:w="8260" w:type="dxa"/>
            <w:gridSpan w:val="7"/>
            <w:tcBorders>
              <w:top w:val="nil"/>
              <w:left w:val="nil"/>
              <w:bottom w:val="nil"/>
              <w:right w:val="nil"/>
            </w:tcBorders>
            <w:shd w:val="clear" w:color="auto" w:fill="auto"/>
            <w:vAlign w:val="center"/>
          </w:tcPr>
          <w:p>
            <w:pPr>
              <w:widowControl/>
              <w:jc w:val="center"/>
              <w:textAlignment w:val="center"/>
              <w:rPr>
                <w:b/>
                <w:bCs/>
                <w:sz w:val="18"/>
                <w:szCs w:val="18"/>
              </w:rPr>
            </w:pPr>
            <w:r>
              <w:rPr>
                <w:b/>
                <w:bCs/>
                <w:kern w:val="0"/>
                <w:sz w:val="18"/>
                <w:szCs w:val="18"/>
              </w:rPr>
              <w:t>项目支出绩效自评表</w:t>
            </w:r>
          </w:p>
        </w:tc>
      </w:tr>
      <w:tr>
        <w:tblPrEx>
          <w:tblCellMar>
            <w:top w:w="0" w:type="dxa"/>
            <w:left w:w="108" w:type="dxa"/>
            <w:bottom w:w="0" w:type="dxa"/>
            <w:right w:w="108" w:type="dxa"/>
          </w:tblCellMar>
        </w:tblPrEx>
        <w:trPr>
          <w:trHeight w:val="285" w:hRule="atLeast"/>
        </w:trPr>
        <w:tc>
          <w:tcPr>
            <w:tcW w:w="8260" w:type="dxa"/>
            <w:gridSpan w:val="7"/>
            <w:tcBorders>
              <w:top w:val="nil"/>
              <w:left w:val="nil"/>
              <w:bottom w:val="nil"/>
              <w:right w:val="nil"/>
            </w:tcBorders>
            <w:shd w:val="clear" w:color="auto" w:fill="auto"/>
            <w:vAlign w:val="center"/>
          </w:tcPr>
          <w:p>
            <w:pPr>
              <w:widowControl/>
              <w:jc w:val="center"/>
              <w:textAlignment w:val="center"/>
              <w:rPr>
                <w:sz w:val="18"/>
                <w:szCs w:val="18"/>
              </w:rPr>
            </w:pPr>
            <w:r>
              <w:rPr>
                <w:kern w:val="0"/>
                <w:sz w:val="18"/>
                <w:szCs w:val="18"/>
              </w:rPr>
              <w:t>（ 202</w:t>
            </w:r>
            <w:r>
              <w:rPr>
                <w:rFonts w:hint="eastAsia"/>
                <w:kern w:val="0"/>
                <w:sz w:val="18"/>
                <w:szCs w:val="18"/>
              </w:rPr>
              <w:t>1</w:t>
            </w:r>
            <w:r>
              <w:rPr>
                <w:kern w:val="0"/>
                <w:sz w:val="18"/>
                <w:szCs w:val="18"/>
              </w:rPr>
              <w:t xml:space="preserve"> 年度）</w:t>
            </w:r>
          </w:p>
        </w:tc>
      </w:tr>
      <w:tr>
        <w:tblPrEx>
          <w:tblCellMar>
            <w:top w:w="0" w:type="dxa"/>
            <w:left w:w="108" w:type="dxa"/>
            <w:bottom w:w="0" w:type="dxa"/>
            <w:right w:w="108" w:type="dxa"/>
          </w:tblCellMar>
        </w:tblPrEx>
        <w:trPr>
          <w:trHeight w:val="439" w:hRule="atLeast"/>
        </w:trPr>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项目名称</w:t>
            </w:r>
          </w:p>
        </w:tc>
        <w:tc>
          <w:tcPr>
            <w:tcW w:w="6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民族杂志社综合业务经费</w:t>
            </w:r>
          </w:p>
        </w:tc>
      </w:tr>
      <w:tr>
        <w:tblPrEx>
          <w:tblCellMar>
            <w:top w:w="0" w:type="dxa"/>
            <w:left w:w="108" w:type="dxa"/>
            <w:bottom w:w="0" w:type="dxa"/>
            <w:right w:w="108" w:type="dxa"/>
          </w:tblCellMar>
        </w:tblPrEx>
        <w:trPr>
          <w:trHeight w:val="439" w:hRule="atLeast"/>
        </w:trPr>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主管部门及代码</w:t>
            </w:r>
          </w:p>
        </w:tc>
        <w:tc>
          <w:tcPr>
            <w:tcW w:w="3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四川省民族宗教事务委员会</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实施单位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18"/>
                <w:szCs w:val="18"/>
              </w:rPr>
            </w:pPr>
            <w:r>
              <w:rPr>
                <w:kern w:val="0"/>
                <w:sz w:val="18"/>
                <w:szCs w:val="18"/>
              </w:rPr>
              <w:t>四川省民族</w:t>
            </w:r>
          </w:p>
          <w:p>
            <w:pPr>
              <w:widowControl/>
              <w:jc w:val="center"/>
              <w:textAlignment w:val="center"/>
              <w:rPr>
                <w:sz w:val="18"/>
                <w:szCs w:val="18"/>
              </w:rPr>
            </w:pPr>
            <w:r>
              <w:rPr>
                <w:kern w:val="0"/>
                <w:sz w:val="18"/>
                <w:szCs w:val="18"/>
              </w:rPr>
              <w:t>杂志社</w:t>
            </w:r>
          </w:p>
        </w:tc>
      </w:tr>
      <w:tr>
        <w:tblPrEx>
          <w:tblCellMar>
            <w:top w:w="0" w:type="dxa"/>
            <w:left w:w="108" w:type="dxa"/>
            <w:bottom w:w="0" w:type="dxa"/>
            <w:right w:w="108" w:type="dxa"/>
          </w:tblCellMar>
        </w:tblPrEx>
        <w:trPr>
          <w:trHeight w:val="439" w:hRule="atLeast"/>
        </w:trPr>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18"/>
                <w:szCs w:val="18"/>
              </w:rPr>
            </w:pPr>
            <w:r>
              <w:rPr>
                <w:kern w:val="0"/>
                <w:sz w:val="18"/>
                <w:szCs w:val="18"/>
              </w:rPr>
              <w:t>项目预算</w:t>
            </w:r>
          </w:p>
          <w:p>
            <w:pPr>
              <w:widowControl/>
              <w:jc w:val="center"/>
              <w:textAlignment w:val="center"/>
              <w:rPr>
                <w:kern w:val="0"/>
                <w:sz w:val="18"/>
                <w:szCs w:val="18"/>
              </w:rPr>
            </w:pPr>
            <w:r>
              <w:rPr>
                <w:kern w:val="0"/>
                <w:sz w:val="18"/>
                <w:szCs w:val="18"/>
              </w:rPr>
              <w:t>执行情况</w:t>
            </w:r>
          </w:p>
          <w:p>
            <w:pPr>
              <w:widowControl/>
              <w:jc w:val="center"/>
              <w:textAlignment w:val="center"/>
              <w:rPr>
                <w:sz w:val="18"/>
                <w:szCs w:val="18"/>
              </w:rPr>
            </w:pPr>
            <w:r>
              <w:rPr>
                <w:kern w:val="0"/>
                <w:sz w:val="18"/>
                <w:szCs w:val="18"/>
              </w:rPr>
              <w:t>（万元）</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kern w:val="0"/>
                <w:sz w:val="18"/>
                <w:szCs w:val="18"/>
              </w:rPr>
              <w:t xml:space="preserve"> 预算数：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99.5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kern w:val="0"/>
                <w:sz w:val="18"/>
                <w:szCs w:val="18"/>
              </w:rPr>
              <w:t xml:space="preserve"> 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sz w:val="18"/>
                <w:szCs w:val="18"/>
              </w:rPr>
            </w:pPr>
            <w:r>
              <w:rPr>
                <w:rFonts w:hint="eastAsia"/>
                <w:sz w:val="18"/>
                <w:szCs w:val="18"/>
              </w:rPr>
              <w:t>99.5</w:t>
            </w:r>
          </w:p>
        </w:tc>
      </w:tr>
      <w:tr>
        <w:tblPrEx>
          <w:tblCellMar>
            <w:top w:w="0" w:type="dxa"/>
            <w:left w:w="108" w:type="dxa"/>
            <w:bottom w:w="0" w:type="dxa"/>
            <w:right w:w="108" w:type="dxa"/>
          </w:tblCellMar>
        </w:tblPrEx>
        <w:trPr>
          <w:trHeight w:val="439" w:hRule="atLeast"/>
        </w:trPr>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kern w:val="0"/>
                <w:sz w:val="18"/>
                <w:szCs w:val="18"/>
              </w:rPr>
              <w:t xml:space="preserve">      其中：财政拨款</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99.5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kern w:val="0"/>
                <w:sz w:val="18"/>
                <w:szCs w:val="18"/>
              </w:rPr>
              <w:t xml:space="preserve">       其中：财政拨款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sz w:val="18"/>
                <w:szCs w:val="18"/>
              </w:rPr>
            </w:pPr>
            <w:r>
              <w:rPr>
                <w:rFonts w:hint="eastAsia"/>
                <w:sz w:val="18"/>
                <w:szCs w:val="18"/>
              </w:rPr>
              <w:t>99.5</w:t>
            </w:r>
          </w:p>
        </w:tc>
      </w:tr>
      <w:tr>
        <w:tblPrEx>
          <w:tblCellMar>
            <w:top w:w="0" w:type="dxa"/>
            <w:left w:w="108" w:type="dxa"/>
            <w:bottom w:w="0" w:type="dxa"/>
            <w:right w:w="108" w:type="dxa"/>
          </w:tblCellMar>
        </w:tblPrEx>
        <w:trPr>
          <w:trHeight w:val="439" w:hRule="atLeast"/>
        </w:trPr>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kern w:val="0"/>
                <w:sz w:val="18"/>
                <w:szCs w:val="18"/>
              </w:rPr>
              <w:t xml:space="preserve">           其他资金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kern w:val="0"/>
                <w:sz w:val="18"/>
                <w:szCs w:val="18"/>
              </w:rPr>
              <w:t>0.0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kern w:val="0"/>
                <w:sz w:val="18"/>
                <w:szCs w:val="18"/>
              </w:rPr>
              <w:t xml:space="preserve">             其他资金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sz w:val="18"/>
                <w:szCs w:val="18"/>
              </w:rPr>
            </w:pPr>
            <w:r>
              <w:rPr>
                <w:kern w:val="0"/>
                <w:sz w:val="18"/>
                <w:szCs w:val="18"/>
              </w:rPr>
              <w:t>0.0</w:t>
            </w:r>
          </w:p>
        </w:tc>
      </w:tr>
      <w:tr>
        <w:tblPrEx>
          <w:tblCellMar>
            <w:top w:w="0" w:type="dxa"/>
            <w:left w:w="108" w:type="dxa"/>
            <w:bottom w:w="0" w:type="dxa"/>
            <w:right w:w="108" w:type="dxa"/>
          </w:tblCellMar>
        </w:tblPrEx>
        <w:trPr>
          <w:trHeight w:val="439"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kern w:val="0"/>
                <w:sz w:val="18"/>
                <w:szCs w:val="18"/>
              </w:rPr>
            </w:pPr>
            <w:r>
              <w:rPr>
                <w:kern w:val="0"/>
                <w:sz w:val="18"/>
                <w:szCs w:val="18"/>
              </w:rPr>
              <w:t>年</w:t>
            </w:r>
          </w:p>
          <w:p>
            <w:pPr>
              <w:widowControl/>
              <w:spacing w:line="200" w:lineRule="exact"/>
              <w:jc w:val="center"/>
              <w:textAlignment w:val="center"/>
              <w:rPr>
                <w:kern w:val="0"/>
                <w:sz w:val="18"/>
                <w:szCs w:val="18"/>
              </w:rPr>
            </w:pPr>
            <w:r>
              <w:rPr>
                <w:kern w:val="0"/>
                <w:sz w:val="18"/>
                <w:szCs w:val="18"/>
              </w:rPr>
              <w:t>度</w:t>
            </w:r>
          </w:p>
          <w:p>
            <w:pPr>
              <w:widowControl/>
              <w:spacing w:line="200" w:lineRule="exact"/>
              <w:jc w:val="center"/>
              <w:textAlignment w:val="center"/>
              <w:rPr>
                <w:kern w:val="0"/>
                <w:sz w:val="18"/>
                <w:szCs w:val="18"/>
              </w:rPr>
            </w:pPr>
            <w:r>
              <w:rPr>
                <w:kern w:val="0"/>
                <w:sz w:val="18"/>
                <w:szCs w:val="18"/>
              </w:rPr>
              <w:t>总</w:t>
            </w:r>
          </w:p>
          <w:p>
            <w:pPr>
              <w:widowControl/>
              <w:spacing w:line="200" w:lineRule="exact"/>
              <w:jc w:val="center"/>
              <w:textAlignment w:val="center"/>
              <w:rPr>
                <w:kern w:val="0"/>
                <w:sz w:val="18"/>
                <w:szCs w:val="18"/>
              </w:rPr>
            </w:pPr>
            <w:r>
              <w:rPr>
                <w:kern w:val="0"/>
                <w:sz w:val="18"/>
                <w:szCs w:val="18"/>
              </w:rPr>
              <w:t>体</w:t>
            </w:r>
          </w:p>
          <w:p>
            <w:pPr>
              <w:widowControl/>
              <w:spacing w:line="200" w:lineRule="exact"/>
              <w:jc w:val="center"/>
              <w:textAlignment w:val="center"/>
              <w:rPr>
                <w:kern w:val="0"/>
                <w:sz w:val="18"/>
                <w:szCs w:val="18"/>
              </w:rPr>
            </w:pPr>
            <w:r>
              <w:rPr>
                <w:kern w:val="0"/>
                <w:sz w:val="18"/>
                <w:szCs w:val="18"/>
              </w:rPr>
              <w:t>目</w:t>
            </w:r>
          </w:p>
          <w:p>
            <w:pPr>
              <w:widowControl/>
              <w:spacing w:line="200" w:lineRule="exact"/>
              <w:jc w:val="center"/>
              <w:textAlignment w:val="center"/>
              <w:rPr>
                <w:kern w:val="0"/>
                <w:sz w:val="18"/>
                <w:szCs w:val="18"/>
              </w:rPr>
            </w:pPr>
            <w:r>
              <w:rPr>
                <w:kern w:val="0"/>
                <w:sz w:val="18"/>
                <w:szCs w:val="18"/>
              </w:rPr>
              <w:t>标</w:t>
            </w:r>
          </w:p>
          <w:p>
            <w:pPr>
              <w:widowControl/>
              <w:spacing w:line="200" w:lineRule="exact"/>
              <w:jc w:val="center"/>
              <w:textAlignment w:val="center"/>
              <w:rPr>
                <w:kern w:val="0"/>
                <w:sz w:val="18"/>
                <w:szCs w:val="18"/>
              </w:rPr>
            </w:pPr>
            <w:r>
              <w:rPr>
                <w:kern w:val="0"/>
                <w:sz w:val="18"/>
                <w:szCs w:val="18"/>
              </w:rPr>
              <w:t>完</w:t>
            </w:r>
          </w:p>
          <w:p>
            <w:pPr>
              <w:widowControl/>
              <w:spacing w:line="200" w:lineRule="exact"/>
              <w:jc w:val="center"/>
              <w:textAlignment w:val="center"/>
              <w:rPr>
                <w:kern w:val="0"/>
                <w:sz w:val="18"/>
                <w:szCs w:val="18"/>
              </w:rPr>
            </w:pPr>
            <w:r>
              <w:rPr>
                <w:kern w:val="0"/>
                <w:sz w:val="18"/>
                <w:szCs w:val="18"/>
              </w:rPr>
              <w:t>成</w:t>
            </w:r>
          </w:p>
          <w:p>
            <w:pPr>
              <w:widowControl/>
              <w:spacing w:line="200" w:lineRule="exact"/>
              <w:jc w:val="center"/>
              <w:textAlignment w:val="center"/>
              <w:rPr>
                <w:kern w:val="0"/>
                <w:sz w:val="18"/>
                <w:szCs w:val="18"/>
              </w:rPr>
            </w:pPr>
            <w:r>
              <w:rPr>
                <w:kern w:val="0"/>
                <w:sz w:val="18"/>
                <w:szCs w:val="18"/>
              </w:rPr>
              <w:t>情</w:t>
            </w:r>
          </w:p>
          <w:p>
            <w:pPr>
              <w:widowControl/>
              <w:spacing w:line="200" w:lineRule="exact"/>
              <w:jc w:val="center"/>
              <w:textAlignment w:val="center"/>
              <w:rPr>
                <w:sz w:val="18"/>
                <w:szCs w:val="18"/>
              </w:rPr>
            </w:pPr>
            <w:r>
              <w:rPr>
                <w:kern w:val="0"/>
                <w:sz w:val="18"/>
                <w:szCs w:val="18"/>
              </w:rPr>
              <w:t>况</w:t>
            </w:r>
          </w:p>
        </w:tc>
        <w:tc>
          <w:tcPr>
            <w:tcW w:w="3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预期目标</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目标实际完成情况</w:t>
            </w:r>
          </w:p>
        </w:tc>
      </w:tr>
      <w:tr>
        <w:tblPrEx>
          <w:tblCellMar>
            <w:top w:w="0" w:type="dxa"/>
            <w:left w:w="108" w:type="dxa"/>
            <w:bottom w:w="0" w:type="dxa"/>
            <w:right w:w="108" w:type="dxa"/>
          </w:tblCellMar>
        </w:tblPrEx>
        <w:trPr>
          <w:trHeight w:val="192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3942"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sz w:val="18"/>
                <w:szCs w:val="18"/>
              </w:rPr>
            </w:pPr>
            <w:r>
              <w:rPr>
                <w:kern w:val="0"/>
                <w:sz w:val="18"/>
                <w:szCs w:val="18"/>
              </w:rPr>
              <w:t>用于保障《民族》杂志汉藏彝三个文版以及《四川民族宗教》全年24期的出版发行所需相关经费，宣传我省民族宗教工作成效等。 劳务费75万，委托业务费2</w:t>
            </w:r>
            <w:r>
              <w:rPr>
                <w:rFonts w:hint="eastAsia"/>
                <w:kern w:val="0"/>
                <w:sz w:val="18"/>
                <w:szCs w:val="18"/>
              </w:rPr>
              <w:t>4.5</w:t>
            </w:r>
            <w:r>
              <w:rPr>
                <w:kern w:val="0"/>
                <w:sz w:val="18"/>
                <w:szCs w:val="18"/>
              </w:rPr>
              <w:t>万</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sz w:val="18"/>
                <w:szCs w:val="18"/>
              </w:rPr>
            </w:pPr>
            <w:r>
              <w:rPr>
                <w:kern w:val="0"/>
                <w:sz w:val="18"/>
                <w:szCs w:val="18"/>
              </w:rPr>
              <w:t>完成《民族》杂志汉藏彝三个文版以及《四川民族宗教》全年24期的出版发行所需相关经费，宣传我省民族宗教工作成效等。        杂志全年劳务费</w:t>
            </w:r>
            <w:r>
              <w:rPr>
                <w:rFonts w:hint="eastAsia"/>
                <w:kern w:val="0"/>
                <w:sz w:val="18"/>
                <w:szCs w:val="18"/>
              </w:rPr>
              <w:t>75</w:t>
            </w:r>
            <w:r>
              <w:rPr>
                <w:kern w:val="0"/>
                <w:sz w:val="18"/>
                <w:szCs w:val="18"/>
              </w:rPr>
              <w:t>万，委托业务费2</w:t>
            </w:r>
            <w:r>
              <w:rPr>
                <w:rFonts w:hint="eastAsia"/>
                <w:kern w:val="0"/>
                <w:sz w:val="18"/>
                <w:szCs w:val="18"/>
              </w:rPr>
              <w:t>4.5</w:t>
            </w:r>
            <w:r>
              <w:rPr>
                <w:kern w:val="0"/>
                <w:sz w:val="18"/>
                <w:szCs w:val="18"/>
              </w:rPr>
              <w:t>万</w:t>
            </w:r>
          </w:p>
        </w:tc>
      </w:tr>
      <w:tr>
        <w:tblPrEx>
          <w:tblCellMar>
            <w:top w:w="0" w:type="dxa"/>
            <w:left w:w="108" w:type="dxa"/>
            <w:bottom w:w="0" w:type="dxa"/>
            <w:right w:w="108" w:type="dxa"/>
          </w:tblCellMar>
        </w:tblPrEx>
        <w:trPr>
          <w:trHeight w:val="52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年度绩效指标完成情况</w:t>
            </w:r>
          </w:p>
        </w:tc>
        <w:tc>
          <w:tcPr>
            <w:tcW w:w="72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kern w:val="0"/>
                <w:sz w:val="18"/>
                <w:szCs w:val="18"/>
              </w:rPr>
            </w:pPr>
            <w:r>
              <w:rPr>
                <w:kern w:val="0"/>
                <w:sz w:val="18"/>
                <w:szCs w:val="18"/>
              </w:rPr>
              <w:t>一级</w:t>
            </w:r>
          </w:p>
          <w:p>
            <w:pPr>
              <w:widowControl/>
              <w:jc w:val="center"/>
              <w:textAlignment w:val="center"/>
              <w:rPr>
                <w:sz w:val="18"/>
                <w:szCs w:val="18"/>
              </w:rPr>
            </w:pPr>
            <w:r>
              <w:rPr>
                <w:kern w:val="0"/>
                <w:sz w:val="18"/>
                <w:szCs w:val="18"/>
              </w:rPr>
              <w:t>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二级指标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三级指标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预期指标值</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实际完成指标值</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kern w:val="0"/>
                <w:sz w:val="18"/>
                <w:szCs w:val="18"/>
              </w:rPr>
            </w:pPr>
            <w:r>
              <w:rPr>
                <w:kern w:val="0"/>
                <w:sz w:val="18"/>
                <w:szCs w:val="18"/>
              </w:rPr>
              <w:t>完</w:t>
            </w:r>
          </w:p>
          <w:p>
            <w:pPr>
              <w:widowControl/>
              <w:jc w:val="center"/>
              <w:textAlignment w:val="center"/>
              <w:rPr>
                <w:kern w:val="0"/>
                <w:sz w:val="18"/>
                <w:szCs w:val="18"/>
              </w:rPr>
            </w:pPr>
            <w:r>
              <w:rPr>
                <w:kern w:val="0"/>
                <w:sz w:val="18"/>
                <w:szCs w:val="18"/>
              </w:rPr>
              <w:t>成</w:t>
            </w:r>
          </w:p>
          <w:p>
            <w:pPr>
              <w:widowControl/>
              <w:jc w:val="center"/>
              <w:textAlignment w:val="center"/>
              <w:rPr>
                <w:kern w:val="0"/>
                <w:sz w:val="18"/>
                <w:szCs w:val="18"/>
              </w:rPr>
            </w:pPr>
            <w:r>
              <w:rPr>
                <w:kern w:val="0"/>
                <w:sz w:val="18"/>
                <w:szCs w:val="18"/>
              </w:rPr>
              <w:t>指</w:t>
            </w:r>
          </w:p>
          <w:p>
            <w:pPr>
              <w:widowControl/>
              <w:jc w:val="center"/>
              <w:textAlignment w:val="center"/>
              <w:rPr>
                <w:sz w:val="18"/>
                <w:szCs w:val="18"/>
              </w:rPr>
            </w:pPr>
            <w:r>
              <w:rPr>
                <w:kern w:val="0"/>
                <w:sz w:val="18"/>
                <w:szCs w:val="18"/>
              </w:rPr>
              <w:t>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数量指标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《民族》汉文版</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全年12期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100%</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《民族》藏文版</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全年4期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100%</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《民族》彝文版</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全年4期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100%</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《四川民族宗教》</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全年4期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100%</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质量指标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各期杂志出版发行质量</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良好</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良好</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时效指标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全年期刊按期发行率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100%</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成本指标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24期期刊发行劳务费</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75万元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rFonts w:hint="eastAsia"/>
                <w:kern w:val="0"/>
                <w:sz w:val="18"/>
                <w:szCs w:val="18"/>
              </w:rPr>
              <w:t>100</w:t>
            </w:r>
            <w:r>
              <w:rPr>
                <w:kern w:val="0"/>
                <w:sz w:val="18"/>
                <w:szCs w:val="18"/>
              </w:rPr>
              <w:t>%</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24期期刊发行业务委托费</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2</w:t>
            </w:r>
            <w:r>
              <w:rPr>
                <w:rFonts w:hint="eastAsia"/>
                <w:kern w:val="0"/>
                <w:sz w:val="18"/>
                <w:szCs w:val="18"/>
              </w:rPr>
              <w:t>4.5</w:t>
            </w:r>
            <w:r>
              <w:rPr>
                <w:kern w:val="0"/>
                <w:sz w:val="18"/>
                <w:szCs w:val="18"/>
              </w:rPr>
              <w:t>万元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rFonts w:hint="eastAsia"/>
                <w:kern w:val="0"/>
                <w:sz w:val="18"/>
                <w:szCs w:val="18"/>
              </w:rPr>
              <w:t>100</w:t>
            </w:r>
            <w:r>
              <w:rPr>
                <w:kern w:val="0"/>
                <w:sz w:val="18"/>
                <w:szCs w:val="18"/>
              </w:rPr>
              <w:t>%</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资金使用效果</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良好</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良好</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kern w:val="0"/>
                <w:sz w:val="18"/>
                <w:szCs w:val="18"/>
              </w:rPr>
            </w:pPr>
            <w:r>
              <w:rPr>
                <w:kern w:val="0"/>
                <w:sz w:val="18"/>
                <w:szCs w:val="18"/>
              </w:rPr>
              <w:t>效</w:t>
            </w:r>
          </w:p>
          <w:p>
            <w:pPr>
              <w:widowControl/>
              <w:jc w:val="center"/>
              <w:textAlignment w:val="center"/>
              <w:rPr>
                <w:kern w:val="0"/>
                <w:sz w:val="18"/>
                <w:szCs w:val="18"/>
              </w:rPr>
            </w:pPr>
            <w:r>
              <w:rPr>
                <w:kern w:val="0"/>
                <w:sz w:val="18"/>
                <w:szCs w:val="18"/>
              </w:rPr>
              <w:t>益</w:t>
            </w:r>
          </w:p>
          <w:p>
            <w:pPr>
              <w:widowControl/>
              <w:jc w:val="center"/>
              <w:textAlignment w:val="center"/>
              <w:rPr>
                <w:kern w:val="0"/>
                <w:sz w:val="18"/>
                <w:szCs w:val="18"/>
              </w:rPr>
            </w:pPr>
            <w:r>
              <w:rPr>
                <w:kern w:val="0"/>
                <w:sz w:val="18"/>
                <w:szCs w:val="18"/>
              </w:rPr>
              <w:t>指</w:t>
            </w:r>
          </w:p>
          <w:p>
            <w:pPr>
              <w:widowControl/>
              <w:jc w:val="center"/>
              <w:textAlignment w:val="center"/>
              <w:rPr>
                <w:sz w:val="18"/>
                <w:szCs w:val="18"/>
              </w:rPr>
            </w:pPr>
            <w:r>
              <w:rPr>
                <w:kern w:val="0"/>
                <w:sz w:val="18"/>
                <w:szCs w:val="18"/>
              </w:rPr>
              <w:t>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经济效益指标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通过出版刊物达到宣传的良好社会效益</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良好</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良好</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社会效益指标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杂志及书籍出版环保纸张使用率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90%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90%</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生态效益指标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宣传报道的影响力和持续性</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常年</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常年</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可持续影响指标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期刊阅读者满意度</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95%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r>
              <w:rPr>
                <w:kern w:val="0"/>
                <w:sz w:val="18"/>
                <w:szCs w:val="18"/>
              </w:rPr>
              <w:t>96%</w:t>
            </w:r>
          </w:p>
        </w:tc>
      </w:tr>
      <w:tr>
        <w:tblPrEx>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72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kern w:val="0"/>
                <w:sz w:val="18"/>
                <w:szCs w:val="18"/>
              </w:rPr>
            </w:pPr>
            <w:r>
              <w:rPr>
                <w:kern w:val="0"/>
                <w:sz w:val="18"/>
                <w:szCs w:val="18"/>
              </w:rPr>
              <w:t>满意度</w:t>
            </w:r>
          </w:p>
          <w:p>
            <w:pPr>
              <w:widowControl/>
              <w:jc w:val="center"/>
              <w:textAlignment w:val="center"/>
              <w:rPr>
                <w:sz w:val="18"/>
                <w:szCs w:val="18"/>
              </w:rPr>
            </w:pPr>
            <w:r>
              <w:rPr>
                <w:kern w:val="0"/>
                <w:sz w:val="18"/>
                <w:szCs w:val="18"/>
              </w:rPr>
              <w:t>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kern w:val="0"/>
                <w:sz w:val="18"/>
                <w:szCs w:val="18"/>
              </w:rPr>
              <w:t>满意度指标</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sz w:val="18"/>
                <w:szCs w:val="18"/>
              </w:rPr>
            </w:pPr>
          </w:p>
        </w:tc>
      </w:tr>
    </w:tbl>
    <w:p>
      <w:pPr>
        <w:spacing w:line="580" w:lineRule="exact"/>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
      <w:pPr>
        <w:spacing w:line="600" w:lineRule="exact"/>
        <w:jc w:val="center"/>
        <w:outlineLvl w:val="0"/>
        <w:rPr>
          <w:rFonts w:eastAsia="黑体"/>
          <w:sz w:val="44"/>
          <w:szCs w:val="44"/>
        </w:rPr>
      </w:pPr>
      <w:bookmarkStart w:id="54" w:name="_Toc15396618"/>
    </w:p>
    <w:p>
      <w:pPr>
        <w:spacing w:line="600" w:lineRule="exact"/>
        <w:jc w:val="center"/>
        <w:outlineLvl w:val="0"/>
        <w:rPr>
          <w:rFonts w:eastAsia="仿宋"/>
        </w:rPr>
      </w:pPr>
      <w:r>
        <w:rPr>
          <w:rFonts w:eastAsia="黑体"/>
          <w:sz w:val="44"/>
          <w:szCs w:val="44"/>
        </w:rPr>
        <w:t>第</w:t>
      </w:r>
      <w:r>
        <w:rPr>
          <w:rStyle w:val="25"/>
          <w:rFonts w:eastAsia="黑体"/>
          <w:b w:val="0"/>
        </w:rPr>
        <w:t>五部分 附表</w:t>
      </w:r>
      <w:bookmarkEnd w:id="52"/>
      <w:bookmarkEnd w:id="54"/>
      <w:bookmarkStart w:id="55" w:name="_Toc15396619"/>
    </w:p>
    <w:p>
      <w:pPr>
        <w:pStyle w:val="4"/>
        <w:rPr>
          <w:rFonts w:ascii="仿宋_GB2312" w:hAnsi="仿宋_GB2312" w:eastAsia="仿宋_GB2312" w:cs="仿宋_GB2312"/>
        </w:rPr>
      </w:pPr>
      <w:r>
        <w:rPr>
          <w:rFonts w:hint="eastAsia" w:ascii="仿宋_GB2312" w:hAnsi="仿宋_GB2312" w:eastAsia="仿宋_GB2312" w:cs="仿宋_GB2312"/>
          <w:b w:val="0"/>
        </w:rPr>
        <w:t>一、收</w:t>
      </w:r>
      <w:r>
        <w:rPr>
          <w:rStyle w:val="26"/>
          <w:rFonts w:hint="eastAsia" w:ascii="仿宋_GB2312" w:hAnsi="仿宋_GB2312" w:eastAsia="仿宋_GB2312" w:cs="仿宋_GB2312"/>
          <w:b w:val="0"/>
          <w:bCs w:val="0"/>
        </w:rPr>
        <w:t>入支出决算总表</w:t>
      </w:r>
      <w:bookmarkEnd w:id="55"/>
    </w:p>
    <w:p>
      <w:pPr>
        <w:pStyle w:val="4"/>
        <w:rPr>
          <w:rFonts w:ascii="仿宋_GB2312" w:hAnsi="仿宋_GB2312" w:eastAsia="仿宋_GB2312" w:cs="仿宋_GB2312"/>
        </w:rPr>
      </w:pPr>
      <w:bookmarkStart w:id="56" w:name="_Toc15396620"/>
      <w:r>
        <w:rPr>
          <w:rFonts w:hint="eastAsia" w:ascii="仿宋_GB2312" w:hAnsi="仿宋_GB2312" w:eastAsia="仿宋_GB2312" w:cs="仿宋_GB2312"/>
          <w:b w:val="0"/>
        </w:rPr>
        <w:t>二、收</w:t>
      </w:r>
      <w:r>
        <w:rPr>
          <w:rStyle w:val="26"/>
          <w:rFonts w:hint="eastAsia" w:ascii="仿宋_GB2312" w:hAnsi="仿宋_GB2312" w:eastAsia="仿宋_GB2312" w:cs="仿宋_GB2312"/>
          <w:b w:val="0"/>
          <w:bCs w:val="0"/>
        </w:rPr>
        <w:t>入决算表</w:t>
      </w:r>
      <w:bookmarkEnd w:id="56"/>
    </w:p>
    <w:p>
      <w:pPr>
        <w:pStyle w:val="4"/>
        <w:rPr>
          <w:rFonts w:ascii="仿宋_GB2312" w:hAnsi="仿宋_GB2312" w:eastAsia="仿宋_GB2312" w:cs="仿宋_GB2312"/>
        </w:rPr>
      </w:pPr>
      <w:bookmarkStart w:id="57" w:name="_Toc15396621"/>
      <w:r>
        <w:rPr>
          <w:rStyle w:val="26"/>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6"/>
          <w:rFonts w:hint="eastAsia" w:ascii="仿宋_GB2312" w:hAnsi="仿宋_GB2312" w:eastAsia="仿宋_GB2312" w:cs="仿宋_GB2312"/>
          <w:b w:val="0"/>
          <w:bCs w:val="0"/>
        </w:rPr>
        <w:t>出决算表</w:t>
      </w:r>
      <w:bookmarkEnd w:id="57"/>
    </w:p>
    <w:p>
      <w:pPr>
        <w:pStyle w:val="4"/>
        <w:rPr>
          <w:rFonts w:ascii="仿宋_GB2312" w:hAnsi="仿宋_GB2312" w:eastAsia="仿宋_GB2312" w:cs="仿宋_GB2312"/>
          <w:b w:val="0"/>
        </w:rPr>
      </w:pPr>
      <w:bookmarkStart w:id="58" w:name="_Toc15396622"/>
      <w:r>
        <w:rPr>
          <w:rStyle w:val="26"/>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6"/>
          <w:rFonts w:hint="eastAsia" w:ascii="仿宋_GB2312" w:hAnsi="仿宋_GB2312" w:eastAsia="仿宋_GB2312" w:cs="仿宋_GB2312"/>
          <w:b w:val="0"/>
          <w:bCs w:val="0"/>
        </w:rPr>
        <w:t>政拨款收入支出决算总表</w:t>
      </w:r>
      <w:bookmarkEnd w:id="58"/>
    </w:p>
    <w:p>
      <w:pPr>
        <w:pStyle w:val="4"/>
        <w:rPr>
          <w:rStyle w:val="26"/>
          <w:rFonts w:ascii="仿宋_GB2312" w:hAnsi="仿宋_GB2312" w:eastAsia="仿宋_GB2312" w:cs="仿宋_GB2312"/>
          <w:b w:val="0"/>
          <w:bCs w:val="0"/>
        </w:rPr>
      </w:pPr>
      <w:bookmarkStart w:id="59" w:name="_Toc15396623"/>
      <w:r>
        <w:rPr>
          <w:rStyle w:val="26"/>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6"/>
          <w:rFonts w:hint="eastAsia" w:ascii="仿宋_GB2312" w:hAnsi="仿宋_GB2312" w:eastAsia="仿宋_GB2312" w:cs="仿宋_GB2312"/>
          <w:b w:val="0"/>
          <w:bCs w:val="0"/>
        </w:rPr>
        <w:t>政拨款支出决算明细表</w:t>
      </w:r>
      <w:bookmarkEnd w:id="59"/>
      <w:bookmarkStart w:id="60" w:name="_Toc15396624"/>
    </w:p>
    <w:p>
      <w:pPr>
        <w:pStyle w:val="4"/>
        <w:rPr>
          <w:rFonts w:ascii="仿宋_GB2312" w:hAnsi="仿宋_GB2312" w:eastAsia="仿宋_GB2312" w:cs="仿宋_GB2312"/>
        </w:rPr>
      </w:pPr>
      <w:r>
        <w:rPr>
          <w:rStyle w:val="26"/>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6"/>
          <w:rFonts w:hint="eastAsia" w:ascii="仿宋_GB2312" w:hAnsi="仿宋_GB2312" w:eastAsia="仿宋_GB2312" w:cs="仿宋_GB2312"/>
          <w:b w:val="0"/>
          <w:bCs w:val="0"/>
        </w:rPr>
        <w:t>般公共预算财政拨款支出决算表</w:t>
      </w:r>
      <w:bookmarkEnd w:id="60"/>
    </w:p>
    <w:p>
      <w:pPr>
        <w:pStyle w:val="4"/>
        <w:rPr>
          <w:rFonts w:ascii="仿宋_GB2312" w:hAnsi="仿宋_GB2312" w:eastAsia="仿宋_GB2312" w:cs="仿宋_GB2312"/>
        </w:rPr>
      </w:pPr>
      <w:bookmarkStart w:id="61" w:name="_Toc15396625"/>
      <w:r>
        <w:rPr>
          <w:rStyle w:val="26"/>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6"/>
          <w:rFonts w:hint="eastAsia" w:ascii="仿宋_GB2312" w:hAnsi="仿宋_GB2312" w:eastAsia="仿宋_GB2312" w:cs="仿宋_GB2312"/>
          <w:b w:val="0"/>
          <w:bCs w:val="0"/>
        </w:rPr>
        <w:t>般公共预算财政拨款支出决算明细表</w:t>
      </w:r>
      <w:bookmarkEnd w:id="61"/>
    </w:p>
    <w:p>
      <w:pPr>
        <w:pStyle w:val="4"/>
        <w:rPr>
          <w:rFonts w:ascii="仿宋_GB2312" w:hAnsi="仿宋_GB2312" w:eastAsia="仿宋_GB2312" w:cs="仿宋_GB2312"/>
        </w:rPr>
      </w:pPr>
      <w:bookmarkStart w:id="62" w:name="_Toc15396626"/>
      <w:r>
        <w:rPr>
          <w:rStyle w:val="26"/>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6"/>
          <w:rFonts w:hint="eastAsia" w:ascii="仿宋_GB2312" w:hAnsi="仿宋_GB2312" w:eastAsia="仿宋_GB2312" w:cs="仿宋_GB2312"/>
          <w:b w:val="0"/>
          <w:bCs w:val="0"/>
        </w:rPr>
        <w:t>般公共预算财政拨款基本支出决算表</w:t>
      </w:r>
      <w:bookmarkEnd w:id="62"/>
    </w:p>
    <w:p>
      <w:pPr>
        <w:pStyle w:val="4"/>
        <w:rPr>
          <w:rFonts w:ascii="仿宋_GB2312" w:hAnsi="仿宋_GB2312" w:eastAsia="仿宋_GB2312" w:cs="仿宋_GB2312"/>
        </w:rPr>
      </w:pPr>
      <w:bookmarkStart w:id="63" w:name="_Toc15396627"/>
      <w:r>
        <w:rPr>
          <w:rStyle w:val="26"/>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6"/>
          <w:rFonts w:hint="eastAsia" w:ascii="仿宋_GB2312" w:hAnsi="仿宋_GB2312" w:eastAsia="仿宋_GB2312" w:cs="仿宋_GB2312"/>
          <w:b w:val="0"/>
          <w:bCs w:val="0"/>
        </w:rPr>
        <w:t>般公共预算财政拨款项目支出决算表</w:t>
      </w:r>
      <w:bookmarkEnd w:id="63"/>
    </w:p>
    <w:p>
      <w:pPr>
        <w:pStyle w:val="4"/>
        <w:rPr>
          <w:rFonts w:ascii="仿宋_GB2312" w:hAnsi="仿宋_GB2312" w:eastAsia="仿宋_GB2312" w:cs="仿宋_GB2312"/>
        </w:rPr>
      </w:pPr>
      <w:bookmarkStart w:id="64" w:name="_Toc15396628"/>
      <w:r>
        <w:rPr>
          <w:rStyle w:val="26"/>
          <w:rFonts w:hint="eastAsia" w:ascii="仿宋_GB2312" w:hAnsi="仿宋_GB2312" w:eastAsia="仿宋_GB2312" w:cs="仿宋_GB2312"/>
          <w:b w:val="0"/>
          <w:bCs w:val="0"/>
        </w:rPr>
        <w:t>十、</w:t>
      </w:r>
      <w:r>
        <w:rPr>
          <w:rFonts w:hint="eastAsia" w:ascii="仿宋_GB2312" w:hAnsi="仿宋_GB2312" w:eastAsia="仿宋_GB2312" w:cs="仿宋_GB2312"/>
          <w:b w:val="0"/>
        </w:rPr>
        <w:t>一</w:t>
      </w:r>
      <w:r>
        <w:rPr>
          <w:rStyle w:val="26"/>
          <w:rFonts w:hint="eastAsia" w:ascii="仿宋_GB2312" w:hAnsi="仿宋_GB2312" w:eastAsia="仿宋_GB2312" w:cs="仿宋_GB2312"/>
          <w:b w:val="0"/>
          <w:bCs w:val="0"/>
        </w:rPr>
        <w:t>般公共预算财政拨款“三公”经费支出决算表</w:t>
      </w:r>
      <w:bookmarkEnd w:id="64"/>
    </w:p>
    <w:p>
      <w:pPr>
        <w:pStyle w:val="4"/>
        <w:rPr>
          <w:rFonts w:ascii="仿宋_GB2312" w:hAnsi="仿宋_GB2312" w:eastAsia="仿宋_GB2312" w:cs="仿宋_GB2312"/>
        </w:rPr>
      </w:pPr>
      <w:bookmarkStart w:id="65" w:name="_Toc15396629"/>
      <w:r>
        <w:rPr>
          <w:rStyle w:val="26"/>
          <w:rFonts w:hint="eastAsia" w:ascii="仿宋_GB2312" w:hAnsi="仿宋_GB2312" w:eastAsia="仿宋_GB2312" w:cs="仿宋_GB2312"/>
          <w:b w:val="0"/>
          <w:bCs w:val="0"/>
        </w:rPr>
        <w:t>十一、</w:t>
      </w:r>
      <w:r>
        <w:rPr>
          <w:rFonts w:hint="eastAsia" w:ascii="仿宋_GB2312" w:hAnsi="仿宋_GB2312" w:eastAsia="仿宋_GB2312" w:cs="仿宋_GB2312"/>
          <w:b w:val="0"/>
        </w:rPr>
        <w:t>政</w:t>
      </w:r>
      <w:r>
        <w:rPr>
          <w:rStyle w:val="26"/>
          <w:rFonts w:hint="eastAsia" w:ascii="仿宋_GB2312" w:hAnsi="仿宋_GB2312" w:eastAsia="仿宋_GB2312" w:cs="仿宋_GB2312"/>
          <w:b w:val="0"/>
          <w:bCs w:val="0"/>
        </w:rPr>
        <w:t>府性基金预算财政拨款收入支出决算表</w:t>
      </w:r>
      <w:bookmarkEnd w:id="65"/>
    </w:p>
    <w:p>
      <w:pPr>
        <w:pStyle w:val="4"/>
        <w:rPr>
          <w:rFonts w:ascii="仿宋_GB2312" w:hAnsi="仿宋_GB2312" w:eastAsia="仿宋_GB2312" w:cs="仿宋_GB2312"/>
        </w:rPr>
      </w:pPr>
      <w:bookmarkStart w:id="66" w:name="_Toc15396630"/>
      <w:r>
        <w:rPr>
          <w:rStyle w:val="26"/>
          <w:rFonts w:hint="eastAsia" w:ascii="仿宋_GB2312" w:hAnsi="仿宋_GB2312" w:eastAsia="仿宋_GB2312" w:cs="仿宋_GB2312"/>
          <w:b w:val="0"/>
          <w:bCs w:val="0"/>
        </w:rPr>
        <w:t>十二、</w:t>
      </w:r>
      <w:r>
        <w:rPr>
          <w:rFonts w:hint="eastAsia" w:ascii="仿宋_GB2312" w:hAnsi="仿宋_GB2312" w:eastAsia="仿宋_GB2312" w:cs="仿宋_GB2312"/>
          <w:b w:val="0"/>
        </w:rPr>
        <w:t>政</w:t>
      </w:r>
      <w:r>
        <w:rPr>
          <w:rStyle w:val="26"/>
          <w:rFonts w:hint="eastAsia" w:ascii="仿宋_GB2312" w:hAnsi="仿宋_GB2312" w:eastAsia="仿宋_GB2312" w:cs="仿宋_GB2312"/>
          <w:b w:val="0"/>
          <w:bCs w:val="0"/>
        </w:rPr>
        <w:t>府性基金预算财政拨款“三公”经费支出决算表</w:t>
      </w:r>
      <w:bookmarkEnd w:id="66"/>
    </w:p>
    <w:p>
      <w:pPr>
        <w:pStyle w:val="4"/>
        <w:rPr>
          <w:rStyle w:val="26"/>
          <w:rFonts w:ascii="仿宋_GB2312" w:hAnsi="仿宋_GB2312" w:eastAsia="仿宋_GB2312" w:cs="仿宋_GB2312"/>
          <w:b w:val="0"/>
          <w:bCs w:val="0"/>
        </w:rPr>
      </w:pPr>
      <w:bookmarkStart w:id="67" w:name="_Toc15396631"/>
      <w:r>
        <w:rPr>
          <w:rStyle w:val="26"/>
          <w:rFonts w:hint="eastAsia" w:ascii="仿宋_GB2312" w:hAnsi="仿宋_GB2312" w:eastAsia="仿宋_GB2312" w:cs="仿宋_GB2312"/>
          <w:b w:val="0"/>
          <w:bCs w:val="0"/>
        </w:rPr>
        <w:t>十三、</w:t>
      </w:r>
      <w:r>
        <w:rPr>
          <w:rFonts w:hint="eastAsia" w:ascii="仿宋_GB2312" w:hAnsi="仿宋_GB2312" w:eastAsia="仿宋_GB2312" w:cs="仿宋_GB2312"/>
          <w:b w:val="0"/>
        </w:rPr>
        <w:t>国</w:t>
      </w:r>
      <w:r>
        <w:rPr>
          <w:rStyle w:val="26"/>
          <w:rFonts w:hint="eastAsia" w:ascii="仿宋_GB2312" w:hAnsi="仿宋_GB2312" w:eastAsia="仿宋_GB2312" w:cs="仿宋_GB2312"/>
          <w:b w:val="0"/>
          <w:bCs w:val="0"/>
        </w:rPr>
        <w:t>有资本经营预算财政拨款收入支出决算表</w:t>
      </w:r>
      <w:bookmarkEnd w:id="67"/>
    </w:p>
    <w:p>
      <w:pPr>
        <w:rPr>
          <w:rFonts w:ascii="仿宋_GB2312" w:hAnsi="仿宋_GB2312" w:eastAsia="仿宋_GB2312" w:cs="仿宋_GB2312"/>
        </w:rPr>
      </w:pPr>
      <w:r>
        <w:rPr>
          <w:rStyle w:val="26"/>
          <w:rFonts w:hint="eastAsia" w:ascii="仿宋_GB2312" w:hAnsi="仿宋_GB2312" w:eastAsia="仿宋_GB2312" w:cs="仿宋_GB2312"/>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5F8EA22"/>
    <w:multiLevelType w:val="singleLevel"/>
    <w:tmpl w:val="E5F8EA22"/>
    <w:lvl w:ilvl="0" w:tentative="0">
      <w:start w:val="1"/>
      <w:numFmt w:val="decimal"/>
      <w:suff w:val="nothing"/>
      <w:lvlText w:val="（%1）"/>
      <w:lvlJc w:val="left"/>
    </w:lvl>
  </w:abstractNum>
  <w:abstractNum w:abstractNumId="4">
    <w:nsid w:val="559F064F"/>
    <w:multiLevelType w:val="singleLevel"/>
    <w:tmpl w:val="559F064F"/>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ZiYjgxZTYwZTg5YTVhZDJlNWRhYThhZmFlZjdiYTUifQ=="/>
  </w:docVars>
  <w:rsids>
    <w:rsidRoot w:val="00F1361C"/>
    <w:rsid w:val="000222C6"/>
    <w:rsid w:val="0002549F"/>
    <w:rsid w:val="000468DB"/>
    <w:rsid w:val="0004697E"/>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515A"/>
    <w:rsid w:val="00142216"/>
    <w:rsid w:val="00144D6A"/>
    <w:rsid w:val="0014729F"/>
    <w:rsid w:val="00157BAB"/>
    <w:rsid w:val="001654D1"/>
    <w:rsid w:val="00174518"/>
    <w:rsid w:val="0018106D"/>
    <w:rsid w:val="001877A7"/>
    <w:rsid w:val="00191536"/>
    <w:rsid w:val="00196687"/>
    <w:rsid w:val="001A73EB"/>
    <w:rsid w:val="001B505F"/>
    <w:rsid w:val="001C0962"/>
    <w:rsid w:val="001D7531"/>
    <w:rsid w:val="001E737D"/>
    <w:rsid w:val="001F0592"/>
    <w:rsid w:val="001F7506"/>
    <w:rsid w:val="002006CD"/>
    <w:rsid w:val="00202B36"/>
    <w:rsid w:val="00204B7A"/>
    <w:rsid w:val="00204CDE"/>
    <w:rsid w:val="0021101A"/>
    <w:rsid w:val="00220536"/>
    <w:rsid w:val="00235629"/>
    <w:rsid w:val="00240EF8"/>
    <w:rsid w:val="00260C38"/>
    <w:rsid w:val="002616C0"/>
    <w:rsid w:val="00265372"/>
    <w:rsid w:val="002662AA"/>
    <w:rsid w:val="00280496"/>
    <w:rsid w:val="00294DC9"/>
    <w:rsid w:val="00295495"/>
    <w:rsid w:val="002A31DE"/>
    <w:rsid w:val="002B2613"/>
    <w:rsid w:val="002D4BBD"/>
    <w:rsid w:val="002D6D05"/>
    <w:rsid w:val="002F1818"/>
    <w:rsid w:val="002F1CF0"/>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3F05"/>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86B12"/>
    <w:rsid w:val="009931C3"/>
    <w:rsid w:val="009B2C43"/>
    <w:rsid w:val="009B4EAE"/>
    <w:rsid w:val="009B7573"/>
    <w:rsid w:val="009C22F4"/>
    <w:rsid w:val="009C2A4B"/>
    <w:rsid w:val="009C2E98"/>
    <w:rsid w:val="009D0F18"/>
    <w:rsid w:val="009D3447"/>
    <w:rsid w:val="009D4711"/>
    <w:rsid w:val="009F1185"/>
    <w:rsid w:val="009F18CD"/>
    <w:rsid w:val="009F2A13"/>
    <w:rsid w:val="009F3B45"/>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4424"/>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4C04"/>
    <w:rsid w:val="00DA634F"/>
    <w:rsid w:val="00DA65AC"/>
    <w:rsid w:val="00DB1913"/>
    <w:rsid w:val="00DB7B47"/>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1A70"/>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49F0"/>
    <w:rsid w:val="00FF1E02"/>
    <w:rsid w:val="00FF30B4"/>
    <w:rsid w:val="020F09B3"/>
    <w:rsid w:val="098A0431"/>
    <w:rsid w:val="0A2032A3"/>
    <w:rsid w:val="0A463EE0"/>
    <w:rsid w:val="0BC831C5"/>
    <w:rsid w:val="0C61407B"/>
    <w:rsid w:val="0D883663"/>
    <w:rsid w:val="0DA23C50"/>
    <w:rsid w:val="0E3D134F"/>
    <w:rsid w:val="0E885578"/>
    <w:rsid w:val="0F7A7777"/>
    <w:rsid w:val="10C055FF"/>
    <w:rsid w:val="10D7148C"/>
    <w:rsid w:val="118107EC"/>
    <w:rsid w:val="1185352A"/>
    <w:rsid w:val="11934D77"/>
    <w:rsid w:val="1287340D"/>
    <w:rsid w:val="14532AA7"/>
    <w:rsid w:val="159955E0"/>
    <w:rsid w:val="1665343A"/>
    <w:rsid w:val="16BB723D"/>
    <w:rsid w:val="1BBA7EAF"/>
    <w:rsid w:val="1BC30F2C"/>
    <w:rsid w:val="1BE8440E"/>
    <w:rsid w:val="1D155CEE"/>
    <w:rsid w:val="1DBC6D05"/>
    <w:rsid w:val="240371BF"/>
    <w:rsid w:val="29FD04D3"/>
    <w:rsid w:val="2A4F1C25"/>
    <w:rsid w:val="2CC36D24"/>
    <w:rsid w:val="319F7F4E"/>
    <w:rsid w:val="31F57E73"/>
    <w:rsid w:val="338221D0"/>
    <w:rsid w:val="35FF0BE8"/>
    <w:rsid w:val="3A644875"/>
    <w:rsid w:val="3FBFB3A8"/>
    <w:rsid w:val="42235CBA"/>
    <w:rsid w:val="443E78A1"/>
    <w:rsid w:val="44BC6852"/>
    <w:rsid w:val="472D6324"/>
    <w:rsid w:val="47B4036F"/>
    <w:rsid w:val="4BC05269"/>
    <w:rsid w:val="4BE068DB"/>
    <w:rsid w:val="4ECE2238"/>
    <w:rsid w:val="532D6129"/>
    <w:rsid w:val="5CA96236"/>
    <w:rsid w:val="5CEB5597"/>
    <w:rsid w:val="5EB854C2"/>
    <w:rsid w:val="604F7011"/>
    <w:rsid w:val="60F568B0"/>
    <w:rsid w:val="63120BCB"/>
    <w:rsid w:val="646256C8"/>
    <w:rsid w:val="65066214"/>
    <w:rsid w:val="6C4A05C8"/>
    <w:rsid w:val="6C5D696F"/>
    <w:rsid w:val="6D2947B4"/>
    <w:rsid w:val="6FDC67C3"/>
    <w:rsid w:val="70C76A8D"/>
    <w:rsid w:val="71450312"/>
    <w:rsid w:val="717E3C2E"/>
    <w:rsid w:val="72734D90"/>
    <w:rsid w:val="76834EAF"/>
    <w:rsid w:val="76B76B8A"/>
    <w:rsid w:val="780F0296"/>
    <w:rsid w:val="7918660C"/>
    <w:rsid w:val="7B530EE1"/>
    <w:rsid w:val="7C586BCF"/>
    <w:rsid w:val="7CCE576A"/>
    <w:rsid w:val="7DC142BB"/>
    <w:rsid w:val="7FA30C79"/>
    <w:rsid w:val="7FB44E84"/>
    <w:rsid w:val="B25F16B8"/>
    <w:rsid w:val="BADF6C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paragraph" w:customStyle="1" w:styleId="16">
    <w:name w:val="table of figures1"/>
    <w:basedOn w:val="1"/>
    <w:next w:val="1"/>
    <w:qFormat/>
    <w:uiPriority w:val="0"/>
    <w:pPr>
      <w:jc w:val="left"/>
    </w:pPr>
    <w:rPr>
      <w:rFonts w:ascii="Calibri" w:hAnsi="Calibri"/>
      <w:kern w:val="0"/>
      <w:szCs w:val="21"/>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NormalCharacter"/>
    <w:semiHidden/>
    <w:qFormat/>
    <w:uiPriority w:val="0"/>
  </w:style>
  <w:style w:type="paragraph" w:customStyle="1" w:styleId="32">
    <w:name w:val="正文 New New New New New New New New New New"/>
    <w:qFormat/>
    <w:uiPriority w:val="0"/>
    <w:pPr>
      <w:widowControl w:val="0"/>
      <w:jc w:val="both"/>
    </w:pPr>
    <w:rPr>
      <w:rFonts w:ascii="Cambria" w:hAnsi="Cambria" w:eastAsia="宋体" w:cstheme="minorBidi"/>
      <w:kern w:val="2"/>
      <w:sz w:val="21"/>
      <w:lang w:val="en-US" w:eastAsia="zh-CN" w:bidi="ar-SA"/>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Pt>
            <c:idx val="1"/>
            <c:invertIfNegative val="0"/>
            <c:bubble3D val="0"/>
            <c:spPr>
              <a:gradFill>
                <a:gsLst>
                  <a:gs pos="0">
                    <a:srgbClr val="FE4444"/>
                  </a:gs>
                  <a:gs pos="100000">
                    <a:srgbClr val="832B2B"/>
                  </a:gs>
                </a:gsLst>
                <a:lin ang="5400000" scaled="0"/>
              </a:gra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Sheet1!$A$1:$A$2</c:f>
              <c:strCache>
                <c:ptCount val="2"/>
                <c:pt idx="0">
                  <c:v>2020年度</c:v>
                </c:pt>
                <c:pt idx="1">
                  <c:v>2021年度</c:v>
                </c:pt>
              </c:strCache>
            </c:strRef>
          </c:cat>
          <c:val>
            <c:numRef>
              <c:f>Sheet1!$B$1:$B$2</c:f>
              <c:numCache>
                <c:formatCode>General</c:formatCode>
                <c:ptCount val="2"/>
                <c:pt idx="0">
                  <c:v>439.66</c:v>
                </c:pt>
                <c:pt idx="1">
                  <c:v>432.29</c:v>
                </c:pt>
              </c:numCache>
            </c:numRef>
          </c:val>
        </c:ser>
        <c:dLbls>
          <c:showLegendKey val="0"/>
          <c:showVal val="0"/>
          <c:showCatName val="0"/>
          <c:showSerName val="0"/>
          <c:showPercent val="0"/>
          <c:showBubbleSize val="0"/>
        </c:dLbls>
        <c:gapWidth val="219"/>
        <c:overlap val="-27"/>
        <c:axId val="53860608"/>
        <c:axId val="53966336"/>
      </c:barChart>
      <c:catAx>
        <c:axId val="538606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966336"/>
        <c:crosses val="autoZero"/>
        <c:auto val="1"/>
        <c:lblAlgn val="ctr"/>
        <c:lblOffset val="100"/>
        <c:noMultiLvlLbl val="0"/>
      </c:catAx>
      <c:valAx>
        <c:axId val="53966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6060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c:v>
                </c:pt>
                <c:pt idx="1">
                  <c:v>其他收入</c:v>
                </c:pt>
              </c:strCache>
            </c:strRef>
          </c:cat>
          <c:val>
            <c:numRef>
              <c:f>Sheet1!$B$2:$B$3</c:f>
              <c:numCache>
                <c:formatCode>0%</c:formatCode>
                <c:ptCount val="2"/>
                <c:pt idx="0">
                  <c:v>0.79</c:v>
                </c:pt>
                <c:pt idx="1">
                  <c:v>0.21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4371843434343"/>
          <c:y val="0.8637088204038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图</a:t>
            </a:r>
            <a:r>
              <a:rPr lang="en-US" altLang="zh-CN"/>
              <a:t>3</a:t>
            </a:r>
            <a:r>
              <a:rPr altLang="en-US"/>
              <a:t>：支出决算结构图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c:formatCode>
                <c:ptCount val="2"/>
                <c:pt idx="0">
                  <c:v>0.58</c:v>
                </c:pt>
                <c:pt idx="1">
                  <c:v>0.42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gradFill>
                <a:gsLst>
                  <a:gs pos="0">
                    <a:srgbClr val="FE4444"/>
                  </a:gs>
                  <a:gs pos="100000">
                    <a:srgbClr val="832B2B"/>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2020年度</c:v>
                </c:pt>
                <c:pt idx="1">
                  <c:v>2021年度</c:v>
                </c:pt>
              </c:strCache>
            </c:strRef>
          </c:cat>
          <c:val>
            <c:numRef>
              <c:f>Sheet1!$B$2:$B$3</c:f>
              <c:numCache>
                <c:formatCode>General</c:formatCode>
                <c:ptCount val="2"/>
                <c:pt idx="0">
                  <c:v>323.27</c:v>
                </c:pt>
                <c:pt idx="1">
                  <c:v>316.1</c:v>
                </c:pt>
              </c:numCache>
            </c:numRef>
          </c:val>
        </c:ser>
        <c:dLbls>
          <c:showLegendKey val="0"/>
          <c:showVal val="1"/>
          <c:showCatName val="0"/>
          <c:showSerName val="0"/>
          <c:showPercent val="0"/>
          <c:showBubbleSize val="0"/>
        </c:dLbls>
        <c:gapWidth val="219"/>
        <c:overlap val="-27"/>
        <c:axId val="77936512"/>
        <c:axId val="77938048"/>
      </c:barChart>
      <c:catAx>
        <c:axId val="779365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38048"/>
        <c:crosses val="autoZero"/>
        <c:auto val="1"/>
        <c:lblAlgn val="ctr"/>
        <c:lblOffset val="100"/>
        <c:noMultiLvlLbl val="0"/>
      </c:catAx>
      <c:valAx>
        <c:axId val="779380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3651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a:t>
            </a:r>
            <a:r>
              <a:rPr lang="en-US" altLang="zh-CN" sz="1200"/>
              <a:t>5</a:t>
            </a:r>
            <a:r>
              <a:rPr altLang="en-US" sz="1200"/>
              <a:t>：一般公共预算财政拨款支出决算变动情况</a:t>
            </a:r>
            <a:endParaRPr altLang="en-US" sz="1200"/>
          </a:p>
        </c:rich>
      </c:tx>
      <c:layout>
        <c:manualLayout>
          <c:xMode val="edge"/>
          <c:yMode val="edge"/>
          <c:x val="0.140536149471974"/>
          <c:y val="0.013686131386861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gradFill>
                <a:gsLst>
                  <a:gs pos="0">
                    <a:srgbClr val="FE4444"/>
                  </a:gs>
                  <a:gs pos="100000">
                    <a:srgbClr val="832B2B"/>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2020年度</c:v>
                </c:pt>
                <c:pt idx="1">
                  <c:v>2021年度</c:v>
                </c:pt>
              </c:strCache>
            </c:strRef>
          </c:cat>
          <c:val>
            <c:numRef>
              <c:f>Sheet1!$B$2:$B$3</c:f>
              <c:numCache>
                <c:formatCode>General</c:formatCode>
                <c:ptCount val="2"/>
                <c:pt idx="0">
                  <c:v>323.27</c:v>
                </c:pt>
                <c:pt idx="1">
                  <c:v>316.1</c:v>
                </c:pt>
              </c:numCache>
            </c:numRef>
          </c:val>
        </c:ser>
        <c:dLbls>
          <c:showLegendKey val="0"/>
          <c:showVal val="1"/>
          <c:showCatName val="0"/>
          <c:showSerName val="0"/>
          <c:showPercent val="0"/>
          <c:showBubbleSize val="0"/>
        </c:dLbls>
        <c:gapWidth val="219"/>
        <c:overlap val="-27"/>
        <c:axId val="77983744"/>
        <c:axId val="77985280"/>
      </c:barChart>
      <c:catAx>
        <c:axId val="779837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85280"/>
        <c:crosses val="autoZero"/>
        <c:auto val="1"/>
        <c:lblAlgn val="ctr"/>
        <c:lblOffset val="100"/>
        <c:noMultiLvlLbl val="0"/>
      </c:catAx>
      <c:valAx>
        <c:axId val="77985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8374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：一般公共预算财政拨款支出决算结构</a:t>
            </a:r>
            <a:endParaRPr altLang="en-US"/>
          </a:p>
        </c:rich>
      </c:tx>
      <c:layout>
        <c:manualLayout>
          <c:xMode val="edge"/>
          <c:yMode val="edge"/>
          <c:x val="0.131586362355593"/>
          <c:y val="0.032251128789507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c:v>
                </c:pt>
                <c:pt idx="1">
                  <c:v>教育支出（类）</c:v>
                </c:pt>
                <c:pt idx="2">
                  <c:v>社会保障和就业（类）</c:v>
                </c:pt>
                <c:pt idx="3">
                  <c:v>卫生健康支出（类）</c:v>
                </c:pt>
                <c:pt idx="4">
                  <c:v>住房保障支出</c:v>
                </c:pt>
              </c:strCache>
            </c:strRef>
          </c:cat>
          <c:val>
            <c:numRef>
              <c:f>Sheet1!$B$2:$B$6</c:f>
              <c:numCache>
                <c:formatCode>0%</c:formatCode>
                <c:ptCount val="5"/>
                <c:pt idx="0">
                  <c:v>0.68</c:v>
                </c:pt>
                <c:pt idx="1" c:formatCode="0.00%">
                  <c:v>0.037</c:v>
                </c:pt>
                <c:pt idx="2" c:formatCode="0.00%">
                  <c:v>0.191</c:v>
                </c:pt>
                <c:pt idx="3">
                  <c:v>0.04</c:v>
                </c:pt>
                <c:pt idx="4" c:formatCode="0.00%">
                  <c:v>0.052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rPr altLang="en-US"/>
              <a:t>：“三公”经费财政拨款支出结构</a:t>
            </a:r>
            <a:endParaRPr altLang="en-US"/>
          </a:p>
        </c:rich>
      </c:tx>
      <c:layout>
        <c:manualLayout>
          <c:xMode val="edge"/>
          <c:yMode val="edge"/>
          <c:x val="0.195373467112598"/>
          <c:y val="0.0365367581930912"/>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Lbls>
            <c:dLbl>
              <c:idx val="0"/>
              <c:layout>
                <c:manualLayout>
                  <c:x val="0.00208955515263776"/>
                  <c:y val="-0.2126046954620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公务车购置及运行维护费支出</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26</Pages>
  <Words>8968</Words>
  <Characters>11535</Characters>
  <Lines>84</Lines>
  <Paragraphs>23</Paragraphs>
  <TotalTime>36</TotalTime>
  <ScaleCrop>false</ScaleCrop>
  <LinksUpToDate>false</LinksUpToDate>
  <CharactersWithSpaces>11623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lenovo</cp:lastModifiedBy>
  <cp:lastPrinted>2021-08-28T09:10:00Z</cp:lastPrinted>
  <dcterms:modified xsi:type="dcterms:W3CDTF">2022-11-14T07:02:41Z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A8C03F60131A4859B2FF4CA1D81D52E2</vt:lpwstr>
  </property>
</Properties>
</file>