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hint="default" w:ascii="方正小标宋简体" w:hAnsi="宋体" w:eastAsia="方正小标宋简体"/>
          <w:color w:val="auto"/>
          <w:sz w:val="72"/>
          <w:szCs w:val="72"/>
          <w:highlight w:val="none"/>
          <w:lang w:val="en-US" w:eastAsia="zh-CN"/>
        </w:rPr>
      </w:pPr>
      <w:bookmarkStart w:id="0" w:name="_Toc15306267"/>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spacing w:line="600" w:lineRule="exact"/>
        <w:jc w:val="center"/>
        <w:outlineLvl w:val="0"/>
        <w:rPr>
          <w:rFonts w:ascii="方正小标宋简体" w:hAnsi="宋体" w:eastAsia="方正小标宋简体"/>
          <w:color w:val="auto"/>
          <w:sz w:val="72"/>
          <w:szCs w:val="72"/>
          <w:highlight w:val="none"/>
        </w:rPr>
      </w:pP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bookmarkStart w:id="1" w:name="_Toc15378441"/>
      <w:bookmarkStart w:id="2" w:name="_Toc15377193"/>
      <w:bookmarkStart w:id="3" w:name="_Toc15377425"/>
      <w:bookmarkStart w:id="4" w:name="_Toc15396597"/>
      <w:bookmarkStart w:id="5" w:name="_Toc15396475"/>
      <w:r>
        <w:rPr>
          <w:rFonts w:hint="eastAsia" w:ascii="方正小标宋简体" w:hAnsi="方正小标宋简体" w:eastAsia="方正小标宋简体" w:cs="方正小标宋简体"/>
          <w:color w:val="auto"/>
          <w:sz w:val="72"/>
          <w:szCs w:val="72"/>
          <w:highlight w:val="none"/>
        </w:rPr>
        <w:t>20</w:t>
      </w:r>
      <w:r>
        <w:rPr>
          <w:rFonts w:hint="eastAsia" w:ascii="方正小标宋简体" w:hAnsi="方正小标宋简体" w:eastAsia="方正小标宋简体" w:cs="方正小标宋简体"/>
          <w:color w:val="auto"/>
          <w:sz w:val="72"/>
          <w:szCs w:val="72"/>
          <w:highlight w:val="none"/>
          <w:lang w:val="en-US" w:eastAsia="zh-CN"/>
        </w:rPr>
        <w:t>21</w:t>
      </w:r>
      <w:r>
        <w:rPr>
          <w:rFonts w:hint="eastAsia" w:ascii="方正小标宋简体" w:hAnsi="方正小标宋简体" w:eastAsia="方正小标宋简体" w:cs="方正小标宋简体"/>
          <w:color w:val="auto"/>
          <w:sz w:val="72"/>
          <w:szCs w:val="72"/>
          <w:highlight w:val="none"/>
        </w:rPr>
        <w:t>年度</w:t>
      </w:r>
      <w:bookmarkEnd w:id="1"/>
      <w:bookmarkEnd w:id="2"/>
      <w:bookmarkEnd w:id="3"/>
      <w:bookmarkEnd w:id="4"/>
      <w:bookmarkEnd w:id="5"/>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lang w:eastAsia="zh-CN"/>
        </w:rPr>
      </w:pPr>
      <w:bookmarkStart w:id="6" w:name="_Toc15396476"/>
      <w:bookmarkStart w:id="7" w:name="_Toc15396598"/>
      <w:bookmarkStart w:id="8" w:name="_Toc15377426"/>
      <w:bookmarkStart w:id="9" w:name="_Toc15378442"/>
      <w:bookmarkStart w:id="10" w:name="_Toc15377194"/>
      <w:r>
        <w:rPr>
          <w:rFonts w:hint="eastAsia" w:ascii="方正小标宋简体" w:hAnsi="方正小标宋简体" w:eastAsia="方正小标宋简体" w:cs="方正小标宋简体"/>
          <w:color w:val="auto"/>
          <w:sz w:val="72"/>
          <w:szCs w:val="72"/>
          <w:highlight w:val="none"/>
        </w:rPr>
        <w:t>四川省</w:t>
      </w:r>
      <w:bookmarkEnd w:id="0"/>
      <w:bookmarkStart w:id="11" w:name="_Toc15306268"/>
      <w:r>
        <w:rPr>
          <w:rFonts w:hint="eastAsia" w:ascii="方正小标宋简体" w:hAnsi="方正小标宋简体" w:eastAsia="方正小标宋简体" w:cs="方正小标宋简体"/>
          <w:color w:val="auto"/>
          <w:sz w:val="72"/>
          <w:szCs w:val="72"/>
          <w:highlight w:val="none"/>
          <w:lang w:eastAsia="zh-CN"/>
        </w:rPr>
        <w:t>天主教爱国会</w:t>
      </w:r>
    </w:p>
    <w:p>
      <w:pPr>
        <w:adjustRightInd w:val="0"/>
        <w:snapToGrid w:val="0"/>
        <w:spacing w:line="360" w:lineRule="auto"/>
        <w:jc w:val="center"/>
        <w:outlineLvl w:val="0"/>
        <w:rPr>
          <w:rFonts w:hint="eastAsia" w:ascii="方正小标宋简体" w:hAnsi="方正小标宋简体" w:eastAsia="方正小标宋简体" w:cs="方正小标宋简体"/>
          <w:color w:val="auto"/>
          <w:sz w:val="72"/>
          <w:szCs w:val="72"/>
          <w:highlight w:val="none"/>
        </w:rPr>
      </w:pPr>
      <w:r>
        <w:rPr>
          <w:rFonts w:hint="eastAsia" w:ascii="方正小标宋简体" w:hAnsi="方正小标宋简体" w:eastAsia="方正小标宋简体" w:cs="方正小标宋简体"/>
          <w:color w:val="auto"/>
          <w:sz w:val="72"/>
          <w:szCs w:val="72"/>
          <w:highlight w:val="none"/>
          <w:lang w:eastAsia="zh-CN"/>
        </w:rPr>
        <w:t>单位</w:t>
      </w:r>
      <w:r>
        <w:rPr>
          <w:rFonts w:hint="eastAsia" w:ascii="方正小标宋简体" w:hAnsi="方正小标宋简体" w:eastAsia="方正小标宋简体" w:cs="方正小标宋简体"/>
          <w:color w:val="auto"/>
          <w:sz w:val="72"/>
          <w:szCs w:val="72"/>
          <w:highlight w:val="none"/>
        </w:rPr>
        <w:t>决算</w:t>
      </w:r>
      <w:bookmarkEnd w:id="6"/>
      <w:bookmarkEnd w:id="7"/>
      <w:bookmarkEnd w:id="8"/>
      <w:bookmarkEnd w:id="9"/>
      <w:bookmarkEnd w:id="10"/>
      <w:bookmarkEnd w:id="11"/>
    </w:p>
    <w:p>
      <w:pPr>
        <w:widowControl/>
        <w:jc w:val="center"/>
        <w:rPr>
          <w:rFonts w:ascii="黑体" w:hAnsi="黑体" w:eastAsia="黑体"/>
          <w:color w:val="auto"/>
          <w:sz w:val="48"/>
          <w:szCs w:val="48"/>
          <w:highlight w:val="none"/>
        </w:rPr>
      </w:pPr>
      <w:r>
        <w:rPr>
          <w:rFonts w:ascii="方正小标宋简体" w:hAnsi="宋体" w:eastAsia="方正小标宋简体"/>
          <w:color w:val="auto"/>
          <w:sz w:val="36"/>
          <w:szCs w:val="36"/>
          <w:highlight w:val="none"/>
        </w:rPr>
        <w:br w:type="page"/>
      </w:r>
      <w:r>
        <w:rPr>
          <w:rFonts w:hint="eastAsia" w:ascii="黑体" w:hAnsi="黑体" w:eastAsia="黑体"/>
          <w:color w:val="auto"/>
          <w:sz w:val="48"/>
          <w:szCs w:val="48"/>
          <w:highlight w:val="none"/>
        </w:rPr>
        <w:t>目录</w:t>
      </w:r>
    </w:p>
    <w:p>
      <w:pPr>
        <w:widowControl/>
        <w:jc w:val="center"/>
        <w:rPr>
          <w:rFonts w:ascii="黑体" w:hAnsi="黑体" w:eastAsia="黑体" w:cstheme="minorBidi"/>
          <w:color w:val="auto"/>
          <w:sz w:val="28"/>
          <w:szCs w:val="28"/>
          <w:highlight w:val="none"/>
        </w:rPr>
      </w:pPr>
    </w:p>
    <w:p>
      <w:pPr>
        <w:pStyle w:val="11"/>
        <w:rPr>
          <w:color w:val="auto"/>
          <w:highlight w:val="none"/>
        </w:rPr>
      </w:pPr>
      <w:r>
        <w:rPr>
          <w:rFonts w:hint="eastAsia"/>
          <w:color w:val="auto"/>
          <w:highlight w:val="none"/>
        </w:rPr>
        <w:t>公开时间：20</w:t>
      </w:r>
      <w:r>
        <w:rPr>
          <w:rFonts w:hint="eastAsia"/>
          <w:color w:val="auto"/>
          <w:highlight w:val="none"/>
          <w:lang w:val="en-US" w:eastAsia="zh-CN"/>
        </w:rPr>
        <w:t>22</w:t>
      </w:r>
      <w:r>
        <w:rPr>
          <w:rFonts w:hint="eastAsia"/>
          <w:color w:val="auto"/>
          <w:highlight w:val="none"/>
        </w:rPr>
        <w:t>年</w:t>
      </w:r>
      <w:r>
        <w:rPr>
          <w:rFonts w:hint="eastAsia"/>
          <w:color w:val="auto"/>
          <w:highlight w:val="none"/>
          <w:lang w:val="en-US" w:eastAsia="zh-CN"/>
        </w:rPr>
        <w:t>9</w:t>
      </w:r>
      <w:r>
        <w:rPr>
          <w:rFonts w:hint="eastAsia"/>
          <w:color w:val="auto"/>
          <w:highlight w:val="none"/>
        </w:rPr>
        <w:t>月</w:t>
      </w:r>
      <w:r>
        <w:rPr>
          <w:rFonts w:hint="eastAsia"/>
          <w:color w:val="auto"/>
          <w:highlight w:val="none"/>
          <w:lang w:val="en-US" w:eastAsia="zh-CN"/>
        </w:rPr>
        <w:t>9</w:t>
      </w:r>
      <w:r>
        <w:rPr>
          <w:rFonts w:hint="eastAsia"/>
          <w:color w:val="auto"/>
          <w:highlight w:val="none"/>
        </w:rPr>
        <w:t>日</w:t>
      </w:r>
    </w:p>
    <w:p>
      <w:pPr>
        <w:rPr>
          <w:color w:val="auto"/>
          <w:highlight w:val="none"/>
        </w:rPr>
      </w:pPr>
    </w:p>
    <w:p>
      <w:pPr>
        <w:pStyle w:val="11"/>
        <w:tabs>
          <w:tab w:val="clear" w:pos="8296"/>
        </w:tabs>
        <w:adjustRightInd w:val="0"/>
        <w:snapToGrid w:val="0"/>
        <w:spacing w:before="0" w:line="440" w:lineRule="exact"/>
        <w:jc w:val="left"/>
        <w:rPr>
          <w:rFonts w:hint="default" w:ascii="Times New Roman" w:hAnsi="Times New Roman" w:eastAsia="宋体" w:cs="Times New Roman"/>
          <w:color w:val="auto"/>
          <w:kern w:val="2"/>
          <w:sz w:val="24"/>
          <w:szCs w:val="24"/>
          <w:lang w:val="en-US" w:eastAsia="zh-CN" w:bidi="ar-SA"/>
        </w:rPr>
      </w:pPr>
      <w:bookmarkStart w:id="12" w:name="_Toc15396599"/>
      <w:bookmarkStart w:id="13" w:name="_Toc15377196"/>
      <w:r>
        <w:rPr>
          <w:rFonts w:hint="eastAsia" w:ascii="Times New Roman" w:hAnsi="Times New Roman" w:eastAsia="宋体" w:cs="Times New Roman"/>
          <w:color w:val="auto"/>
          <w:kern w:val="2"/>
          <w:sz w:val="24"/>
          <w:szCs w:val="24"/>
          <w:lang w:val="en-US" w:eastAsia="zh-CN" w:bidi="ar-SA"/>
        </w:rPr>
        <w:t>第一部分 单位概况............................................................................................... ......4</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一、职能</w:t>
      </w:r>
      <w:r>
        <w:rPr>
          <w:rFonts w:hint="eastAsia" w:ascii="Times New Roman" w:hAnsi="Times New Roman" w:eastAsia="宋体" w:cs="Times New Roman"/>
          <w:color w:val="auto"/>
          <w:kern w:val="2"/>
          <w:sz w:val="24"/>
          <w:szCs w:val="24"/>
          <w:lang w:val="en-US" w:eastAsia="zh-CN" w:bidi="ar-SA"/>
        </w:rPr>
        <w:t>简介.................................................................................................. ......4</w:t>
      </w:r>
    </w:p>
    <w:p>
      <w:pPr>
        <w:pStyle w:val="13"/>
        <w:adjustRightInd w:val="0"/>
        <w:snapToGrid w:val="0"/>
        <w:spacing w:line="440" w:lineRule="exact"/>
        <w:jc w:val="left"/>
        <w:rPr>
          <w:rFonts w:hint="eastAsia"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二、</w:t>
      </w:r>
      <w:r>
        <w:rPr>
          <w:rFonts w:hint="default" w:ascii="Times New Roman" w:hAnsi="Times New Roman" w:eastAsia="宋体" w:cs="Times New Roman"/>
          <w:color w:val="auto"/>
          <w:kern w:val="2"/>
          <w:sz w:val="24"/>
          <w:szCs w:val="24"/>
          <w:lang w:val="en-US" w:eastAsia="zh-CN" w:bidi="ar-SA"/>
        </w:rPr>
        <w:t>202</w:t>
      </w:r>
      <w:r>
        <w:rPr>
          <w:rFonts w:hint="eastAsia" w:cs="Times New Roman"/>
          <w:color w:val="auto"/>
          <w:kern w:val="2"/>
          <w:sz w:val="24"/>
          <w:szCs w:val="24"/>
          <w:lang w:val="en-US" w:eastAsia="zh-CN" w:bidi="ar-SA"/>
        </w:rPr>
        <w:t>1</w:t>
      </w:r>
      <w:r>
        <w:rPr>
          <w:rFonts w:hint="default" w:ascii="Times New Roman" w:hAnsi="Times New Roman" w:eastAsia="宋体" w:cs="Times New Roman"/>
          <w:color w:val="auto"/>
          <w:kern w:val="2"/>
          <w:sz w:val="24"/>
          <w:szCs w:val="24"/>
          <w:lang w:val="en-US" w:eastAsia="zh-CN" w:bidi="ar-SA"/>
        </w:rPr>
        <w:t>年重点工作完成情况</w:t>
      </w:r>
      <w:r>
        <w:rPr>
          <w:rFonts w:hint="eastAsia" w:ascii="Times New Roman" w:hAnsi="Times New Roman" w:eastAsia="宋体" w:cs="Times New Roman"/>
          <w:color w:val="auto"/>
          <w:kern w:val="2"/>
          <w:sz w:val="24"/>
          <w:szCs w:val="24"/>
          <w:lang w:val="en-US" w:eastAsia="zh-CN" w:bidi="ar-SA"/>
        </w:rPr>
        <w:t>..................................................................... ......4</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三、机构设置情况......................................................................</w:t>
      </w:r>
      <w:r>
        <w:rPr>
          <w:rFonts w:hint="eastAsia" w:cs="Times New Roman"/>
          <w:color w:val="auto"/>
          <w:kern w:val="2"/>
          <w:sz w:val="24"/>
          <w:szCs w:val="24"/>
          <w:lang w:val="en-US" w:eastAsia="zh-CN" w:bidi="ar-SA"/>
        </w:rPr>
        <w:t>......................</w:t>
      </w:r>
      <w:r>
        <w:rPr>
          <w:rFonts w:hint="eastAsia" w:ascii="Times New Roman" w:hAnsi="Times New Roman" w:eastAsia="宋体" w:cs="Times New Roman"/>
          <w:color w:val="auto"/>
          <w:kern w:val="2"/>
          <w:sz w:val="24"/>
          <w:szCs w:val="24"/>
          <w:lang w:val="en-US" w:eastAsia="zh-CN" w:bidi="ar-SA"/>
        </w:rPr>
        <w:t>.....8</w:t>
      </w:r>
    </w:p>
    <w:p>
      <w:pPr>
        <w:pStyle w:val="11"/>
        <w:adjustRightInd w:val="0"/>
        <w:snapToGrid w:val="0"/>
        <w:spacing w:before="0"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第二部分2021</w:t>
      </w:r>
      <w:bookmarkStart w:id="67" w:name="_GoBack"/>
      <w:bookmarkEnd w:id="67"/>
      <w:r>
        <w:rPr>
          <w:rFonts w:hint="eastAsia" w:ascii="Times New Roman" w:hAnsi="Times New Roman" w:eastAsia="宋体" w:cs="Times New Roman"/>
          <w:color w:val="auto"/>
          <w:kern w:val="2"/>
          <w:sz w:val="24"/>
          <w:szCs w:val="24"/>
          <w:lang w:val="en-US" w:eastAsia="zh-CN" w:bidi="ar-SA"/>
        </w:rPr>
        <w:t>年度部门决算情况说明............................................................. ........9</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一、收入支出决算总体情况说明</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 xml:space="preserve"> </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9</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二、收入决算情况说明</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9</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三、支出决算情况说明</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10</w:t>
      </w:r>
      <w:r>
        <w:rPr>
          <w:rFonts w:hint="default" w:ascii="Times New Roman" w:hAnsi="Times New Roman" w:eastAsia="宋体" w:cs="Times New Roman"/>
          <w:color w:val="auto"/>
          <w:kern w:val="2"/>
          <w:sz w:val="24"/>
          <w:szCs w:val="24"/>
          <w:lang w:val="en-US" w:eastAsia="zh-CN" w:bidi="ar-SA"/>
        </w:rPr>
        <w:t>四、财政拨款收入支出决算总体情况说明</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10</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五、一般公共预算财政拨款支出决算情况说明</w:t>
      </w:r>
      <w:r>
        <w:rPr>
          <w:rFonts w:hint="eastAsia" w:ascii="Times New Roman" w:hAnsi="Times New Roman" w:eastAsia="宋体" w:cs="Times New Roman"/>
          <w:color w:val="auto"/>
          <w:kern w:val="2"/>
          <w:sz w:val="24"/>
          <w:szCs w:val="24"/>
          <w:lang w:val="en-US" w:eastAsia="zh-CN" w:bidi="ar-SA"/>
        </w:rPr>
        <w:t>.................................................</w:t>
      </w:r>
      <w:r>
        <w:rPr>
          <w:rFonts w:hint="eastAsia" w:cs="Times New Roman"/>
          <w:color w:val="auto"/>
          <w:kern w:val="2"/>
          <w:sz w:val="24"/>
          <w:szCs w:val="24"/>
          <w:lang w:val="en-US" w:eastAsia="zh-CN" w:bidi="ar-SA"/>
        </w:rPr>
        <w:t>11</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六、一般公共预算财政拨款基本支出决算情况说明</w:t>
      </w:r>
      <w:r>
        <w:rPr>
          <w:rFonts w:hint="eastAsia" w:ascii="Times New Roman" w:hAnsi="Times New Roman" w:eastAsia="宋体" w:cs="Times New Roman"/>
          <w:color w:val="auto"/>
          <w:kern w:val="2"/>
          <w:sz w:val="24"/>
          <w:szCs w:val="24"/>
          <w:lang w:val="en-US" w:eastAsia="zh-CN" w:bidi="ar-SA"/>
        </w:rPr>
        <w:t>.........................................1</w:t>
      </w:r>
      <w:r>
        <w:rPr>
          <w:rFonts w:hint="eastAsia" w:cs="Times New Roman"/>
          <w:color w:val="auto"/>
          <w:kern w:val="2"/>
          <w:sz w:val="24"/>
          <w:szCs w:val="24"/>
          <w:lang w:val="en-US" w:eastAsia="zh-CN" w:bidi="ar-SA"/>
        </w:rPr>
        <w:t>4</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七、“三公”经费财政拨款支出决算情况说明</w:t>
      </w:r>
      <w:r>
        <w:rPr>
          <w:rFonts w:hint="eastAsia" w:ascii="Times New Roman" w:hAnsi="Times New Roman" w:eastAsia="宋体" w:cs="Times New Roman"/>
          <w:color w:val="auto"/>
          <w:kern w:val="2"/>
          <w:sz w:val="24"/>
          <w:szCs w:val="24"/>
          <w:lang w:val="en-US" w:eastAsia="zh-CN" w:bidi="ar-SA"/>
        </w:rPr>
        <w:t>.....................................................1</w:t>
      </w:r>
      <w:r>
        <w:rPr>
          <w:rFonts w:hint="eastAsia" w:cs="Times New Roman"/>
          <w:color w:val="auto"/>
          <w:kern w:val="2"/>
          <w:sz w:val="24"/>
          <w:szCs w:val="24"/>
          <w:lang w:val="en-US" w:eastAsia="zh-CN" w:bidi="ar-SA"/>
        </w:rPr>
        <w:t>5</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八、政府性基金预算支出决算情况说明</w:t>
      </w:r>
      <w:r>
        <w:rPr>
          <w:rFonts w:hint="eastAsia" w:ascii="Times New Roman" w:hAnsi="Times New Roman" w:eastAsia="宋体" w:cs="Times New Roman"/>
          <w:color w:val="auto"/>
          <w:kern w:val="2"/>
          <w:sz w:val="24"/>
          <w:szCs w:val="24"/>
          <w:lang w:val="en-US" w:eastAsia="zh-CN" w:bidi="ar-SA"/>
        </w:rPr>
        <w:t>.............................................................1</w:t>
      </w:r>
      <w:r>
        <w:rPr>
          <w:rFonts w:hint="eastAsia" w:cs="Times New Roman"/>
          <w:color w:val="auto"/>
          <w:kern w:val="2"/>
          <w:sz w:val="24"/>
          <w:szCs w:val="24"/>
          <w:lang w:val="en-US" w:eastAsia="zh-CN" w:bidi="ar-SA"/>
        </w:rPr>
        <w:t>7</w:t>
      </w:r>
    </w:p>
    <w:p>
      <w:pPr>
        <w:pStyle w:val="13"/>
        <w:adjustRightInd w:val="0"/>
        <w:snapToGrid w:val="0"/>
        <w:spacing w:line="440" w:lineRule="exact"/>
        <w:jc w:val="left"/>
        <w:rPr>
          <w:rFonts w:hint="eastAsia"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九、国有资本经营预算支出决算情况说明.........................................................1</w:t>
      </w:r>
      <w:r>
        <w:rPr>
          <w:rFonts w:hint="eastAsia" w:cs="Times New Roman"/>
          <w:color w:val="auto"/>
          <w:kern w:val="2"/>
          <w:sz w:val="24"/>
          <w:szCs w:val="24"/>
          <w:lang w:val="en-US" w:eastAsia="zh-CN" w:bidi="ar-SA"/>
        </w:rPr>
        <w:t>7</w:t>
      </w:r>
      <w:r>
        <w:rPr>
          <w:rFonts w:hint="eastAsia" w:ascii="Times New Roman" w:hAnsi="Times New Roman" w:eastAsia="宋体" w:cs="Times New Roman"/>
          <w:color w:val="auto"/>
          <w:kern w:val="2"/>
          <w:sz w:val="24"/>
          <w:szCs w:val="24"/>
          <w:lang w:val="en-US" w:eastAsia="zh-CN" w:bidi="ar-SA"/>
        </w:rPr>
        <w:t xml:space="preserve"> </w:t>
      </w:r>
    </w:p>
    <w:p>
      <w:pPr>
        <w:adjustRightInd w:val="0"/>
        <w:snapToGrid w:val="0"/>
        <w:spacing w:line="440" w:lineRule="exact"/>
        <w:ind w:firstLine="480" w:firstLineChars="200"/>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十、其他重要事项的情况说明...........................................................................1</w:t>
      </w:r>
      <w:r>
        <w:rPr>
          <w:rFonts w:hint="eastAsia" w:cs="Times New Roman"/>
          <w:color w:val="auto"/>
          <w:kern w:val="2"/>
          <w:sz w:val="24"/>
          <w:szCs w:val="24"/>
          <w:lang w:val="en-US" w:eastAsia="zh-CN" w:bidi="ar-SA"/>
        </w:rPr>
        <w:t>7</w:t>
      </w:r>
    </w:p>
    <w:p>
      <w:pPr>
        <w:pStyle w:val="11"/>
        <w:adjustRightInd w:val="0"/>
        <w:snapToGrid w:val="0"/>
        <w:spacing w:before="0"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第三部分 名词解释....................................................................................................19</w:t>
      </w:r>
    </w:p>
    <w:p>
      <w:pPr>
        <w:pStyle w:val="11"/>
        <w:adjustRightInd w:val="0"/>
        <w:snapToGrid w:val="0"/>
        <w:spacing w:before="0"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第四部分 附件............................................................................................................21</w:t>
      </w:r>
    </w:p>
    <w:p>
      <w:pPr>
        <w:pStyle w:val="11"/>
        <w:adjustRightInd w:val="0"/>
        <w:snapToGrid w:val="0"/>
        <w:spacing w:before="0"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第五部分 附表............................................................................................................22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一、收入支出决算总表........................................................................................2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二、收入决算表....................................................................................................2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三、支出决算表....................................................................................................2</w:t>
      </w:r>
      <w:r>
        <w:rPr>
          <w:rFonts w:hint="eastAsia" w:cs="Times New Roman"/>
          <w:color w:val="auto"/>
          <w:kern w:val="2"/>
          <w:sz w:val="24"/>
          <w:szCs w:val="24"/>
          <w:lang w:val="en-US" w:eastAsia="zh-CN" w:bidi="ar-SA"/>
        </w:rPr>
        <w:t>2</w:t>
      </w:r>
      <w:r>
        <w:rPr>
          <w:rFonts w:hint="eastAsia" w:ascii="Times New Roman" w:hAnsi="Times New Roman" w:eastAsia="宋体" w:cs="Times New Roman"/>
          <w:color w:val="auto"/>
          <w:kern w:val="2"/>
          <w:sz w:val="24"/>
          <w:szCs w:val="24"/>
          <w:lang w:val="en-US" w:eastAsia="zh-CN" w:bidi="ar-SA"/>
        </w:rPr>
        <w:t>四、财政拨款收入支出决算总表.........................................................................2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五、财政拨款支出决算明细表............................................................................2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六、一般公共预算财政拨款支出决算表............................................................2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七、一般公共预算财政拨款支出决算明细表....................................................2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八、一般公共预算财政拨款基本支出决算表...................................................2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九、一般公共预算财政拨款项目支出决算表...................................................2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十、一般公共预算财政拨款“三公”经费支出决算表...................................2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十一、政府性基金预算财政拨款收入支出决算表...........................................2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十二、政府性基金预算财政拨款“三公”经费支出决算表.................................2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十三、国有资本经营预算财政拨款收入支出决算表........................................2</w:t>
      </w:r>
      <w:r>
        <w:rPr>
          <w:rFonts w:hint="eastAsia" w:cs="Times New Roman"/>
          <w:color w:val="auto"/>
          <w:kern w:val="2"/>
          <w:sz w:val="24"/>
          <w:szCs w:val="24"/>
          <w:lang w:val="en-US" w:eastAsia="zh-CN" w:bidi="ar-SA"/>
        </w:rPr>
        <w:t>2</w:t>
      </w:r>
    </w:p>
    <w:p>
      <w:pPr>
        <w:pStyle w:val="13"/>
        <w:adjustRightInd w:val="0"/>
        <w:snapToGrid w:val="0"/>
        <w:spacing w:line="440" w:lineRule="exact"/>
        <w:jc w:val="left"/>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十四、国有资本经营预算财政拨款支出决算表.................................................2</w:t>
      </w:r>
      <w:r>
        <w:rPr>
          <w:rFonts w:hint="eastAsia" w:cs="Times New Roman"/>
          <w:color w:val="auto"/>
          <w:kern w:val="2"/>
          <w:sz w:val="24"/>
          <w:szCs w:val="24"/>
          <w:lang w:val="en-US" w:eastAsia="zh-CN" w:bidi="ar-SA"/>
        </w:rPr>
        <w:t>2</w:t>
      </w:r>
    </w:p>
    <w:p>
      <w:pPr>
        <w:widowControl/>
        <w:adjustRightInd w:val="0"/>
        <w:snapToGrid w:val="0"/>
        <w:spacing w:line="440" w:lineRule="exact"/>
        <w:ind w:firstLine="1320" w:firstLineChars="550"/>
        <w:jc w:val="left"/>
        <w:rPr>
          <w:rFonts w:hint="eastAsia" w:ascii="Times New Roman" w:hAnsi="Times New Roman" w:eastAsia="宋体" w:cs="Times New Roman"/>
          <w:color w:val="auto"/>
          <w:kern w:val="2"/>
          <w:sz w:val="24"/>
          <w:szCs w:val="24"/>
          <w:lang w:val="en-US" w:eastAsia="zh-CN" w:bidi="ar-SA"/>
        </w:rPr>
      </w:pPr>
    </w:p>
    <w:p>
      <w:pPr>
        <w:widowControl/>
        <w:spacing w:line="440" w:lineRule="exact"/>
        <w:jc w:val="left"/>
        <w:rPr>
          <w:rFonts w:ascii="仿宋" w:hAnsi="仿宋" w:eastAsia="仿宋"/>
          <w:bCs/>
          <w:color w:val="auto"/>
          <w:kern w:val="44"/>
          <w:sz w:val="24"/>
          <w:highlight w:val="none"/>
        </w:rPr>
      </w:pPr>
      <w:r>
        <w:rPr>
          <w:rFonts w:ascii="仿宋" w:hAnsi="仿宋" w:eastAsia="仿宋"/>
          <w:b/>
          <w:color w:val="auto"/>
          <w:sz w:val="24"/>
          <w:highlight w:val="none"/>
        </w:rPr>
        <w:br w:type="page"/>
      </w:r>
    </w:p>
    <w:p>
      <w:pPr>
        <w:pStyle w:val="3"/>
        <w:jc w:val="center"/>
        <w:rPr>
          <w:rStyle w:val="26"/>
          <w:rFonts w:ascii="黑体" w:hAnsi="黑体" w:eastAsia="黑体"/>
          <w:b/>
          <w:bCs w:val="0"/>
          <w:color w:val="auto"/>
          <w:highlight w:val="none"/>
        </w:rPr>
      </w:pPr>
      <w:r>
        <w:rPr>
          <w:rFonts w:hint="eastAsia" w:ascii="黑体" w:hAnsi="黑体" w:eastAsia="黑体"/>
          <w:b w:val="0"/>
          <w:color w:val="auto"/>
          <w:highlight w:val="none"/>
        </w:rPr>
        <w:t xml:space="preserve">第一部分 </w:t>
      </w:r>
      <w:r>
        <w:rPr>
          <w:rFonts w:hint="eastAsia" w:ascii="黑体" w:hAnsi="黑体" w:eastAsia="黑体"/>
          <w:b w:val="0"/>
          <w:color w:val="auto"/>
          <w:highlight w:val="none"/>
          <w:lang w:eastAsia="zh-CN"/>
        </w:rPr>
        <w:t>单位</w:t>
      </w:r>
      <w:r>
        <w:rPr>
          <w:rStyle w:val="26"/>
          <w:rFonts w:hint="eastAsia" w:ascii="黑体" w:hAnsi="黑体" w:eastAsia="黑体"/>
          <w:b w:val="0"/>
          <w:bCs w:val="0"/>
          <w:color w:val="auto"/>
          <w:highlight w:val="none"/>
        </w:rPr>
        <w:t>概况</w:t>
      </w:r>
      <w:bookmarkEnd w:id="12"/>
      <w:bookmarkEnd w:id="13"/>
    </w:p>
    <w:p>
      <w:pPr>
        <w:widowControl/>
        <w:jc w:val="left"/>
        <w:rPr>
          <w:rFonts w:ascii="黑体" w:eastAsia="黑体"/>
          <w:color w:val="auto"/>
          <w:sz w:val="32"/>
          <w:szCs w:val="32"/>
          <w:highlight w:val="none"/>
        </w:rPr>
      </w:pPr>
    </w:p>
    <w:p>
      <w:pPr>
        <w:pStyle w:val="4"/>
        <w:keepNext/>
        <w:keepLines/>
        <w:pageBreakBefore w:val="0"/>
        <w:widowControl w:val="0"/>
        <w:numPr>
          <w:ilvl w:val="0"/>
          <w:numId w:val="0"/>
        </w:numPr>
        <w:kinsoku/>
        <w:wordWrap/>
        <w:overflowPunct/>
        <w:topLinePunct w:val="0"/>
        <w:autoSpaceDE/>
        <w:autoSpaceDN/>
        <w:bidi w:val="0"/>
        <w:adjustRightInd/>
        <w:snapToGrid/>
        <w:spacing w:line="416" w:lineRule="auto"/>
        <w:ind w:firstLine="640" w:firstLineChars="200"/>
        <w:textAlignment w:val="auto"/>
        <w:rPr>
          <w:rStyle w:val="27"/>
          <w:rFonts w:hint="eastAsia" w:ascii="黑体" w:hAnsi="黑体" w:eastAsia="黑体"/>
          <w:b w:val="0"/>
          <w:bCs w:val="0"/>
          <w:color w:val="auto"/>
          <w:highlight w:val="none"/>
          <w:lang w:eastAsia="zh-CN"/>
        </w:rPr>
      </w:pPr>
      <w:bookmarkStart w:id="14" w:name="_Toc15377197"/>
      <w:bookmarkStart w:id="15" w:name="_Toc15396600"/>
      <w:r>
        <w:rPr>
          <w:rStyle w:val="27"/>
          <w:rFonts w:hint="eastAsia" w:ascii="黑体" w:hAnsi="黑体" w:eastAsia="黑体"/>
          <w:b w:val="0"/>
          <w:bCs w:val="0"/>
          <w:color w:val="auto"/>
          <w:highlight w:val="none"/>
          <w:lang w:eastAsia="zh-CN"/>
        </w:rPr>
        <w:t>一、</w:t>
      </w:r>
      <w:r>
        <w:rPr>
          <w:rStyle w:val="27"/>
          <w:rFonts w:hint="eastAsia" w:ascii="黑体" w:hAnsi="黑体" w:eastAsia="黑体"/>
          <w:b w:val="0"/>
          <w:bCs w:val="0"/>
          <w:color w:val="auto"/>
          <w:highlight w:val="none"/>
        </w:rPr>
        <w:t>职能</w:t>
      </w:r>
      <w:r>
        <w:rPr>
          <w:rStyle w:val="27"/>
          <w:rFonts w:hint="eastAsia" w:ascii="黑体" w:hAnsi="黑体" w:eastAsia="黑体"/>
          <w:b w:val="0"/>
          <w:bCs w:val="0"/>
          <w:color w:val="auto"/>
          <w:highlight w:val="none"/>
          <w:lang w:eastAsia="zh-CN"/>
        </w:rPr>
        <w:t>简介</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1</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协助人民政府贯彻落实法律、法规、规章和政策，代表维护天主教界的合法权益。帮助天主教界人士和群众不断提高爱国主义和社会主义的觉悟。</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2</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指导天主教教务，制定规章制度并督促落实。</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3</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从事天主教文化研究，阐释符合社会进步的天主教教义教规，推动中国化神学思想建设。</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4</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开展宗教教育培训，培养天主教教职人员，认定、管理天主教教职人员。</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5</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自觉接受党和政府的领导，在宪法和法律的范围内按照章程开展有益工作，成为党和政府团结、联系天主教界人士和广大教友的桥梁和纽带。</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eastAsia" w:ascii="仿宋_GB2312" w:hAnsi="仿宋_GB2312" w:eastAsia="仿宋_GB2312" w:cs="仿宋_GB2312"/>
          <w:sz w:val="32"/>
          <w:szCs w:val="32"/>
        </w:rPr>
      </w:pPr>
      <w:r>
        <w:rPr>
          <w:rStyle w:val="32"/>
          <w:rFonts w:hint="eastAsia" w:ascii="仿宋_GB2312" w:hAnsi="仿宋_GB2312" w:eastAsia="仿宋_GB2312" w:cs="仿宋_GB2312"/>
          <w:sz w:val="32"/>
          <w:szCs w:val="32"/>
        </w:rPr>
        <w:t>6</w:t>
      </w:r>
      <w:r>
        <w:rPr>
          <w:rStyle w:val="32"/>
          <w:rFonts w:hint="eastAsia" w:ascii="仿宋_GB2312" w:hAnsi="仿宋_GB2312" w:eastAsia="仿宋_GB2312" w:cs="仿宋_GB2312"/>
          <w:sz w:val="32"/>
          <w:szCs w:val="32"/>
          <w:lang w:val="en-US" w:eastAsia="zh-CN"/>
        </w:rPr>
        <w:t>.</w:t>
      </w:r>
      <w:r>
        <w:rPr>
          <w:rStyle w:val="32"/>
          <w:rFonts w:hint="eastAsia" w:ascii="仿宋_GB2312" w:hAnsi="仿宋_GB2312" w:eastAsia="仿宋_GB2312" w:cs="仿宋_GB2312"/>
          <w:sz w:val="32"/>
          <w:szCs w:val="32"/>
        </w:rPr>
        <w:t>本会可以根据本省天主教的需要按照规定选派和接受天主教留学人员。</w:t>
      </w:r>
    </w:p>
    <w:p>
      <w:pPr>
        <w:pageBreakBefore w:val="0"/>
        <w:widowControl w:val="0"/>
        <w:kinsoku/>
        <w:wordWrap/>
        <w:overflowPunct/>
        <w:topLinePunct w:val="0"/>
        <w:autoSpaceDE/>
        <w:autoSpaceDN/>
        <w:bidi w:val="0"/>
        <w:adjustRightInd/>
        <w:snapToGrid/>
        <w:spacing w:line="600" w:lineRule="exact"/>
        <w:ind w:firstLine="640" w:firstLineChars="200"/>
        <w:textAlignment w:val="auto"/>
        <w:rPr>
          <w:rStyle w:val="32"/>
          <w:rFonts w:hint="default" w:ascii="仿宋_GB2312" w:hAnsi="仿宋_GB2312" w:eastAsia="仿宋_GB2312" w:cs="仿宋_GB2312"/>
          <w:sz w:val="32"/>
          <w:szCs w:val="32"/>
          <w:lang w:val="en-US" w:eastAsia="zh-CN"/>
        </w:rPr>
      </w:pPr>
      <w:r>
        <w:rPr>
          <w:rStyle w:val="32"/>
          <w:rFonts w:hint="eastAsia" w:ascii="仿宋_GB2312" w:hAnsi="仿宋_GB2312" w:eastAsia="仿宋_GB2312" w:cs="仿宋_GB2312"/>
          <w:color w:val="auto"/>
          <w:sz w:val="32"/>
          <w:szCs w:val="32"/>
          <w:lang w:val="en-US" w:eastAsia="zh-CN"/>
        </w:rPr>
        <w:t>7.</w:t>
      </w:r>
      <w:r>
        <w:rPr>
          <w:rStyle w:val="32"/>
          <w:rFonts w:hint="eastAsia" w:ascii="仿宋_GB2312" w:hAnsi="仿宋_GB2312" w:eastAsia="仿宋_GB2312" w:cs="仿宋_GB2312"/>
          <w:sz w:val="32"/>
          <w:szCs w:val="32"/>
          <w:lang w:val="en-US" w:eastAsia="zh-CN"/>
        </w:rPr>
        <w:t>协助省委统战部、省民族宗教委履行对宗教事务的行政管理事项。</w:t>
      </w:r>
    </w:p>
    <w:p>
      <w:pPr>
        <w:pStyle w:val="4"/>
        <w:keepNext/>
        <w:keepLines/>
        <w:pageBreakBefore w:val="0"/>
        <w:widowControl w:val="0"/>
        <w:numPr>
          <w:ilvl w:val="0"/>
          <w:numId w:val="0"/>
        </w:numPr>
        <w:kinsoku/>
        <w:wordWrap/>
        <w:overflowPunct/>
        <w:topLinePunct w:val="0"/>
        <w:autoSpaceDE/>
        <w:autoSpaceDN/>
        <w:bidi w:val="0"/>
        <w:adjustRightInd/>
        <w:snapToGrid/>
        <w:spacing w:line="416" w:lineRule="auto"/>
        <w:ind w:firstLine="640" w:firstLineChars="200"/>
        <w:textAlignment w:val="auto"/>
        <w:rPr>
          <w:rStyle w:val="27"/>
          <w:rFonts w:hint="eastAsia" w:ascii="黑体" w:hAnsi="黑体" w:eastAsia="黑体"/>
          <w:b w:val="0"/>
          <w:bCs w:val="0"/>
          <w:color w:val="auto"/>
          <w:highlight w:val="none"/>
          <w:lang w:eastAsia="zh-CN"/>
        </w:rPr>
      </w:pPr>
      <w:r>
        <w:rPr>
          <w:rStyle w:val="27"/>
          <w:rFonts w:hint="eastAsia" w:ascii="黑体" w:hAnsi="黑体" w:eastAsia="黑体"/>
          <w:b w:val="0"/>
          <w:bCs w:val="0"/>
          <w:color w:val="auto"/>
          <w:highlight w:val="none"/>
          <w:lang w:val="en-US" w:eastAsia="zh-CN"/>
        </w:rPr>
        <w:t>二、2021年重点</w:t>
      </w:r>
      <w:r>
        <w:rPr>
          <w:rStyle w:val="27"/>
          <w:rFonts w:hint="eastAsia" w:ascii="黑体" w:hAnsi="黑体" w:eastAsia="黑体"/>
          <w:b w:val="0"/>
          <w:bCs w:val="0"/>
          <w:color w:val="auto"/>
          <w:highlight w:val="none"/>
          <w:lang w:eastAsia="zh-CN"/>
        </w:rPr>
        <w:t>工作</w:t>
      </w:r>
      <w:bookmarkEnd w:id="14"/>
      <w:bookmarkEnd w:id="15"/>
      <w:r>
        <w:rPr>
          <w:rStyle w:val="27"/>
          <w:rFonts w:hint="eastAsia" w:ascii="黑体" w:hAnsi="黑体" w:eastAsia="黑体"/>
          <w:b w:val="0"/>
          <w:bCs w:val="0"/>
          <w:color w:val="auto"/>
          <w:highlight w:val="none"/>
          <w:lang w:eastAsia="zh-CN"/>
        </w:rPr>
        <w:t>完成情况</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jc w:val="both"/>
        <w:textAlignment w:val="auto"/>
        <w:rPr>
          <w:rFonts w:hint="default" w:ascii="方正小标宋简体" w:hAnsi="方正小标宋简体" w:eastAsia="方正小标宋简体" w:cs="方正小标宋简体"/>
          <w:b w:val="0"/>
          <w:bCs/>
          <w:sz w:val="44"/>
          <w:szCs w:val="44"/>
          <w:lang w:val="en-US"/>
        </w:rPr>
      </w:pPr>
      <w:r>
        <w:rPr>
          <w:rStyle w:val="32"/>
          <w:rFonts w:hint="eastAsia" w:ascii="仿宋_GB2312" w:hAnsi="仿宋_GB2312" w:eastAsia="仿宋_GB2312" w:cs="仿宋_GB2312"/>
          <w:color w:val="auto"/>
          <w:spacing w:val="8"/>
          <w:kern w:val="2"/>
          <w:sz w:val="32"/>
          <w:szCs w:val="32"/>
          <w:lang w:val="en-US" w:eastAsia="zh-CN" w:bidi="ar-SA"/>
        </w:rPr>
        <w:t>根据工作安排，现将2021年工作总结及2022年工作要点报告如下：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textAlignment w:val="auto"/>
        <w:rPr>
          <w:rFonts w:hint="eastAsia"/>
          <w:lang w:val="en-US" w:eastAsia="zh-CN"/>
        </w:rPr>
      </w:pPr>
      <w:r>
        <w:rPr>
          <w:rFonts w:hint="eastAsia" w:ascii="楷体_GB2312" w:hAnsi="楷体_GB2312" w:eastAsia="楷体_GB2312" w:cs="楷体_GB2312"/>
          <w:b/>
          <w:bCs/>
          <w:sz w:val="32"/>
          <w:szCs w:val="32"/>
          <w:lang w:val="en-US" w:eastAsia="zh-CN"/>
        </w:rPr>
        <w:t>（一）以政治引领为方向做好疫情防控。</w:t>
      </w:r>
      <w:r>
        <w:rPr>
          <w:rStyle w:val="32"/>
          <w:rFonts w:hint="eastAsia" w:ascii="仿宋_GB2312" w:hAnsi="仿宋_GB2312" w:eastAsia="仿宋_GB2312" w:cs="仿宋_GB2312"/>
          <w:color w:val="auto"/>
          <w:spacing w:val="8"/>
          <w:kern w:val="2"/>
          <w:sz w:val="32"/>
          <w:szCs w:val="32"/>
          <w:lang w:val="en-US" w:eastAsia="zh-CN" w:bidi="ar-SA"/>
        </w:rPr>
        <w:t>省天主教“两会”坚决把全省天主教界的思想和行动统一到党中央决策部署上来，不折不扣落实四川宗教领域疫情防控“双暂</w:t>
      </w:r>
      <w:r>
        <w:rPr>
          <w:rFonts w:hint="eastAsia" w:ascii="仿宋_GB2312" w:hAnsi="仿宋_GB2312" w:eastAsia="仿宋_GB2312" w:cs="仿宋_GB2312"/>
          <w:sz w:val="32"/>
          <w:szCs w:val="32"/>
        </w:rPr>
        <w:t>停”措施</w:t>
      </w:r>
      <w:r>
        <w:rPr>
          <w:rFonts w:hint="eastAsia" w:ascii="仿宋_GB2312" w:hAnsi="仿宋_GB2312" w:eastAsia="仿宋_GB2312" w:cs="仿宋_GB2312"/>
          <w:sz w:val="32"/>
          <w:szCs w:val="32"/>
          <w:lang w:eastAsia="zh-CN"/>
        </w:rPr>
        <w:t>，</w:t>
      </w:r>
      <w:r>
        <w:rPr>
          <w:rStyle w:val="32"/>
          <w:rFonts w:hint="eastAsia" w:ascii="仿宋_GB2312" w:hAnsi="仿宋_GB2312" w:eastAsia="仿宋_GB2312" w:cs="仿宋_GB2312"/>
          <w:sz w:val="32"/>
          <w:szCs w:val="32"/>
        </w:rPr>
        <w:t>及时下发《关于防控冠状病毒疫情暂停集体聚会等宗教活动的通知》等</w:t>
      </w:r>
      <w:r>
        <w:rPr>
          <w:rStyle w:val="32"/>
          <w:rFonts w:hint="eastAsia" w:ascii="仿宋_GB2312" w:hAnsi="仿宋_GB2312" w:eastAsia="仿宋_GB2312" w:cs="仿宋_GB2312"/>
          <w:sz w:val="32"/>
          <w:szCs w:val="32"/>
          <w:lang w:val="en-US" w:eastAsia="zh-CN"/>
        </w:rPr>
        <w:t>9个</w:t>
      </w:r>
      <w:r>
        <w:rPr>
          <w:rStyle w:val="32"/>
          <w:rFonts w:hint="eastAsia" w:ascii="仿宋_GB2312" w:hAnsi="仿宋_GB2312" w:eastAsia="仿宋_GB2312" w:cs="仿宋_GB2312"/>
          <w:sz w:val="32"/>
          <w:szCs w:val="32"/>
        </w:rPr>
        <w:t>抗疫指导性文件</w:t>
      </w:r>
      <w:r>
        <w:rPr>
          <w:rFonts w:hint="eastAsia" w:ascii="仿宋_GB2312" w:hAnsi="仿宋_GB2312" w:eastAsia="仿宋_GB2312" w:cs="仿宋_GB2312"/>
          <w:sz w:val="32"/>
          <w:szCs w:val="32"/>
          <w:lang w:val="en-US" w:eastAsia="zh-CN"/>
        </w:rPr>
        <w:t>，要求各地教会服从大局，听从安排，坚决抵制和打击疫情防控期间境外敌对势力利用宗教进行渗透。在教堂开放后，积极做好</w:t>
      </w:r>
      <w:r>
        <w:rPr>
          <w:rFonts w:hint="eastAsia" w:ascii="仿宋_GB2312" w:hAnsi="仿宋_GB2312" w:eastAsia="仿宋_GB2312" w:cs="仿宋_GB2312"/>
          <w:sz w:val="32"/>
          <w:szCs w:val="32"/>
        </w:rPr>
        <w:t>常态化</w:t>
      </w:r>
      <w:r>
        <w:rPr>
          <w:rFonts w:hint="eastAsia" w:ascii="仿宋_GB2312" w:hAnsi="仿宋_GB2312" w:eastAsia="仿宋_GB2312" w:cs="仿宋_GB2312"/>
          <w:sz w:val="32"/>
          <w:szCs w:val="32"/>
          <w:lang w:val="en-US" w:eastAsia="zh-CN"/>
        </w:rPr>
        <w:t>疫情</w:t>
      </w:r>
      <w:r>
        <w:rPr>
          <w:rFonts w:hint="eastAsia" w:ascii="仿宋_GB2312" w:hAnsi="仿宋_GB2312" w:eastAsia="仿宋_GB2312" w:cs="仿宋_GB2312"/>
          <w:sz w:val="32"/>
          <w:szCs w:val="32"/>
        </w:rPr>
        <w:t>防控工作</w:t>
      </w:r>
      <w:r>
        <w:rPr>
          <w:rFonts w:hint="eastAsia" w:ascii="仿宋_GB2312" w:hAnsi="仿宋_GB2312" w:eastAsia="仿宋_GB2312" w:cs="仿宋_GB2312"/>
          <w:sz w:val="32"/>
          <w:szCs w:val="32"/>
          <w:lang w:val="en-US" w:eastAsia="zh-CN"/>
        </w:rPr>
        <w:t>，构筑全民免疫屏障，指导各地教会</w:t>
      </w:r>
      <w:r>
        <w:rPr>
          <w:rFonts w:hint="eastAsia" w:ascii="仿宋_GB2312" w:hAnsi="仿宋_GB2312" w:eastAsia="仿宋_GB2312" w:cs="仿宋_GB2312"/>
          <w:sz w:val="32"/>
          <w:szCs w:val="32"/>
        </w:rPr>
        <w:t>向教职人员、信教群众做好宣传引导,开展政策解读和知识普及,</w:t>
      </w:r>
      <w:r>
        <w:rPr>
          <w:rFonts w:hint="eastAsia" w:ascii="仿宋_GB2312" w:hAnsi="仿宋_GB2312" w:eastAsia="仿宋_GB2312" w:cs="仿宋_GB2312"/>
          <w:sz w:val="32"/>
          <w:szCs w:val="32"/>
          <w:lang w:val="en-US" w:eastAsia="zh-CN"/>
        </w:rPr>
        <w:t>主动配合当地开展疫情防控工作，稳妥推进教职人员疫苗接种，降低人群发病和感染风险。2021年12月，</w:t>
      </w:r>
      <w:r>
        <w:rPr>
          <w:rFonts w:hint="eastAsia" w:ascii="仿宋_GB2312" w:hAnsi="仿宋_GB2312" w:eastAsia="仿宋_GB2312" w:cs="仿宋_GB2312"/>
          <w:sz w:val="32"/>
          <w:szCs w:val="32"/>
          <w:lang w:eastAsia="zh-CN"/>
        </w:rPr>
        <w:t>省天主教“两会”委员及市（州）爱国会主要负责人</w:t>
      </w:r>
      <w:r>
        <w:rPr>
          <w:rFonts w:hint="eastAsia" w:ascii="仿宋_GB2312" w:hAnsi="仿宋_GB2312" w:eastAsia="仿宋_GB2312" w:cs="仿宋_GB2312"/>
          <w:sz w:val="32"/>
          <w:szCs w:val="32"/>
          <w:lang w:val="en-US" w:eastAsia="zh-CN"/>
        </w:rPr>
        <w:t>30余人赴四川天主教神哲学院开展了“爱国卫生运动”，共同打扫校园卫生，排查安全隐患。</w:t>
      </w:r>
      <w:r>
        <w:rPr>
          <w:rStyle w:val="32"/>
          <w:rFonts w:hint="eastAsia" w:ascii="仿宋_GB2312" w:hAnsi="仿宋_GB2312" w:eastAsia="仿宋_GB2312" w:cs="仿宋_GB2312"/>
          <w:color w:val="auto"/>
          <w:kern w:val="2"/>
          <w:sz w:val="32"/>
          <w:szCs w:val="32"/>
          <w:lang w:val="en-US" w:eastAsia="zh-CN" w:bidi="ar-SA"/>
        </w:rPr>
        <w:t>全省天主教界</w:t>
      </w:r>
      <w:r>
        <w:rPr>
          <w:rFonts w:hint="eastAsia" w:ascii="仿宋_GB2312" w:hAnsi="仿宋_GB2312" w:eastAsia="仿宋_GB2312" w:cs="仿宋_GB2312"/>
          <w:sz w:val="32"/>
          <w:szCs w:val="32"/>
          <w:lang w:val="en-US" w:eastAsia="zh-CN"/>
        </w:rPr>
        <w:t>无一起地下势力，无一起非法活动，无一起安全事故，</w:t>
      </w:r>
      <w:r>
        <w:rPr>
          <w:rStyle w:val="32"/>
          <w:rFonts w:hint="eastAsia" w:ascii="仿宋_GB2312" w:hAnsi="仿宋_GB2312" w:eastAsia="仿宋_GB2312" w:cs="仿宋_GB2312"/>
          <w:color w:val="auto"/>
          <w:kern w:val="2"/>
          <w:sz w:val="32"/>
          <w:szCs w:val="32"/>
          <w:lang w:val="en-US" w:eastAsia="zh-CN" w:bidi="ar-SA"/>
        </w:rPr>
        <w:t>无一起疫情病例。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val="en-US" w:eastAsia="zh-CN"/>
        </w:rPr>
        <w:t>（二）以思想建设为重点夯实爱国根基。</w:t>
      </w:r>
      <w:r>
        <w:rPr>
          <w:rFonts w:hint="eastAsia" w:ascii="仿宋_GB2312" w:hAnsi="仿宋_GB2312" w:eastAsia="仿宋_GB2312" w:cs="仿宋_GB2312"/>
          <w:sz w:val="32"/>
          <w:szCs w:val="32"/>
          <w:lang w:val="en-US" w:eastAsia="zh-CN"/>
        </w:rPr>
        <w:t>加强教育引导，指导各地教会认真学习习近平总书记在建党100周年、党史学习教育大会、中央民族工作会议、全国宗教工作会议上的重要讲话精神，铸牢中华民族共同体意识。加强情感认同，发起开展庆祝建党100周年系列活动的倡议，组织代表人士参加2021年四川省宗教界庆国庆集中升国旗仪式暨“爱国爱教爱家乡”活动并指导各地教会同步举行升国旗仪式，动员各地教会开展党史学习教育和“爱党爱国爱社会主义”主题教育活动。激发爱国情怀</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深入挖掘磨西天主堂、泸定天主</w:t>
      </w:r>
      <w:r>
        <w:rPr>
          <w:rFonts w:hint="eastAsia" w:ascii="仿宋_GB2312" w:hAnsi="仿宋_GB2312" w:eastAsia="仿宋_GB2312" w:cs="仿宋_GB2312"/>
          <w:sz w:val="32"/>
          <w:szCs w:val="32"/>
          <w:u w:val="none"/>
          <w:lang w:val="en-US" w:eastAsia="zh-CN"/>
        </w:rPr>
        <w:t>堂</w:t>
      </w:r>
      <w:r>
        <w:rPr>
          <w:rFonts w:hint="eastAsia" w:ascii="仿宋_GB2312" w:hAnsi="仿宋_GB2312" w:eastAsia="仿宋_GB2312" w:cs="仿宋_GB2312"/>
          <w:sz w:val="32"/>
          <w:szCs w:val="32"/>
          <w:lang w:val="en-US" w:eastAsia="zh-CN"/>
        </w:rPr>
        <w:t>、冕宁天主堂、邓池沟天主堂、小寺山天主堂</w:t>
      </w:r>
      <w:r>
        <w:rPr>
          <w:rFonts w:hint="eastAsia" w:ascii="仿宋_GB2312" w:hAnsi="仿宋_GB2312" w:eastAsia="仿宋_GB2312" w:cs="仿宋_GB2312"/>
          <w:sz w:val="32"/>
          <w:szCs w:val="32"/>
        </w:rPr>
        <w:t>在革命战争年代和新中国成立后的爱国主义事迹，</w:t>
      </w:r>
      <w:r>
        <w:rPr>
          <w:rFonts w:hint="eastAsia" w:ascii="仿宋_GB2312" w:hAnsi="仿宋_GB2312" w:eastAsia="仿宋_GB2312" w:cs="仿宋_GB2312"/>
          <w:sz w:val="32"/>
          <w:szCs w:val="32"/>
          <w:lang w:eastAsia="zh-CN"/>
        </w:rPr>
        <w:t>制作了</w:t>
      </w:r>
      <w:r>
        <w:rPr>
          <w:rFonts w:hint="eastAsia" w:ascii="仿宋_GB2312" w:hAnsi="仿宋_GB2312" w:eastAsia="仿宋_GB2312" w:cs="仿宋_GB2312"/>
          <w:sz w:val="32"/>
          <w:szCs w:val="32"/>
          <w:lang w:val="en-US" w:eastAsia="zh-CN"/>
        </w:rPr>
        <w:t>《以爱国情怀，耀信仰之光》视频短片，并在全省天主教培训班上播放，产生了很好的反响，进一步激发了广大教职人员的爱国情怀。</w:t>
      </w:r>
    </w:p>
    <w:p>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eastAsia" w:ascii="仿宋_GB2312" w:hAnsi="仿宋_GB2312" w:eastAsia="仿宋_GB2312" w:cs="仿宋_GB2312"/>
          <w:b w:val="0"/>
          <w:bCs w:val="0"/>
          <w:color w:val="FF0000"/>
          <w:sz w:val="32"/>
          <w:szCs w:val="32"/>
          <w:lang w:val="en-US" w:eastAsia="zh-CN"/>
        </w:rPr>
      </w:pPr>
      <w:r>
        <w:rPr>
          <w:rFonts w:hint="eastAsia" w:ascii="楷体_GB2312" w:hAnsi="楷体_GB2312" w:eastAsia="楷体_GB2312" w:cs="楷体_GB2312"/>
          <w:b/>
          <w:bCs/>
          <w:sz w:val="32"/>
          <w:szCs w:val="32"/>
          <w:lang w:val="en-US" w:eastAsia="zh-CN"/>
        </w:rPr>
        <w:t xml:space="preserve">   （三）以制度建设为抓手规范团体管理。</w:t>
      </w:r>
      <w:r>
        <w:rPr>
          <w:rFonts w:hint="eastAsia" w:ascii="仿宋_GB2312" w:hAnsi="仿宋_GB2312" w:eastAsia="仿宋_GB2312" w:cs="仿宋_GB2312"/>
          <w:b w:val="0"/>
          <w:bCs w:val="0"/>
          <w:color w:val="auto"/>
          <w:sz w:val="32"/>
          <w:szCs w:val="32"/>
          <w:lang w:val="en-US" w:eastAsia="zh-CN"/>
        </w:rPr>
        <w:t>认真学习贯彻落实《宗教事务条例》《四川省宗教事务管理条例》</w:t>
      </w:r>
      <w:r>
        <w:rPr>
          <w:rFonts w:hint="eastAsia" w:ascii="仿宋_GB2312" w:hAnsi="仿宋_GB2312" w:eastAsia="仿宋_GB2312" w:cs="仿宋_GB2312"/>
          <w:b w:val="0"/>
          <w:bCs w:val="0"/>
          <w:color w:val="auto"/>
          <w:sz w:val="32"/>
          <w:szCs w:val="32"/>
        </w:rPr>
        <w:t>《宗教</w:t>
      </w:r>
      <w:r>
        <w:rPr>
          <w:rFonts w:hint="eastAsia" w:ascii="仿宋_GB2312" w:hAnsi="仿宋_GB2312" w:eastAsia="仿宋_GB2312" w:cs="仿宋_GB2312"/>
          <w:b w:val="0"/>
          <w:bCs w:val="0"/>
          <w:color w:val="auto"/>
          <w:sz w:val="32"/>
          <w:szCs w:val="32"/>
          <w:lang w:val="en-US" w:eastAsia="zh-CN"/>
        </w:rPr>
        <w:t>团体管理办法</w:t>
      </w:r>
      <w:r>
        <w:rPr>
          <w:rFonts w:hint="eastAsia" w:ascii="仿宋_GB2312" w:hAnsi="仿宋_GB2312" w:eastAsia="仿宋_GB2312" w:cs="仿宋_GB2312"/>
          <w:b w:val="0"/>
          <w:bCs w:val="0"/>
          <w:color w:val="auto"/>
          <w:sz w:val="32"/>
          <w:szCs w:val="32"/>
        </w:rPr>
        <w:t>》</w:t>
      </w:r>
      <w:r>
        <w:rPr>
          <w:rFonts w:hint="eastAsia" w:ascii="仿宋_GB2312" w:hAnsi="仿宋_GB2312" w:eastAsia="仿宋_GB2312" w:cs="仿宋_GB2312"/>
          <w:b w:val="0"/>
          <w:bCs w:val="0"/>
          <w:color w:val="auto"/>
          <w:sz w:val="32"/>
          <w:szCs w:val="32"/>
          <w:lang w:eastAsia="zh-CN"/>
        </w:rPr>
        <w:t>《宗教教职人员管理办</w:t>
      </w:r>
      <w:r>
        <w:rPr>
          <w:rFonts w:hint="eastAsia" w:ascii="仿宋_GB2312" w:hAnsi="仿宋_GB2312" w:eastAsia="仿宋_GB2312" w:cs="仿宋_GB2312"/>
          <w:b w:val="0"/>
          <w:bCs w:val="0"/>
          <w:color w:val="auto"/>
          <w:sz w:val="32"/>
          <w:szCs w:val="32"/>
          <w:lang w:val="en-US" w:eastAsia="zh-CN"/>
        </w:rPr>
        <w:t>法》《互联网宗教信息服务管理办法》等法规规章，并结合天主教实际，制定</w:t>
      </w:r>
      <w:r>
        <w:rPr>
          <w:rFonts w:hint="eastAsia" w:ascii="仿宋_GB2312" w:hAnsi="仿宋_GB2312" w:eastAsia="仿宋_GB2312" w:cs="仿宋_GB2312"/>
          <w:b w:val="0"/>
          <w:bCs w:val="0"/>
          <w:color w:val="auto"/>
          <w:sz w:val="32"/>
          <w:szCs w:val="32"/>
          <w:lang w:eastAsia="zh-CN"/>
        </w:rPr>
        <w:t>省天主教“两会”</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贯彻</w:t>
      </w:r>
      <w:r>
        <w:rPr>
          <w:rFonts w:hint="eastAsia" w:ascii="方正小标宋简体" w:hAnsi="方正小标宋简体" w:eastAsia="方正小标宋简体" w:cs="方正小标宋简体"/>
          <w:sz w:val="32"/>
          <w:szCs w:val="32"/>
        </w:rPr>
        <w:t>&lt;</w:t>
      </w:r>
      <w:r>
        <w:rPr>
          <w:rFonts w:hint="eastAsia" w:ascii="仿宋_GB2312" w:hAnsi="仿宋_GB2312" w:eastAsia="仿宋_GB2312" w:cs="仿宋_GB2312"/>
          <w:sz w:val="32"/>
          <w:szCs w:val="32"/>
        </w:rPr>
        <w:t>宗教教职人员管理办法</w:t>
      </w:r>
      <w:r>
        <w:rPr>
          <w:rFonts w:hint="eastAsia" w:ascii="方正小标宋简体" w:hAnsi="方正小标宋简体" w:eastAsia="方正小标宋简体" w:cs="方正小标宋简体"/>
          <w:sz w:val="32"/>
          <w:szCs w:val="32"/>
        </w:rPr>
        <w:t>&gt;</w:t>
      </w:r>
      <w:r>
        <w:rPr>
          <w:rFonts w:hint="eastAsia" w:ascii="仿宋_GB2312" w:hAnsi="仿宋_GB2312" w:eastAsia="仿宋_GB2312" w:cs="仿宋_GB2312"/>
          <w:sz w:val="32"/>
          <w:szCs w:val="32"/>
          <w:lang w:val="en-US" w:eastAsia="zh-CN"/>
        </w:rPr>
        <w:t>实施意见》和</w:t>
      </w:r>
      <w:r>
        <w:rPr>
          <w:rFonts w:hint="eastAsia" w:ascii="仿宋_GB2312" w:hAnsi="仿宋_GB2312" w:eastAsia="仿宋_GB2312" w:cs="仿宋_GB2312"/>
          <w:sz w:val="32"/>
          <w:szCs w:val="32"/>
          <w:lang w:eastAsia="zh-CN"/>
        </w:rPr>
        <w:t>《贯彻</w:t>
      </w:r>
      <w:r>
        <w:rPr>
          <w:rFonts w:hint="eastAsia" w:ascii="方正小标宋简体" w:hAnsi="方正小标宋简体" w:eastAsia="方正小标宋简体" w:cs="方正小标宋简体"/>
          <w:sz w:val="32"/>
          <w:szCs w:val="32"/>
          <w:lang w:eastAsia="zh-CN"/>
        </w:rPr>
        <w:t>&lt;</w:t>
      </w:r>
      <w:r>
        <w:rPr>
          <w:rFonts w:hint="eastAsia" w:ascii="仿宋_GB2312" w:hAnsi="仿宋_GB2312" w:eastAsia="仿宋_GB2312" w:cs="仿宋_GB2312"/>
          <w:sz w:val="32"/>
          <w:szCs w:val="32"/>
          <w:lang w:eastAsia="zh-CN"/>
        </w:rPr>
        <w:t>宗教团体管理办法</w:t>
      </w:r>
      <w:r>
        <w:rPr>
          <w:rFonts w:hint="eastAsia" w:ascii="方正小标宋简体" w:hAnsi="方正小标宋简体" w:eastAsia="方正小标宋简体" w:cs="方正小标宋简体"/>
          <w:sz w:val="32"/>
          <w:szCs w:val="32"/>
          <w:lang w:eastAsia="zh-CN"/>
        </w:rPr>
        <w:t>&gt;</w:t>
      </w:r>
      <w:r>
        <w:rPr>
          <w:rFonts w:hint="eastAsia" w:ascii="仿宋_GB2312" w:hAnsi="仿宋_GB2312" w:eastAsia="仿宋_GB2312" w:cs="仿宋_GB2312"/>
          <w:sz w:val="32"/>
          <w:szCs w:val="32"/>
          <w:lang w:eastAsia="zh-CN"/>
        </w:rPr>
        <w:t>实施方案》，</w:t>
      </w:r>
      <w:r>
        <w:rPr>
          <w:rFonts w:hint="eastAsia" w:ascii="仿宋_GB2312" w:hAnsi="仿宋_GB2312" w:eastAsia="仿宋_GB2312" w:cs="仿宋_GB2312"/>
          <w:b w:val="0"/>
          <w:bCs w:val="0"/>
          <w:color w:val="auto"/>
          <w:sz w:val="32"/>
          <w:szCs w:val="32"/>
          <w:lang w:val="en-US" w:eastAsia="zh-CN"/>
        </w:rPr>
        <w:t>通过读原文、找差距，定制度、细举措、抓落实，进一步规范宗教团体建设</w:t>
      </w:r>
      <w:r>
        <w:rPr>
          <w:rFonts w:hint="eastAsia" w:ascii="仿宋_GB2312" w:hAnsi="仿宋_GB2312" w:eastAsia="仿宋_GB2312" w:cs="仿宋_GB2312"/>
          <w:sz w:val="32"/>
          <w:szCs w:val="32"/>
          <w:lang w:val="en-US" w:eastAsia="zh-CN"/>
        </w:rPr>
        <w:t>。摸排全省教会底数，建立了《四川天主教教职人员备案台账》《四川天主教宗教活动场所台账》等10个台账，并进行规范化、动态化管理。</w:t>
      </w:r>
      <w:r>
        <w:rPr>
          <w:rFonts w:hint="eastAsia" w:ascii="仿宋_GB2312" w:hAnsi="仿宋_GB2312" w:eastAsia="仿宋_GB2312" w:cs="仿宋_GB2312"/>
          <w:color w:val="auto"/>
          <w:sz w:val="32"/>
          <w:szCs w:val="32"/>
          <w:lang w:val="en-US" w:eastAsia="zh-CN"/>
        </w:rPr>
        <w:t>积极指导各地教会完成换届、晋铎、培训等工作，今年以来，新成立2个县级天主教爱国会，已完成9个基层爱国会的换届工作。完</w:t>
      </w:r>
      <w:r>
        <w:rPr>
          <w:rFonts w:hint="eastAsia" w:ascii="仿宋_GB2312" w:hAnsi="仿宋_GB2312" w:eastAsia="仿宋_GB2312" w:cs="仿宋_GB2312"/>
          <w:sz w:val="32"/>
          <w:szCs w:val="32"/>
          <w:lang w:val="en-US" w:eastAsia="zh-CN"/>
        </w:rPr>
        <w:t>成了中国天</w:t>
      </w:r>
      <w:r>
        <w:rPr>
          <w:rFonts w:hint="eastAsia" w:ascii="仿宋_GB2312" w:hAnsi="仿宋_GB2312" w:eastAsia="仿宋_GB2312" w:cs="仿宋_GB2312"/>
          <w:b w:val="0"/>
          <w:bCs w:val="0"/>
          <w:sz w:val="32"/>
          <w:szCs w:val="32"/>
          <w:lang w:val="en-US" w:eastAsia="zh-CN"/>
        </w:rPr>
        <w:t>主教第十次代表会四川代表、委员、常委的推荐上报工作，我省推荐了15名宗教界代表人士作为中国天主教第十次代表会议代表，此次推荐工作程序更加规范，人选结构更加优化。</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3"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kern w:val="2"/>
          <w:sz w:val="32"/>
          <w:szCs w:val="32"/>
          <w:lang w:val="en-US" w:eastAsia="zh-CN" w:bidi="ar-SA"/>
        </w:rPr>
        <w:t>（四）以人才培养为支撑加强队伍建设。</w:t>
      </w:r>
      <w:r>
        <w:rPr>
          <w:rFonts w:hint="eastAsia" w:ascii="仿宋_GB2312" w:hAnsi="仿宋_GB2312" w:eastAsia="仿宋_GB2312" w:cs="仿宋_GB2312"/>
          <w:sz w:val="32"/>
          <w:szCs w:val="32"/>
          <w:lang w:val="en-US" w:eastAsia="zh-CN"/>
        </w:rPr>
        <w:t>2021年12月，成功举办全省天主教“两会”委员、市（州）爱国会主要负责人培训班，90余名学员集中学习了十九届六中全会精神、全国宗教工作会议精神及习近平总书记在庆祝建党100周年大会上的重要讲话精神，并邀请了省委党校、省民族宗教委、省民族研究所的专家、教授及专业律师就《宗教团体管理办法》《宗教教职人员管理办法》《民法典》及成渝地区双城经济圈建设有关政策进行专业解读，通过</w:t>
      </w:r>
      <w:r>
        <w:rPr>
          <w:rFonts w:hint="eastAsia" w:ascii="仿宋_GB2312" w:hAnsi="仿宋_GB2312" w:eastAsia="仿宋_GB2312" w:cs="仿宋_GB2312"/>
          <w:b w:val="0"/>
          <w:bCs w:val="0"/>
          <w:color w:val="auto"/>
          <w:sz w:val="32"/>
          <w:szCs w:val="32"/>
          <w:lang w:val="en-US" w:eastAsia="zh-CN"/>
        </w:rPr>
        <w:t>学习政治理论知识、宗教知识、政策法规，</w:t>
      </w:r>
      <w:r>
        <w:rPr>
          <w:rFonts w:hint="eastAsia" w:ascii="仿宋_GB2312" w:hAnsi="仿宋_GB2312" w:eastAsia="仿宋_GB2312" w:cs="仿宋_GB2312"/>
          <w:sz w:val="32"/>
          <w:szCs w:val="32"/>
          <w:lang w:val="en-US" w:eastAsia="zh-CN"/>
        </w:rPr>
        <w:t>提高了广大神长教友的政治理论素养，强化了</w:t>
      </w:r>
      <w:r>
        <w:rPr>
          <w:rFonts w:hint="eastAsia" w:ascii="仿宋_GB2312" w:hAnsi="仿宋_GB2312" w:eastAsia="仿宋_GB2312" w:cs="仿宋_GB2312"/>
          <w:sz w:val="32"/>
          <w:szCs w:val="32"/>
        </w:rPr>
        <w:t>法治思维</w:t>
      </w:r>
      <w:r>
        <w:rPr>
          <w:rFonts w:hint="eastAsia" w:ascii="仿宋_GB2312" w:hAnsi="仿宋_GB2312" w:eastAsia="仿宋_GB2312" w:cs="仿宋_GB2312"/>
          <w:sz w:val="32"/>
          <w:szCs w:val="32"/>
          <w:lang w:eastAsia="zh-CN"/>
        </w:rPr>
        <w:t>。指导四川天主教神哲学院坚持正确办学方向，充分发挥宗教院校“三个阵地”作用，不断优化课程设置，公共课教学比重已达到</w:t>
      </w:r>
      <w:r>
        <w:rPr>
          <w:rFonts w:hint="eastAsia" w:ascii="仿宋_GB2312" w:hAnsi="仿宋_GB2312" w:eastAsia="仿宋_GB2312" w:cs="仿宋_GB2312"/>
          <w:sz w:val="32"/>
          <w:szCs w:val="32"/>
          <w:lang w:val="en-US" w:eastAsia="zh-CN"/>
        </w:rPr>
        <w:t>50%以上。指导学院举办了2期150人次天主教基层爱国组织骨干教友培训班，</w:t>
      </w:r>
      <w:r>
        <w:rPr>
          <w:rFonts w:hint="eastAsia" w:ascii="仿宋_GB2312" w:hAnsi="仿宋_GB2312" w:eastAsia="仿宋_GB2312" w:cs="仿宋_GB2312"/>
          <w:i w:val="0"/>
          <w:iCs w:val="0"/>
          <w:caps w:val="0"/>
          <w:color w:val="191919"/>
          <w:spacing w:val="0"/>
          <w:sz w:val="32"/>
          <w:szCs w:val="32"/>
          <w:shd w:val="clear" w:color="auto" w:fill="FFFFFF"/>
        </w:rPr>
        <w:t>进一步增强了教职人员政策法律意识和坚持我国天主教中国化方向</w:t>
      </w:r>
      <w:r>
        <w:rPr>
          <w:rFonts w:hint="eastAsia" w:ascii="仿宋_GB2312" w:hAnsi="仿宋_GB2312" w:eastAsia="仿宋_GB2312" w:cs="仿宋_GB2312"/>
          <w:i w:val="0"/>
          <w:iCs w:val="0"/>
          <w:caps w:val="0"/>
          <w:color w:val="191919"/>
          <w:spacing w:val="0"/>
          <w:sz w:val="32"/>
          <w:szCs w:val="32"/>
          <w:shd w:val="clear" w:color="auto" w:fill="FFFFFF"/>
          <w:lang w:eastAsia="zh-CN"/>
        </w:rPr>
        <w:t>，</w:t>
      </w:r>
      <w:r>
        <w:rPr>
          <w:rFonts w:hint="eastAsia" w:ascii="仿宋_GB2312" w:hAnsi="仿宋_GB2312" w:eastAsia="仿宋_GB2312" w:cs="仿宋_GB2312"/>
          <w:i w:val="0"/>
          <w:iCs w:val="0"/>
          <w:caps w:val="0"/>
          <w:color w:val="191919"/>
          <w:spacing w:val="0"/>
          <w:sz w:val="32"/>
          <w:szCs w:val="32"/>
          <w:shd w:val="clear" w:color="auto" w:fill="FFFFFF"/>
        </w:rPr>
        <w:t>坚定不移走与社会主义社会相适应道路的自觉性和坚定性</w:t>
      </w:r>
      <w:r>
        <w:rPr>
          <w:rFonts w:hint="eastAsia" w:ascii="仿宋_GB2312" w:hAnsi="仿宋_GB2312" w:eastAsia="仿宋_GB2312" w:cs="仿宋_GB2312"/>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color w:val="auto"/>
          <w:sz w:val="32"/>
          <w:szCs w:val="32"/>
          <w:lang w:val="en-US" w:eastAsia="zh-CN"/>
        </w:rPr>
      </w:pPr>
      <w:r>
        <w:rPr>
          <w:rFonts w:hint="eastAsia" w:ascii="楷体_GB2312" w:hAnsi="楷体_GB2312" w:eastAsia="楷体_GB2312" w:cs="楷体_GB2312"/>
          <w:b/>
          <w:bCs/>
          <w:kern w:val="2"/>
          <w:sz w:val="32"/>
          <w:szCs w:val="32"/>
          <w:lang w:val="en-US" w:eastAsia="zh-CN" w:bidi="ar-SA"/>
        </w:rPr>
        <w:t>（五）以走访调研为基础解决实际困难。</w:t>
      </w:r>
      <w:r>
        <w:rPr>
          <w:rFonts w:hint="eastAsia" w:ascii="仿宋_GB2312" w:hAnsi="仿宋_GB2312" w:eastAsia="仿宋_GB2312" w:cs="仿宋_GB2312"/>
          <w:kern w:val="2"/>
          <w:sz w:val="32"/>
          <w:szCs w:val="32"/>
          <w:lang w:val="en-US" w:eastAsia="zh-CN" w:bidi="ar-SA"/>
        </w:rPr>
        <w:t>今年10月至12月，省天主教“两会”工作班子、</w:t>
      </w:r>
      <w:r>
        <w:rPr>
          <w:rFonts w:hint="eastAsia" w:ascii="仿宋_GB2312" w:hAnsi="仿宋_GB2312" w:eastAsia="仿宋_GB2312" w:cs="仿宋_GB2312"/>
          <w:sz w:val="32"/>
          <w:szCs w:val="32"/>
        </w:rPr>
        <w:t>领导班子</w:t>
      </w:r>
      <w:r>
        <w:rPr>
          <w:rFonts w:hint="eastAsia" w:ascii="仿宋_GB2312" w:hAnsi="仿宋_GB2312" w:eastAsia="仿宋_GB2312" w:cs="仿宋_GB2312"/>
          <w:sz w:val="32"/>
          <w:szCs w:val="32"/>
          <w:lang w:eastAsia="zh-CN"/>
        </w:rPr>
        <w:t>分赴</w:t>
      </w:r>
      <w:r>
        <w:rPr>
          <w:rFonts w:hint="eastAsia" w:ascii="仿宋_GB2312" w:hAnsi="仿宋_GB2312" w:eastAsia="仿宋_GB2312" w:cs="仿宋_GB2312"/>
          <w:sz w:val="32"/>
          <w:szCs w:val="32"/>
          <w:lang w:val="en-US" w:eastAsia="zh-CN"/>
        </w:rPr>
        <w:t>4个教区（每个教区选定2-3个点位），</w:t>
      </w:r>
      <w:r>
        <w:rPr>
          <w:rFonts w:hint="eastAsia" w:ascii="仿宋_GB2312" w:hAnsi="仿宋_GB2312" w:eastAsia="仿宋_GB2312" w:cs="仿宋_GB2312"/>
          <w:sz w:val="32"/>
          <w:szCs w:val="32"/>
          <w:lang w:eastAsia="zh-CN"/>
        </w:rPr>
        <w:t>围绕坚持宗教中国化、教区建设及管理、</w:t>
      </w:r>
      <w:r>
        <w:rPr>
          <w:rFonts w:hint="eastAsia" w:ascii="仿宋_GB2312" w:hAnsi="仿宋_GB2312" w:eastAsia="仿宋_GB2312" w:cs="仿宋_GB2312"/>
          <w:sz w:val="32"/>
          <w:szCs w:val="32"/>
          <w:lang w:val="en-US" w:eastAsia="zh-CN"/>
        </w:rPr>
        <w:t>团体建设及管理、宗教活动场所自养情况等内容进行调研，为掌握团体教职人员社保购买情况、自养情况，团体换届情况等提供了第一手资料</w:t>
      </w:r>
      <w:r>
        <w:rPr>
          <w:rFonts w:hint="eastAsia" w:ascii="仿宋_GB2312" w:hAnsi="仿宋_GB2312" w:eastAsia="仿宋_GB2312" w:cs="仿宋_GB2312"/>
          <w:color w:val="auto"/>
          <w:sz w:val="32"/>
          <w:szCs w:val="32"/>
          <w:lang w:val="en-US" w:eastAsia="zh-CN"/>
        </w:rPr>
        <w:t>。对存在自养困难、身体状况不好、位于农村边远地区的50余名教职人员进行了慰问，通过送温暖、解困难，</w:t>
      </w:r>
      <w:r>
        <w:rPr>
          <w:rFonts w:hint="eastAsia" w:ascii="仿宋_GB2312" w:hAnsi="仿宋_GB2312" w:eastAsia="仿宋_GB2312" w:cs="仿宋_GB2312"/>
          <w:color w:val="auto"/>
          <w:sz w:val="32"/>
          <w:szCs w:val="32"/>
        </w:rPr>
        <w:t>从思想上、政治上、生活上关心</w:t>
      </w:r>
      <w:r>
        <w:rPr>
          <w:rFonts w:hint="eastAsia" w:ascii="仿宋_GB2312" w:hAnsi="仿宋_GB2312" w:eastAsia="仿宋_GB2312" w:cs="仿宋_GB2312"/>
          <w:color w:val="auto"/>
          <w:sz w:val="32"/>
          <w:szCs w:val="32"/>
          <w:lang w:val="en-US" w:eastAsia="zh-CN"/>
        </w:rPr>
        <w:t>他们</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使他们感受到党和政府的关爱，更加坚定了感恩党、听党话、跟党走的信心和决心。</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bCs/>
          <w:sz w:val="32"/>
          <w:szCs w:val="32"/>
          <w:lang w:val="en-US" w:eastAsia="zh-CN"/>
        </w:rPr>
        <w:t>（六）以意识形态为导向强化宣传引导。</w:t>
      </w:r>
      <w:r>
        <w:rPr>
          <w:rFonts w:hint="eastAsia" w:ascii="仿宋_GB2312" w:hAnsi="仿宋_GB2312" w:eastAsia="仿宋_GB2312" w:cs="仿宋_GB2312"/>
          <w:color w:val="auto"/>
          <w:sz w:val="32"/>
          <w:szCs w:val="32"/>
          <w:lang w:val="en-US" w:eastAsia="zh-CN"/>
        </w:rPr>
        <w:t>今年以来，省天主教“两会”加强对天主教领域意识形态工作的分析研判，加强对我省教会网站运行情况的管理，认真统计新媒体注册使用情况，清查、整顿捐款二维码上网情况，</w:t>
      </w:r>
      <w:r>
        <w:rPr>
          <w:rFonts w:hint="eastAsia" w:ascii="仿宋_GB2312" w:hAnsi="仿宋_GB2312" w:eastAsia="仿宋_GB2312" w:cs="仿宋_GB2312"/>
          <w:b w:val="0"/>
          <w:bCs w:val="0"/>
          <w:color w:val="auto"/>
          <w:sz w:val="32"/>
          <w:szCs w:val="32"/>
          <w:lang w:val="en-US" w:eastAsia="zh-CN"/>
        </w:rPr>
        <w:t>强化对热点事情和有害信息的监测处理，</w:t>
      </w:r>
      <w:r>
        <w:rPr>
          <w:rFonts w:hint="eastAsia" w:ascii="仿宋_GB2312" w:hAnsi="仿宋_GB2312" w:eastAsia="仿宋_GB2312" w:cs="仿宋_GB2312"/>
          <w:color w:val="auto"/>
          <w:sz w:val="32"/>
          <w:szCs w:val="32"/>
          <w:lang w:val="en-US" w:eastAsia="zh-CN"/>
        </w:rPr>
        <w:t>建立了对外信息发布“三审三校”制度，认真学习贯彻新出台的《</w:t>
      </w:r>
      <w:r>
        <w:rPr>
          <w:rFonts w:hint="eastAsia" w:ascii="仿宋_GB2312" w:hAnsi="仿宋_GB2312" w:eastAsia="仿宋_GB2312" w:cs="仿宋_GB2312"/>
          <w:b w:val="0"/>
          <w:bCs w:val="0"/>
          <w:color w:val="auto"/>
          <w:sz w:val="32"/>
          <w:szCs w:val="32"/>
          <w:lang w:val="en-US" w:eastAsia="zh-CN"/>
        </w:rPr>
        <w:t>互联网宗教信息服务管理办法</w:t>
      </w:r>
      <w:r>
        <w:rPr>
          <w:rFonts w:hint="eastAsia" w:ascii="仿宋_GB2312" w:hAnsi="仿宋_GB2312" w:eastAsia="仿宋_GB2312" w:cs="仿宋_GB2312"/>
          <w:color w:val="auto"/>
          <w:sz w:val="32"/>
          <w:szCs w:val="32"/>
          <w:lang w:val="en-US" w:eastAsia="zh-CN"/>
        </w:rPr>
        <w:t>》，</w:t>
      </w:r>
      <w:r>
        <w:rPr>
          <w:rFonts w:hint="eastAsia" w:ascii="仿宋_GB2312" w:hAnsi="仿宋_GB2312" w:eastAsia="仿宋_GB2312" w:cs="仿宋_GB2312"/>
          <w:b w:val="0"/>
          <w:bCs w:val="0"/>
          <w:color w:val="auto"/>
          <w:sz w:val="32"/>
          <w:szCs w:val="32"/>
          <w:lang w:val="en-US" w:eastAsia="zh-CN"/>
        </w:rPr>
        <w:t>抓牢了网络舆论安全的主动权。同时，</w:t>
      </w:r>
      <w:r>
        <w:rPr>
          <w:rFonts w:hint="eastAsia" w:ascii="仿宋_GB2312" w:hAnsi="仿宋_GB2312" w:eastAsia="仿宋_GB2312" w:cs="仿宋_GB2312"/>
          <w:color w:val="auto"/>
          <w:sz w:val="32"/>
          <w:szCs w:val="32"/>
          <w:lang w:val="en-US" w:eastAsia="zh-CN"/>
        </w:rPr>
        <w:t>以宣传报道为载体，强化“导”的思想，积极引导天主教与社会主义社会相适应，</w:t>
      </w:r>
      <w:r>
        <w:rPr>
          <w:rFonts w:hint="eastAsia" w:ascii="仿宋_GB2312" w:hAnsi="仿宋_GB2312" w:eastAsia="仿宋_GB2312" w:cs="仿宋_GB2312"/>
          <w:color w:val="auto"/>
          <w:sz w:val="32"/>
          <w:szCs w:val="32"/>
        </w:rPr>
        <w:t>讲好</w:t>
      </w:r>
      <w:r>
        <w:rPr>
          <w:rFonts w:hint="eastAsia" w:ascii="仿宋_GB2312" w:hAnsi="仿宋_GB2312" w:eastAsia="仿宋_GB2312" w:cs="仿宋_GB2312"/>
          <w:color w:val="auto"/>
          <w:sz w:val="32"/>
          <w:szCs w:val="32"/>
          <w:lang w:val="en-US" w:eastAsia="zh-CN"/>
        </w:rPr>
        <w:t>爱党爱国爱社会主义故事，先后</w:t>
      </w:r>
      <w:r>
        <w:rPr>
          <w:rFonts w:hint="eastAsia" w:ascii="仿宋_GB2312" w:hAnsi="仿宋_GB2312" w:eastAsia="仿宋_GB2312" w:cs="仿宋_GB2312"/>
          <w:sz w:val="32"/>
          <w:szCs w:val="32"/>
          <w:lang w:val="en-US" w:eastAsia="zh-CN"/>
        </w:rPr>
        <w:t>在《中国民族报》上发表了《中国化进程中的四川天主教》和《以革新精神推进宗教中国化》文章，在《中国宗教》上发表了《让爱党爱国爱社会主义的旋律更加嘹亮》和《让自立革新精神照亮前行之路》文章，产生了较好的反响。王怀茂副主席接受中国新闻社采访并进行了“百名统战人物话统战”的视频拍摄，展现了四川天主教良好的对外形象。</w:t>
      </w:r>
    </w:p>
    <w:p>
      <w:pPr>
        <w:pStyle w:val="4"/>
        <w:bidi w:val="0"/>
        <w:ind w:left="0" w:leftChars="0" w:firstLine="640" w:firstLineChars="200"/>
        <w:rPr>
          <w:rStyle w:val="27"/>
          <w:rFonts w:hint="eastAsia" w:ascii="黑体" w:hAnsi="黑体" w:eastAsia="黑体"/>
          <w:b w:val="0"/>
          <w:bCs w:val="0"/>
          <w:color w:val="auto"/>
          <w:highlight w:val="none"/>
          <w:lang w:val="en-US" w:eastAsia="zh-CN" w:bidi="ar-SA"/>
        </w:rPr>
      </w:pPr>
      <w:r>
        <w:rPr>
          <w:rStyle w:val="27"/>
          <w:rFonts w:hint="eastAsia" w:ascii="黑体" w:hAnsi="黑体" w:eastAsia="黑体"/>
          <w:b w:val="0"/>
          <w:bCs w:val="0"/>
          <w:color w:val="auto"/>
          <w:highlight w:val="none"/>
          <w:lang w:val="en-US" w:eastAsia="zh-CN" w:bidi="ar-SA"/>
        </w:rPr>
        <w:t>三、机构设置情况</w:t>
      </w:r>
    </w:p>
    <w:p>
      <w:pPr>
        <w:pStyle w:val="4"/>
        <w:bidi w:val="0"/>
        <w:ind w:left="0" w:leftChars="0" w:firstLine="640" w:firstLineChars="200"/>
        <w:rPr>
          <w:rFonts w:ascii="仿宋" w:hAnsi="仿宋" w:eastAsia="仿宋"/>
          <w:color w:val="auto"/>
          <w:kern w:val="0"/>
          <w:sz w:val="32"/>
          <w:szCs w:val="32"/>
          <w:highlight w:val="none"/>
        </w:rPr>
      </w:pPr>
      <w:r>
        <w:rPr>
          <w:rFonts w:hint="eastAsia" w:ascii="仿宋_GB2312" w:hAnsi="仿宋_GB2312" w:eastAsia="仿宋_GB2312" w:cs="仿宋_GB2312"/>
          <w:b w:val="0"/>
          <w:bCs w:val="0"/>
          <w:color w:val="auto"/>
          <w:kern w:val="2"/>
          <w:sz w:val="32"/>
          <w:szCs w:val="32"/>
          <w:lang w:val="en-US" w:eastAsia="zh-CN" w:bidi="ar-SA"/>
        </w:rPr>
        <w:t>本单位无内设机构</w:t>
      </w:r>
      <w:r>
        <w:rPr>
          <w:rFonts w:ascii="仿宋" w:hAnsi="仿宋" w:eastAsia="仿宋"/>
          <w:color w:val="auto"/>
          <w:sz w:val="32"/>
          <w:szCs w:val="32"/>
          <w:highlight w:val="none"/>
        </w:rPr>
        <w:br w:type="page"/>
      </w:r>
    </w:p>
    <w:p>
      <w:pPr>
        <w:pStyle w:val="3"/>
        <w:ind w:right="440"/>
        <w:jc w:val="center"/>
        <w:rPr>
          <w:rStyle w:val="26"/>
          <w:rFonts w:ascii="黑体" w:hAnsi="黑体" w:eastAsia="黑体"/>
          <w:b w:val="0"/>
          <w:bCs/>
          <w:color w:val="auto"/>
          <w:highlight w:val="none"/>
        </w:rPr>
      </w:pPr>
      <w:bookmarkStart w:id="16" w:name="_Toc15396602"/>
      <w:bookmarkStart w:id="17" w:name="_Toc15377204"/>
      <w:r>
        <w:rPr>
          <w:rFonts w:hint="eastAsia" w:ascii="黑体" w:hAnsi="黑体" w:eastAsia="黑体"/>
          <w:b w:val="0"/>
          <w:bCs/>
          <w:color w:val="auto"/>
          <w:highlight w:val="none"/>
        </w:rPr>
        <w:t xml:space="preserve">第二部分 </w:t>
      </w:r>
      <w:r>
        <w:rPr>
          <w:rFonts w:hint="eastAsia" w:ascii="黑体" w:hAnsi="黑体" w:eastAsia="黑体"/>
          <w:b w:val="0"/>
          <w:bCs/>
          <w:color w:val="auto"/>
          <w:highlight w:val="none"/>
          <w:lang w:val="en-US" w:eastAsia="zh-CN"/>
        </w:rPr>
        <w:t>2021年度</w:t>
      </w:r>
      <w:r>
        <w:rPr>
          <w:rStyle w:val="26"/>
          <w:rFonts w:hint="eastAsia" w:ascii="黑体" w:hAnsi="黑体" w:eastAsia="黑体"/>
          <w:b w:val="0"/>
          <w:bCs/>
          <w:color w:val="auto"/>
          <w:highlight w:val="none"/>
          <w:lang w:eastAsia="zh-CN"/>
        </w:rPr>
        <w:t>单位</w:t>
      </w:r>
      <w:r>
        <w:rPr>
          <w:rStyle w:val="26"/>
          <w:rFonts w:hint="eastAsia" w:ascii="黑体" w:hAnsi="黑体" w:eastAsia="黑体"/>
          <w:b w:val="0"/>
          <w:bCs/>
          <w:color w:val="auto"/>
          <w:highlight w:val="none"/>
        </w:rPr>
        <w:t>决算情况说明</w:t>
      </w:r>
      <w:bookmarkEnd w:id="16"/>
      <w:bookmarkEnd w:id="17"/>
    </w:p>
    <w:p>
      <w:pPr>
        <w:rPr>
          <w:color w:val="auto"/>
          <w:highlight w:val="none"/>
        </w:rPr>
      </w:pPr>
    </w:p>
    <w:p>
      <w:pPr>
        <w:pStyle w:val="25"/>
        <w:numPr>
          <w:ilvl w:val="0"/>
          <w:numId w:val="1"/>
        </w:numPr>
        <w:spacing w:line="600" w:lineRule="exact"/>
        <w:ind w:firstLineChars="0"/>
        <w:outlineLvl w:val="1"/>
        <w:rPr>
          <w:rStyle w:val="27"/>
          <w:rFonts w:ascii="黑体" w:hAnsi="黑体" w:eastAsia="黑体"/>
          <w:b w:val="0"/>
          <w:color w:val="auto"/>
          <w:highlight w:val="none"/>
        </w:rPr>
      </w:pPr>
      <w:bookmarkStart w:id="18" w:name="_Toc15396603"/>
      <w:bookmarkStart w:id="19" w:name="_Toc15377205"/>
      <w:r>
        <w:rPr>
          <w:rFonts w:hint="eastAsia" w:ascii="黑体" w:hAnsi="黑体" w:eastAsia="黑体"/>
          <w:color w:val="auto"/>
          <w:sz w:val="32"/>
          <w:szCs w:val="32"/>
          <w:highlight w:val="none"/>
        </w:rPr>
        <w:t>收</w:t>
      </w:r>
      <w:r>
        <w:rPr>
          <w:rStyle w:val="27"/>
          <w:rFonts w:hint="eastAsia" w:ascii="黑体" w:hAnsi="黑体" w:eastAsia="黑体"/>
          <w:b w:val="0"/>
          <w:color w:val="auto"/>
          <w:highlight w:val="none"/>
        </w:rPr>
        <w:t>入支出决算总体情况说明</w:t>
      </w:r>
      <w:bookmarkEnd w:id="18"/>
      <w:bookmarkEnd w:id="19"/>
    </w:p>
    <w:p>
      <w:pPr>
        <w:spacing w:line="600" w:lineRule="exact"/>
        <w:ind w:firstLine="640" w:firstLineChars="200"/>
        <w:jc w:val="left"/>
        <w:rPr>
          <w:rFonts w:hint="eastAsia" w:ascii="仿宋" w:hAnsi="仿宋" w:eastAsia="仿宋"/>
          <w:color w:val="auto"/>
          <w:sz w:val="32"/>
          <w:szCs w:val="32"/>
          <w:highlight w:val="none"/>
          <w:lang w:eastAsia="zh-CN"/>
        </w:rPr>
      </w:pPr>
      <w:r>
        <w:rPr>
          <w:rFonts w:hint="eastAsia"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年度收、支总计</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万元。与20</w:t>
      </w:r>
      <w:r>
        <w:rPr>
          <w:rFonts w:hint="eastAsia" w:ascii="仿宋" w:hAnsi="仿宋" w:eastAsia="仿宋"/>
          <w:color w:val="auto"/>
          <w:sz w:val="32"/>
          <w:szCs w:val="32"/>
          <w:highlight w:val="none"/>
          <w:lang w:val="en-US" w:eastAsia="zh-CN"/>
        </w:rPr>
        <w:t>20</w:t>
      </w:r>
      <w:r>
        <w:rPr>
          <w:rFonts w:hint="eastAsia" w:ascii="仿宋" w:hAnsi="仿宋" w:eastAsia="仿宋"/>
          <w:color w:val="auto"/>
          <w:sz w:val="32"/>
          <w:szCs w:val="32"/>
          <w:highlight w:val="none"/>
        </w:rPr>
        <w:t>年相比，收、支总计各增加</w:t>
      </w:r>
      <w:r>
        <w:rPr>
          <w:rFonts w:hint="eastAsia" w:ascii="仿宋" w:hAnsi="仿宋" w:eastAsia="仿宋"/>
          <w:color w:val="auto"/>
          <w:sz w:val="32"/>
          <w:szCs w:val="32"/>
          <w:highlight w:val="none"/>
          <w:lang w:val="en-US" w:eastAsia="zh-CN"/>
        </w:rPr>
        <w:t>51.21</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39.73</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疫情有所缓和，各项工作逐步恢复。</w:t>
      </w:r>
    </w:p>
    <w:p>
      <w:pPr>
        <w:pStyle w:val="6"/>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（图</w:t>
      </w:r>
      <w:r>
        <w:rPr>
          <w:rFonts w:ascii="仿宋" w:hAnsi="仿宋" w:eastAsia="仿宋"/>
          <w:color w:val="auto"/>
          <w:sz w:val="32"/>
          <w:szCs w:val="32"/>
          <w:highlight w:val="none"/>
        </w:rPr>
        <w:t>1</w:t>
      </w:r>
      <w:r>
        <w:rPr>
          <w:rFonts w:hint="eastAsia" w:ascii="仿宋" w:hAnsi="仿宋" w:eastAsia="仿宋"/>
          <w:color w:val="auto"/>
          <w:sz w:val="32"/>
          <w:szCs w:val="32"/>
          <w:highlight w:val="none"/>
        </w:rPr>
        <w:t>：收、支决算总计变动情况图）</w:t>
      </w:r>
    </w:p>
    <w:p>
      <w:pPr>
        <w:pStyle w:val="6"/>
        <w:jc w:val="center"/>
      </w:pPr>
      <w:r>
        <w:drawing>
          <wp:inline distT="0" distB="0" distL="114300" distR="114300">
            <wp:extent cx="4444365" cy="2221230"/>
            <wp:effectExtent l="4445" t="4445" r="8890" b="22225"/>
            <wp:docPr id="4137"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pPr>
        <w:spacing w:line="600" w:lineRule="exact"/>
        <w:ind w:firstLine="640" w:firstLineChars="200"/>
        <w:jc w:val="left"/>
        <w:rPr>
          <w:rFonts w:ascii="仿宋_GB2312" w:eastAsia="仿宋_GB2312"/>
          <w:color w:val="auto"/>
          <w:sz w:val="32"/>
          <w:szCs w:val="32"/>
          <w:highlight w:val="none"/>
        </w:rPr>
      </w:pPr>
    </w:p>
    <w:p>
      <w:pPr>
        <w:pStyle w:val="25"/>
        <w:numPr>
          <w:ilvl w:val="0"/>
          <w:numId w:val="1"/>
        </w:numPr>
        <w:spacing w:line="600" w:lineRule="exact"/>
        <w:ind w:firstLineChars="0"/>
        <w:outlineLvl w:val="1"/>
        <w:rPr>
          <w:rStyle w:val="27"/>
          <w:rFonts w:ascii="黑体" w:hAnsi="黑体" w:eastAsia="黑体"/>
          <w:b w:val="0"/>
          <w:color w:val="auto"/>
          <w:highlight w:val="none"/>
        </w:rPr>
      </w:pPr>
      <w:bookmarkStart w:id="20" w:name="_Toc15377206"/>
      <w:bookmarkStart w:id="21" w:name="_Toc15396604"/>
      <w:r>
        <w:rPr>
          <w:rFonts w:hint="eastAsia" w:ascii="黑体" w:hAnsi="黑体" w:eastAsia="黑体"/>
          <w:color w:val="auto"/>
          <w:sz w:val="32"/>
          <w:szCs w:val="32"/>
          <w:highlight w:val="none"/>
        </w:rPr>
        <w:t>收</w:t>
      </w:r>
      <w:r>
        <w:rPr>
          <w:rStyle w:val="27"/>
          <w:rFonts w:hint="eastAsia" w:ascii="黑体" w:hAnsi="黑体" w:eastAsia="黑体"/>
          <w:b w:val="0"/>
          <w:color w:val="auto"/>
          <w:highlight w:val="none"/>
        </w:rPr>
        <w:t>入决算情况说明</w:t>
      </w:r>
      <w:bookmarkEnd w:id="20"/>
      <w:bookmarkEnd w:id="21"/>
    </w:p>
    <w:p>
      <w:pPr>
        <w:spacing w:line="600" w:lineRule="exact"/>
        <w:ind w:firstLine="640" w:firstLineChars="200"/>
        <w:outlineLvl w:val="1"/>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年本年收入合计</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万元，其中：一般公共预算财政拨款收入</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；政府性基金预算财政拨款收入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color w:val="auto"/>
          <w:sz w:val="32"/>
          <w:szCs w:val="32"/>
          <w:highlight w:val="none"/>
          <w:lang w:eastAsia="zh-CN"/>
        </w:rPr>
        <w:t>国有资本经营预算财政拨款收入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；上级补助收入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；事业收入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；附属单位上缴收入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；其他收入</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（图2：收入决算结构图）</w:t>
      </w:r>
    </w:p>
    <w:p>
      <w:pPr>
        <w:pStyle w:val="6"/>
        <w:jc w:val="center"/>
      </w:pPr>
      <w:r>
        <w:drawing>
          <wp:inline distT="0" distB="0" distL="114300" distR="114300">
            <wp:extent cx="3581400" cy="2864485"/>
            <wp:effectExtent l="4445" t="4445" r="14605" b="7620"/>
            <wp:docPr id="204833"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spacing w:line="600" w:lineRule="exact"/>
        <w:ind w:firstLine="640" w:firstLineChars="200"/>
        <w:rPr>
          <w:rFonts w:ascii="仿宋_GB2312" w:eastAsia="仿宋_GB2312"/>
          <w:color w:val="auto"/>
          <w:sz w:val="32"/>
          <w:szCs w:val="32"/>
          <w:highlight w:val="none"/>
        </w:rPr>
      </w:pPr>
    </w:p>
    <w:p>
      <w:pPr>
        <w:pStyle w:val="25"/>
        <w:numPr>
          <w:ilvl w:val="0"/>
          <w:numId w:val="1"/>
        </w:numPr>
        <w:spacing w:line="600" w:lineRule="exact"/>
        <w:ind w:firstLineChars="0"/>
        <w:outlineLvl w:val="1"/>
        <w:rPr>
          <w:rStyle w:val="27"/>
          <w:rFonts w:ascii="黑体" w:hAnsi="黑体" w:eastAsia="黑体"/>
          <w:b w:val="0"/>
          <w:color w:val="auto"/>
          <w:highlight w:val="none"/>
        </w:rPr>
      </w:pPr>
      <w:bookmarkStart w:id="22" w:name="_Toc15377207"/>
      <w:bookmarkStart w:id="23" w:name="_Toc15396605"/>
      <w:r>
        <w:rPr>
          <w:rFonts w:hint="eastAsia" w:ascii="黑体" w:hAnsi="黑体" w:eastAsia="黑体"/>
          <w:color w:val="auto"/>
          <w:sz w:val="32"/>
          <w:szCs w:val="32"/>
          <w:highlight w:val="none"/>
        </w:rPr>
        <w:t>支</w:t>
      </w:r>
      <w:r>
        <w:rPr>
          <w:rStyle w:val="27"/>
          <w:rFonts w:hint="eastAsia" w:ascii="黑体" w:hAnsi="黑体" w:eastAsia="黑体"/>
          <w:b w:val="0"/>
          <w:color w:val="auto"/>
          <w:highlight w:val="none"/>
        </w:rPr>
        <w:t>出决算情况说明</w:t>
      </w:r>
      <w:bookmarkEnd w:id="22"/>
      <w:bookmarkEnd w:id="23"/>
    </w:p>
    <w:p>
      <w:pPr>
        <w:spacing w:line="600" w:lineRule="exact"/>
        <w:ind w:firstLine="640" w:firstLineChars="200"/>
        <w:outlineLvl w:val="1"/>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年本年支出合计</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万元，其中：基本支出</w:t>
      </w:r>
      <w:r>
        <w:rPr>
          <w:rFonts w:hint="eastAsia" w:ascii="仿宋" w:hAnsi="仿宋" w:eastAsia="仿宋"/>
          <w:color w:val="auto"/>
          <w:sz w:val="32"/>
          <w:szCs w:val="32"/>
          <w:highlight w:val="none"/>
          <w:lang w:val="en-US" w:eastAsia="zh-CN"/>
        </w:rPr>
        <w:t>95.75</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53.17</w:t>
      </w:r>
      <w:r>
        <w:rPr>
          <w:rFonts w:ascii="仿宋" w:hAnsi="仿宋" w:eastAsia="仿宋"/>
          <w:color w:val="auto"/>
          <w:sz w:val="32"/>
          <w:szCs w:val="32"/>
          <w:highlight w:val="none"/>
        </w:rPr>
        <w:t>%</w:t>
      </w:r>
      <w:r>
        <w:rPr>
          <w:rFonts w:hint="eastAsia" w:ascii="仿宋" w:hAnsi="仿宋" w:eastAsia="仿宋"/>
          <w:color w:val="auto"/>
          <w:sz w:val="32"/>
          <w:szCs w:val="32"/>
          <w:highlight w:val="none"/>
        </w:rPr>
        <w:t>；项目支出</w:t>
      </w:r>
      <w:r>
        <w:rPr>
          <w:rFonts w:hint="eastAsia" w:ascii="仿宋" w:hAnsi="仿宋" w:eastAsia="仿宋"/>
          <w:color w:val="auto"/>
          <w:sz w:val="32"/>
          <w:szCs w:val="32"/>
          <w:highlight w:val="none"/>
          <w:lang w:val="en-US" w:eastAsia="zh-CN"/>
        </w:rPr>
        <w:t>84.34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46.83</w:t>
      </w:r>
      <w:r>
        <w:rPr>
          <w:rFonts w:ascii="仿宋" w:hAnsi="仿宋" w:eastAsia="仿宋"/>
          <w:color w:val="auto"/>
          <w:sz w:val="32"/>
          <w:szCs w:val="32"/>
          <w:highlight w:val="none"/>
        </w:rPr>
        <w:t>%</w:t>
      </w:r>
      <w:r>
        <w:rPr>
          <w:rFonts w:hint="eastAsia" w:ascii="仿宋" w:hAnsi="仿宋" w:eastAsia="仿宋"/>
          <w:color w:val="auto"/>
          <w:sz w:val="32"/>
          <w:szCs w:val="32"/>
          <w:highlight w:val="none"/>
        </w:rPr>
        <w:t>；上缴上级支出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；经营支出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；对附属单位补助支出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jc w:val="center"/>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（图3：支出决算结构图）</w:t>
      </w:r>
    </w:p>
    <w:p>
      <w:pPr>
        <w:pStyle w:val="6"/>
        <w:jc w:val="center"/>
      </w:pPr>
      <w:r>
        <w:drawing>
          <wp:inline distT="0" distB="0" distL="114300" distR="114300">
            <wp:extent cx="3829050" cy="2146935"/>
            <wp:effectExtent l="6350" t="6350" r="12700" b="18415"/>
            <wp:docPr id="205835" name="图表 8"/>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pStyle w:val="6"/>
      </w:pPr>
    </w:p>
    <w:p>
      <w:pPr>
        <w:spacing w:line="600" w:lineRule="exact"/>
        <w:ind w:firstLine="640" w:firstLineChars="200"/>
        <w:outlineLvl w:val="1"/>
        <w:rPr>
          <w:rStyle w:val="27"/>
          <w:rFonts w:ascii="黑体" w:hAnsi="黑体" w:eastAsia="黑体"/>
          <w:b w:val="0"/>
          <w:color w:val="auto"/>
          <w:highlight w:val="none"/>
        </w:rPr>
      </w:pPr>
      <w:bookmarkStart w:id="24" w:name="_Toc15377208"/>
      <w:bookmarkStart w:id="25" w:name="_Toc15396606"/>
      <w:r>
        <w:rPr>
          <w:rFonts w:hint="eastAsia" w:ascii="黑体" w:hAnsi="黑体" w:eastAsia="黑体"/>
          <w:color w:val="auto"/>
          <w:sz w:val="32"/>
          <w:szCs w:val="32"/>
          <w:highlight w:val="none"/>
        </w:rPr>
        <w:t>四、财</w:t>
      </w:r>
      <w:r>
        <w:rPr>
          <w:rStyle w:val="27"/>
          <w:rFonts w:hint="eastAsia" w:ascii="黑体" w:hAnsi="黑体" w:eastAsia="黑体"/>
          <w:b w:val="0"/>
          <w:color w:val="auto"/>
          <w:highlight w:val="none"/>
        </w:rPr>
        <w:t>政拨款收入支出决算总体情况说明</w:t>
      </w:r>
      <w:bookmarkEnd w:id="24"/>
      <w:bookmarkEnd w:id="25"/>
    </w:p>
    <w:p>
      <w:pPr>
        <w:spacing w:line="600" w:lineRule="exact"/>
        <w:ind w:firstLine="640" w:firstLineChars="200"/>
        <w:jc w:val="both"/>
        <w:rPr>
          <w:rFonts w:hint="eastAsia" w:ascii="仿宋" w:hAnsi="仿宋" w:eastAsia="仿宋"/>
          <w:color w:val="auto"/>
          <w:sz w:val="32"/>
          <w:szCs w:val="32"/>
          <w:highlight w:val="none"/>
          <w:lang w:eastAsia="zh-CN"/>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年财政拨款收、支总计</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20</w:t>
      </w:r>
      <w:r>
        <w:rPr>
          <w:rFonts w:hint="eastAsia" w:ascii="仿宋" w:hAnsi="仿宋" w:eastAsia="仿宋"/>
          <w:color w:val="auto"/>
          <w:sz w:val="32"/>
          <w:szCs w:val="32"/>
          <w:highlight w:val="none"/>
        </w:rPr>
        <w:t>年相比，财政拨款收、支总计各增加</w:t>
      </w:r>
      <w:r>
        <w:rPr>
          <w:rFonts w:hint="eastAsia" w:ascii="仿宋" w:hAnsi="仿宋" w:eastAsia="仿宋"/>
          <w:color w:val="auto"/>
          <w:sz w:val="32"/>
          <w:szCs w:val="32"/>
          <w:highlight w:val="none"/>
          <w:lang w:val="en-US" w:eastAsia="zh-CN"/>
        </w:rPr>
        <w:t>51.21</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39.73</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疫情有所缓和，各项工作逐步恢复。</w:t>
      </w:r>
    </w:p>
    <w:p>
      <w:pPr>
        <w:spacing w:line="600" w:lineRule="exact"/>
        <w:ind w:firstLine="640" w:firstLineChars="200"/>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（图4：财政拨款收、支决算总计变动情况）</w:t>
      </w:r>
    </w:p>
    <w:p>
      <w:pPr>
        <w:pStyle w:val="6"/>
        <w:jc w:val="left"/>
      </w:pPr>
      <w:r>
        <w:drawing>
          <wp:inline distT="0" distB="0" distL="114300" distR="114300">
            <wp:extent cx="5109845" cy="3122295"/>
            <wp:effectExtent l="5080" t="4445" r="9525" b="16510"/>
            <wp:docPr id="206859"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600" w:lineRule="exact"/>
        <w:ind w:firstLine="640"/>
        <w:rPr>
          <w:rFonts w:ascii="仿宋" w:hAnsi="仿宋" w:eastAsia="仿宋"/>
          <w:b/>
          <w:color w:val="auto"/>
          <w:sz w:val="32"/>
          <w:szCs w:val="32"/>
          <w:highlight w:val="none"/>
        </w:rPr>
      </w:pPr>
    </w:p>
    <w:p>
      <w:pPr>
        <w:spacing w:line="600" w:lineRule="exact"/>
        <w:ind w:firstLine="640" w:firstLineChars="200"/>
        <w:outlineLvl w:val="1"/>
        <w:rPr>
          <w:rStyle w:val="27"/>
          <w:rFonts w:ascii="黑体" w:hAnsi="黑体" w:eastAsia="黑体"/>
          <w:b w:val="0"/>
          <w:color w:val="auto"/>
          <w:highlight w:val="none"/>
        </w:rPr>
      </w:pPr>
      <w:bookmarkStart w:id="26" w:name="_Toc15377209"/>
      <w:bookmarkStart w:id="27" w:name="_Toc15396607"/>
      <w:r>
        <w:rPr>
          <w:rFonts w:hint="eastAsia" w:ascii="黑体" w:hAnsi="黑体" w:eastAsia="黑体"/>
          <w:color w:val="auto"/>
          <w:sz w:val="32"/>
          <w:szCs w:val="32"/>
          <w:highlight w:val="none"/>
        </w:rPr>
        <w:t>五、</w:t>
      </w:r>
      <w:r>
        <w:rPr>
          <w:rFonts w:hint="eastAsia" w:ascii="黑体" w:hAnsi="黑体" w:eastAsia="黑体"/>
          <w:b/>
          <w:color w:val="auto"/>
          <w:sz w:val="32"/>
          <w:szCs w:val="32"/>
          <w:highlight w:val="none"/>
        </w:rPr>
        <w:t>一</w:t>
      </w:r>
      <w:r>
        <w:rPr>
          <w:rStyle w:val="27"/>
          <w:rFonts w:hint="eastAsia" w:ascii="黑体" w:hAnsi="黑体" w:eastAsia="黑体"/>
          <w:b w:val="0"/>
          <w:color w:val="auto"/>
          <w:highlight w:val="none"/>
        </w:rPr>
        <w:t>般公共预算财政拨款支出决算情况说明</w:t>
      </w:r>
      <w:bookmarkEnd w:id="26"/>
      <w:bookmarkEnd w:id="27"/>
    </w:p>
    <w:p>
      <w:pPr>
        <w:spacing w:line="600" w:lineRule="exact"/>
        <w:ind w:firstLine="643" w:firstLineChars="200"/>
        <w:outlineLvl w:val="2"/>
        <w:rPr>
          <w:rFonts w:ascii="仿宋" w:hAnsi="仿宋" w:eastAsia="仿宋"/>
          <w:b/>
          <w:color w:val="auto"/>
          <w:sz w:val="32"/>
          <w:szCs w:val="32"/>
          <w:highlight w:val="none"/>
        </w:rPr>
      </w:pPr>
      <w:bookmarkStart w:id="28" w:name="_Toc15377210"/>
      <w:r>
        <w:rPr>
          <w:rFonts w:hint="eastAsia" w:ascii="仿宋" w:hAnsi="仿宋" w:eastAsia="仿宋"/>
          <w:b/>
          <w:color w:val="auto"/>
          <w:sz w:val="32"/>
          <w:szCs w:val="32"/>
          <w:highlight w:val="none"/>
        </w:rPr>
        <w:t>（一）一般公共预算财政拨款支出决算总体情况</w:t>
      </w:r>
      <w:bookmarkEnd w:id="28"/>
    </w:p>
    <w:p>
      <w:pPr>
        <w:pStyle w:val="6"/>
        <w:jc w:val="left"/>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万元，占本年支出合计的</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。与</w:t>
      </w: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20</w:t>
      </w:r>
      <w:r>
        <w:rPr>
          <w:rFonts w:hint="eastAsia" w:ascii="仿宋" w:hAnsi="仿宋" w:eastAsia="仿宋"/>
          <w:color w:val="auto"/>
          <w:sz w:val="32"/>
          <w:szCs w:val="32"/>
          <w:highlight w:val="none"/>
        </w:rPr>
        <w:t>年相比，一般公共预算财政拨款</w:t>
      </w:r>
      <w:r>
        <w:rPr>
          <w:rFonts w:hint="eastAsia" w:ascii="仿宋" w:hAnsi="仿宋" w:eastAsia="仿宋"/>
          <w:color w:val="auto"/>
          <w:sz w:val="32"/>
          <w:szCs w:val="32"/>
          <w:highlight w:val="none"/>
          <w:lang w:eastAsia="zh-CN"/>
        </w:rPr>
        <w:t>支出</w:t>
      </w:r>
      <w:r>
        <w:rPr>
          <w:rFonts w:hint="eastAsia" w:ascii="仿宋" w:hAnsi="仿宋" w:eastAsia="仿宋"/>
          <w:color w:val="auto"/>
          <w:sz w:val="32"/>
          <w:szCs w:val="32"/>
          <w:highlight w:val="none"/>
        </w:rPr>
        <w:t>增加</w:t>
      </w:r>
      <w:r>
        <w:rPr>
          <w:rFonts w:hint="eastAsia" w:ascii="仿宋" w:hAnsi="仿宋" w:eastAsia="仿宋"/>
          <w:color w:val="auto"/>
          <w:sz w:val="32"/>
          <w:szCs w:val="32"/>
          <w:highlight w:val="none"/>
          <w:lang w:val="en-US" w:eastAsia="zh-CN"/>
        </w:rPr>
        <w:t>51.21</w:t>
      </w:r>
      <w:r>
        <w:rPr>
          <w:rFonts w:hint="eastAsia" w:ascii="仿宋" w:hAnsi="仿宋" w:eastAsia="仿宋"/>
          <w:color w:val="auto"/>
          <w:sz w:val="32"/>
          <w:szCs w:val="32"/>
          <w:highlight w:val="none"/>
        </w:rPr>
        <w:t>万元，增长</w:t>
      </w:r>
      <w:r>
        <w:rPr>
          <w:rFonts w:hint="eastAsia" w:ascii="仿宋" w:hAnsi="仿宋" w:eastAsia="仿宋"/>
          <w:color w:val="auto"/>
          <w:sz w:val="32"/>
          <w:szCs w:val="32"/>
          <w:highlight w:val="none"/>
          <w:lang w:val="en-US" w:eastAsia="zh-CN"/>
        </w:rPr>
        <w:t>39.73</w:t>
      </w:r>
      <w:r>
        <w:rPr>
          <w:rFonts w:ascii="仿宋" w:hAnsi="仿宋" w:eastAsia="仿宋"/>
          <w:color w:val="auto"/>
          <w:sz w:val="32"/>
          <w:szCs w:val="32"/>
          <w:highlight w:val="none"/>
        </w:rPr>
        <w:t>%</w:t>
      </w:r>
      <w:r>
        <w:rPr>
          <w:rFonts w:hint="eastAsia" w:ascii="仿宋" w:hAnsi="仿宋" w:eastAsia="仿宋"/>
          <w:color w:val="auto"/>
          <w:sz w:val="32"/>
          <w:szCs w:val="32"/>
          <w:highlight w:val="none"/>
        </w:rPr>
        <w:t>。主要变动原因是</w:t>
      </w:r>
      <w:r>
        <w:rPr>
          <w:rFonts w:hint="eastAsia" w:ascii="仿宋" w:hAnsi="仿宋" w:eastAsia="仿宋"/>
          <w:color w:val="auto"/>
          <w:sz w:val="32"/>
          <w:szCs w:val="32"/>
          <w:highlight w:val="none"/>
          <w:lang w:eastAsia="zh-CN"/>
        </w:rPr>
        <w:t>疫情有所缓和，各项工作逐步恢复。</w:t>
      </w:r>
    </w:p>
    <w:p>
      <w:pPr>
        <w:spacing w:line="600" w:lineRule="exact"/>
        <w:ind w:firstLine="640" w:firstLineChars="200"/>
        <w:jc w:val="both"/>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（图5：一般公共预算财政拨款支出决算变动情况）</w:t>
      </w:r>
    </w:p>
    <w:p>
      <w:pPr>
        <w:spacing w:line="600" w:lineRule="exact"/>
        <w:ind w:firstLine="640" w:firstLineChars="200"/>
        <w:rPr>
          <w:rFonts w:ascii="仿宋" w:hAnsi="仿宋" w:eastAsia="仿宋"/>
          <w:color w:val="auto"/>
          <w:sz w:val="32"/>
          <w:szCs w:val="32"/>
          <w:highlight w:val="none"/>
        </w:rPr>
      </w:pPr>
    </w:p>
    <w:p>
      <w:pPr>
        <w:pStyle w:val="6"/>
        <w:jc w:val="center"/>
      </w:pPr>
      <w:r>
        <w:rPr>
          <w:sz w:val="30"/>
        </w:rPr>
        <mc:AlternateContent>
          <mc:Choice Requires="wps">
            <w:drawing>
              <wp:anchor distT="0" distB="0" distL="114300" distR="114300" simplePos="0" relativeHeight="251659264" behindDoc="0" locked="0" layoutInCell="1" allowOverlap="1">
                <wp:simplePos x="0" y="0"/>
                <wp:positionH relativeFrom="column">
                  <wp:posOffset>3913505</wp:posOffset>
                </wp:positionH>
                <wp:positionV relativeFrom="paragraph">
                  <wp:posOffset>399415</wp:posOffset>
                </wp:positionV>
                <wp:extent cx="914400" cy="276225"/>
                <wp:effectExtent l="4445" t="4445" r="14605" b="5080"/>
                <wp:wrapNone/>
                <wp:docPr id="1" name="文本框 1"/>
                <wp:cNvGraphicFramePr/>
                <a:graphic xmlns:a="http://schemas.openxmlformats.org/drawingml/2006/main">
                  <a:graphicData uri="http://schemas.microsoft.com/office/word/2010/wordprocessingShape">
                    <wps:wsp>
                      <wps:cNvSpPr txBox="1"/>
                      <wps:spPr>
                        <a:xfrm>
                          <a:off x="5056505" y="1313815"/>
                          <a:ext cx="914400" cy="27622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eastAsia="宋体"/>
                                <w:lang w:eastAsia="zh-CN"/>
                              </w:rPr>
                            </w:pPr>
                            <w:r>
                              <w:rPr>
                                <w:rFonts w:hint="eastAsia"/>
                                <w:lang w:eastAsia="zh-CN"/>
                              </w:rPr>
                              <w:t>单位：万元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08.15pt;margin-top:31.45pt;height:21.75pt;width:72pt;z-index:251659264;mso-width-relative:page;mso-height-relative:page;" fillcolor="#CCE8CF [3201]" filled="t" stroked="t" coordsize="21600,21600" o:gfxdata="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BevYat2AAAAAoBAAAPAAAAAAAAAAEAIAAAACIAAABkcnMvZG93bnJldi54bWxQSwECFAAU&#10;AAAACACHTuJA26zWYmMCAADCBAAADgAAAAAAAAABACAAAAAnAQAAZHJzL2Uyb0RvYy54bWxQSwUG&#10;AAAAAAYABgBZAQAA/AUAAAAA&#10;">
                <v:fill on="t" focussize="0,0"/>
                <v:stroke weight="0.5pt" color="#000000 [3204]" joinstyle="round"/>
                <v:imagedata o:title=""/>
                <o:lock v:ext="edit" aspectratio="f"/>
                <v:textbox>
                  <w:txbxContent>
                    <w:p>
                      <w:pPr>
                        <w:rPr>
                          <w:rFonts w:hint="eastAsia" w:eastAsia="宋体"/>
                          <w:lang w:eastAsia="zh-CN"/>
                        </w:rPr>
                      </w:pPr>
                      <w:r>
                        <w:rPr>
                          <w:rFonts w:hint="eastAsia"/>
                          <w:lang w:eastAsia="zh-CN"/>
                        </w:rPr>
                        <w:t>单位：万元</w:t>
                      </w:r>
                    </w:p>
                  </w:txbxContent>
                </v:textbox>
              </v:shape>
            </w:pict>
          </mc:Fallback>
        </mc:AlternateContent>
      </w:r>
      <w:r>
        <w:drawing>
          <wp:inline distT="0" distB="0" distL="114300" distR="114300">
            <wp:extent cx="4676140" cy="2737485"/>
            <wp:effectExtent l="4445" t="4445" r="5715" b="20320"/>
            <wp:docPr id="196629"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pStyle w:val="6"/>
      </w:pPr>
    </w:p>
    <w:p>
      <w:pPr>
        <w:spacing w:line="600" w:lineRule="exact"/>
        <w:ind w:firstLine="643" w:firstLineChars="200"/>
        <w:outlineLvl w:val="2"/>
        <w:rPr>
          <w:rFonts w:ascii="仿宋" w:hAnsi="仿宋" w:eastAsia="仿宋"/>
          <w:b/>
          <w:color w:val="auto"/>
          <w:sz w:val="32"/>
          <w:szCs w:val="32"/>
          <w:highlight w:val="none"/>
        </w:rPr>
      </w:pPr>
      <w:bookmarkStart w:id="29" w:name="_Toc15377211"/>
      <w:r>
        <w:rPr>
          <w:rFonts w:hint="eastAsia" w:ascii="仿宋" w:hAnsi="仿宋" w:eastAsia="仿宋"/>
          <w:b/>
          <w:color w:val="auto"/>
          <w:sz w:val="32"/>
          <w:szCs w:val="32"/>
          <w:highlight w:val="none"/>
        </w:rPr>
        <w:t>（二）一般公共预算财政拨款支出决算结构情况</w:t>
      </w:r>
      <w:bookmarkEnd w:id="29"/>
    </w:p>
    <w:p>
      <w:pPr>
        <w:spacing w:line="600" w:lineRule="exact"/>
        <w:ind w:firstLine="640"/>
        <w:rPr>
          <w:rFonts w:hint="eastAsia" w:ascii="仿宋" w:hAnsi="仿宋" w:eastAsia="仿宋"/>
          <w:b/>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年一般公共预算财政拨款支出</w:t>
      </w:r>
      <w:r>
        <w:rPr>
          <w:rFonts w:hint="eastAsia" w:ascii="仿宋" w:hAnsi="仿宋" w:eastAsia="仿宋"/>
          <w:color w:val="auto"/>
          <w:sz w:val="32"/>
          <w:szCs w:val="32"/>
          <w:highlight w:val="none"/>
          <w:lang w:val="en-US" w:eastAsia="zh-CN"/>
        </w:rPr>
        <w:t>180.09</w:t>
      </w:r>
      <w:r>
        <w:rPr>
          <w:rFonts w:hint="eastAsia" w:ascii="仿宋" w:hAnsi="仿宋" w:eastAsia="仿宋"/>
          <w:color w:val="auto"/>
          <w:sz w:val="32"/>
          <w:szCs w:val="32"/>
          <w:highlight w:val="none"/>
        </w:rPr>
        <w:t>万元，主要用于以下方面</w:t>
      </w:r>
      <w:r>
        <w:rPr>
          <w:rFonts w:ascii="仿宋" w:hAnsi="仿宋" w:eastAsia="仿宋"/>
          <w:color w:val="auto"/>
          <w:sz w:val="32"/>
          <w:szCs w:val="32"/>
          <w:highlight w:val="none"/>
        </w:rPr>
        <w:t>:</w:t>
      </w:r>
      <w:r>
        <w:rPr>
          <w:rFonts w:hint="eastAsia" w:ascii="仿宋" w:hAnsi="仿宋" w:eastAsia="仿宋"/>
          <w:b/>
          <w:color w:val="auto"/>
          <w:sz w:val="32"/>
          <w:szCs w:val="32"/>
          <w:highlight w:val="none"/>
        </w:rPr>
        <w:t>一般公共服务（类）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147.10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81.68</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教育支出（类）</w:t>
      </w:r>
      <w:r>
        <w:rPr>
          <w:rFonts w:hint="eastAsia" w:ascii="仿宋" w:hAnsi="仿宋" w:eastAsia="仿宋"/>
          <w:color w:val="auto"/>
          <w:sz w:val="32"/>
          <w:szCs w:val="32"/>
          <w:highlight w:val="none"/>
          <w:lang w:val="en-US" w:eastAsia="zh-CN"/>
        </w:rPr>
        <w:t>6.88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3.82</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科学技术（类）</w:t>
      </w:r>
      <w:r>
        <w:rPr>
          <w:rFonts w:hint="eastAsia" w:ascii="仿宋" w:hAnsi="仿宋" w:eastAsia="仿宋"/>
          <w:color w:val="auto"/>
          <w:sz w:val="32"/>
          <w:szCs w:val="32"/>
          <w:highlight w:val="none"/>
        </w:rPr>
        <w:t>支出</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rPr>
        <w:t>文化旅游体育与传媒（类）支出</w:t>
      </w:r>
      <w:r>
        <w:rPr>
          <w:rFonts w:hint="eastAsia" w:ascii="仿宋" w:hAnsi="仿宋" w:eastAsia="仿宋"/>
          <w:b/>
          <w:bCs/>
          <w:color w:val="auto"/>
          <w:sz w:val="32"/>
          <w:szCs w:val="32"/>
          <w:highlight w:val="none"/>
          <w:lang w:val="en-US" w:eastAsia="zh-CN"/>
        </w:rPr>
        <w:t>0</w:t>
      </w:r>
      <w:r>
        <w:rPr>
          <w:rFonts w:hint="eastAsia" w:ascii="仿宋" w:hAnsi="仿宋" w:eastAsia="仿宋"/>
          <w:b/>
          <w:bCs/>
          <w:color w:val="auto"/>
          <w:sz w:val="32"/>
          <w:szCs w:val="32"/>
          <w:highlight w:val="none"/>
        </w:rPr>
        <w:t>万元，占</w:t>
      </w:r>
      <w:r>
        <w:rPr>
          <w:rFonts w:hint="eastAsia" w:ascii="仿宋" w:hAnsi="仿宋" w:eastAsia="仿宋"/>
          <w:b/>
          <w:bCs/>
          <w:color w:val="auto"/>
          <w:sz w:val="32"/>
          <w:szCs w:val="32"/>
          <w:highlight w:val="none"/>
          <w:lang w:val="en-US" w:eastAsia="zh-CN"/>
        </w:rPr>
        <w:t>0</w:t>
      </w:r>
      <w:r>
        <w:rPr>
          <w:rFonts w:ascii="仿宋" w:hAnsi="仿宋" w:eastAsia="仿宋"/>
          <w:b/>
          <w:bCs/>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社会保障和就业（类）</w:t>
      </w:r>
      <w:r>
        <w:rPr>
          <w:rFonts w:hint="eastAsia" w:ascii="仿宋" w:hAnsi="仿宋" w:eastAsia="仿宋"/>
          <w:b/>
          <w:bCs/>
          <w:color w:val="auto"/>
          <w:sz w:val="32"/>
          <w:szCs w:val="32"/>
          <w:highlight w:val="none"/>
        </w:rPr>
        <w:t>支出</w:t>
      </w:r>
      <w:r>
        <w:rPr>
          <w:rFonts w:hint="eastAsia" w:ascii="仿宋" w:hAnsi="仿宋" w:eastAsia="仿宋"/>
          <w:color w:val="auto"/>
          <w:sz w:val="32"/>
          <w:szCs w:val="32"/>
          <w:highlight w:val="none"/>
          <w:lang w:val="en-US" w:eastAsia="zh-CN"/>
        </w:rPr>
        <w:t>18.21</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10.11</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bCs/>
          <w:color w:val="auto"/>
          <w:sz w:val="32"/>
          <w:szCs w:val="32"/>
          <w:highlight w:val="none"/>
        </w:rPr>
        <w:t>卫生健康支出</w:t>
      </w:r>
      <w:r>
        <w:rPr>
          <w:rFonts w:hint="eastAsia" w:ascii="仿宋" w:hAnsi="仿宋" w:eastAsia="仿宋"/>
          <w:b/>
          <w:bCs/>
          <w:color w:val="auto"/>
          <w:sz w:val="32"/>
          <w:szCs w:val="32"/>
          <w:highlight w:val="none"/>
          <w:lang w:val="en-US" w:eastAsia="zh-CN"/>
        </w:rPr>
        <w:t>4</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2.22</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r>
        <w:rPr>
          <w:rFonts w:hint="eastAsia" w:ascii="仿宋" w:hAnsi="仿宋" w:eastAsia="仿宋"/>
          <w:b/>
          <w:color w:val="auto"/>
          <w:sz w:val="32"/>
          <w:szCs w:val="32"/>
          <w:highlight w:val="none"/>
        </w:rPr>
        <w:t>住房保障支出</w:t>
      </w:r>
      <w:r>
        <w:rPr>
          <w:rFonts w:hint="eastAsia" w:ascii="仿宋" w:hAnsi="仿宋" w:eastAsia="仿宋"/>
          <w:color w:val="auto"/>
          <w:sz w:val="32"/>
          <w:szCs w:val="32"/>
          <w:highlight w:val="none"/>
          <w:lang w:val="en-US" w:eastAsia="zh-CN"/>
        </w:rPr>
        <w:t>3.9</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2.17</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firstLineChars="200"/>
        <w:jc w:val="center"/>
        <w:rPr>
          <w:rFonts w:ascii="仿宋" w:hAnsi="仿宋" w:eastAsia="仿宋"/>
          <w:color w:val="auto"/>
          <w:sz w:val="32"/>
          <w:szCs w:val="32"/>
          <w:highlight w:val="none"/>
        </w:rPr>
      </w:pPr>
      <w:r>
        <w:rPr>
          <w:rFonts w:hint="eastAsia" w:ascii="仿宋" w:hAnsi="仿宋" w:eastAsia="仿宋"/>
          <w:color w:val="auto"/>
          <w:sz w:val="32"/>
          <w:szCs w:val="32"/>
          <w:highlight w:val="none"/>
        </w:rPr>
        <w:t>（图6：一般公共预算财政拨款支出决算结构）</w:t>
      </w:r>
    </w:p>
    <w:p>
      <w:pPr>
        <w:spacing w:line="600" w:lineRule="exact"/>
        <w:ind w:firstLine="640"/>
        <w:rPr>
          <w:rFonts w:ascii="仿宋" w:hAnsi="仿宋" w:eastAsia="仿宋"/>
          <w:color w:val="auto"/>
          <w:sz w:val="32"/>
          <w:szCs w:val="32"/>
          <w:highlight w:val="none"/>
        </w:rPr>
      </w:pPr>
    </w:p>
    <w:p>
      <w:pPr>
        <w:pStyle w:val="6"/>
        <w:jc w:val="center"/>
      </w:pPr>
      <w:r>
        <w:drawing>
          <wp:inline distT="0" distB="0" distL="114300" distR="114300">
            <wp:extent cx="5271770" cy="2941955"/>
            <wp:effectExtent l="0" t="0" r="0" b="0"/>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spacing w:line="600" w:lineRule="exact"/>
        <w:ind w:firstLine="640" w:firstLineChars="200"/>
        <w:rPr>
          <w:rFonts w:ascii="仿宋" w:hAnsi="仿宋" w:eastAsia="仿宋"/>
          <w:color w:val="auto"/>
          <w:sz w:val="32"/>
          <w:szCs w:val="32"/>
          <w:highlight w:val="none"/>
        </w:rPr>
      </w:pPr>
    </w:p>
    <w:p>
      <w:pPr>
        <w:spacing w:line="600" w:lineRule="exact"/>
        <w:ind w:firstLine="643" w:firstLineChars="200"/>
        <w:outlineLvl w:val="2"/>
        <w:rPr>
          <w:rFonts w:ascii="仿宋" w:hAnsi="仿宋" w:eastAsia="仿宋"/>
          <w:b/>
          <w:color w:val="auto"/>
          <w:sz w:val="32"/>
          <w:szCs w:val="32"/>
          <w:highlight w:val="none"/>
        </w:rPr>
      </w:pPr>
      <w:bookmarkStart w:id="30" w:name="_Toc15377212"/>
      <w:r>
        <w:rPr>
          <w:rFonts w:hint="eastAsia" w:ascii="仿宋" w:hAnsi="仿宋" w:eastAsia="仿宋"/>
          <w:b/>
          <w:color w:val="auto"/>
          <w:sz w:val="32"/>
          <w:szCs w:val="32"/>
          <w:highlight w:val="none"/>
        </w:rPr>
        <w:t>（三）一般公共预算财政拨款支出决算具体情况</w:t>
      </w:r>
      <w:bookmarkEnd w:id="30"/>
    </w:p>
    <w:p>
      <w:pPr>
        <w:spacing w:line="600" w:lineRule="exact"/>
        <w:ind w:firstLine="643" w:firstLineChars="200"/>
        <w:outlineLvl w:val="2"/>
        <w:rPr>
          <w:rFonts w:ascii="仿宋" w:hAnsi="仿宋" w:eastAsia="仿宋"/>
          <w:color w:val="auto"/>
          <w:sz w:val="32"/>
          <w:szCs w:val="32"/>
          <w:highlight w:val="none"/>
        </w:rPr>
      </w:pPr>
      <w:bookmarkStart w:id="31" w:name="_Toc15377213"/>
      <w:bookmarkStart w:id="32" w:name="_Toc15378460"/>
      <w:bookmarkStart w:id="33" w:name="_Toc15377444"/>
      <w:r>
        <w:rPr>
          <w:rFonts w:hint="eastAsia" w:ascii="仿宋" w:hAnsi="仿宋" w:eastAsia="仿宋"/>
          <w:b/>
          <w:color w:val="auto"/>
          <w:sz w:val="32"/>
          <w:szCs w:val="32"/>
          <w:highlight w:val="none"/>
        </w:rPr>
        <w:t>20</w:t>
      </w:r>
      <w:r>
        <w:rPr>
          <w:rFonts w:hint="eastAsia" w:ascii="仿宋" w:hAnsi="仿宋" w:eastAsia="仿宋"/>
          <w:b/>
          <w:color w:val="auto"/>
          <w:sz w:val="32"/>
          <w:szCs w:val="32"/>
          <w:highlight w:val="none"/>
          <w:lang w:val="en-US" w:eastAsia="zh-CN"/>
        </w:rPr>
        <w:t>21</w:t>
      </w:r>
      <w:r>
        <w:rPr>
          <w:rFonts w:hint="eastAsia" w:ascii="仿宋" w:hAnsi="仿宋" w:eastAsia="仿宋"/>
          <w:b/>
          <w:color w:val="auto"/>
          <w:sz w:val="32"/>
          <w:szCs w:val="32"/>
          <w:highlight w:val="none"/>
        </w:rPr>
        <w:t>年</w:t>
      </w:r>
      <w:r>
        <w:rPr>
          <w:rFonts w:hint="eastAsia" w:ascii="仿宋" w:hAnsi="仿宋" w:eastAsia="仿宋"/>
          <w:b/>
          <w:color w:val="auto"/>
          <w:sz w:val="32"/>
          <w:szCs w:val="32"/>
          <w:highlight w:val="none"/>
          <w:lang w:eastAsia="zh-CN"/>
        </w:rPr>
        <w:t>一</w:t>
      </w:r>
      <w:r>
        <w:rPr>
          <w:rFonts w:hint="eastAsia" w:ascii="仿宋" w:hAnsi="仿宋" w:eastAsia="仿宋"/>
          <w:b/>
          <w:color w:val="auto"/>
          <w:sz w:val="32"/>
          <w:szCs w:val="32"/>
          <w:highlight w:val="none"/>
        </w:rPr>
        <w:t>般公共预算支出决算数为</w:t>
      </w:r>
      <w:r>
        <w:rPr>
          <w:rFonts w:hint="eastAsia" w:ascii="仿宋" w:hAnsi="仿宋" w:eastAsia="仿宋"/>
          <w:b/>
          <w:color w:val="auto"/>
          <w:sz w:val="32"/>
          <w:szCs w:val="32"/>
          <w:highlight w:val="none"/>
          <w:lang w:val="en-US" w:eastAsia="zh-CN"/>
        </w:rPr>
        <w:t>180.09万元</w:t>
      </w:r>
      <w:r>
        <w:rPr>
          <w:rFonts w:hint="eastAsia" w:ascii="仿宋" w:hAnsi="仿宋" w:eastAsia="仿宋"/>
          <w:color w:val="auto"/>
          <w:sz w:val="32"/>
          <w:szCs w:val="32"/>
          <w:highlight w:val="none"/>
        </w:rPr>
        <w:t>，</w:t>
      </w:r>
      <w:r>
        <w:rPr>
          <w:rStyle w:val="16"/>
          <w:rFonts w:hint="eastAsia" w:ascii="仿宋" w:hAnsi="仿宋" w:eastAsia="仿宋"/>
          <w:bCs/>
          <w:color w:val="auto"/>
          <w:sz w:val="32"/>
          <w:szCs w:val="32"/>
          <w:highlight w:val="none"/>
        </w:rPr>
        <w:t>完成预算</w:t>
      </w:r>
      <w:r>
        <w:rPr>
          <w:rStyle w:val="16"/>
          <w:rFonts w:hint="eastAsia" w:ascii="仿宋" w:hAnsi="仿宋" w:eastAsia="仿宋"/>
          <w:bCs/>
          <w:color w:val="auto"/>
          <w:sz w:val="32"/>
          <w:szCs w:val="32"/>
          <w:highlight w:val="none"/>
          <w:lang w:val="en-US" w:eastAsia="zh-CN"/>
        </w:rPr>
        <w:t>91.88</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。其中：</w:t>
      </w:r>
      <w:bookmarkEnd w:id="31"/>
      <w:bookmarkEnd w:id="32"/>
      <w:bookmarkEnd w:id="33"/>
    </w:p>
    <w:p>
      <w:pPr>
        <w:numPr>
          <w:ilvl w:val="0"/>
          <w:numId w:val="0"/>
        </w:numPr>
        <w:spacing w:line="600" w:lineRule="exact"/>
        <w:ind w:left="0" w:leftChars="0" w:firstLine="643" w:firstLineChars="200"/>
        <w:rPr>
          <w:rStyle w:val="16"/>
          <w:rFonts w:hint="eastAsia" w:ascii="仿宋" w:hAnsi="仿宋" w:eastAsia="仿宋"/>
          <w:b w:val="0"/>
          <w:bCs/>
          <w:color w:val="auto"/>
          <w:sz w:val="32"/>
          <w:szCs w:val="32"/>
          <w:highlight w:val="none"/>
          <w:lang w:eastAsia="zh-CN"/>
        </w:rPr>
      </w:pPr>
      <w:r>
        <w:rPr>
          <w:rStyle w:val="16"/>
          <w:rFonts w:hint="eastAsia" w:ascii="仿宋" w:hAnsi="仿宋" w:eastAsia="仿宋" w:cstheme="minorBidi"/>
          <w:bCs/>
          <w:color w:val="auto"/>
          <w:sz w:val="32"/>
          <w:szCs w:val="32"/>
          <w:highlight w:val="none"/>
          <w:lang w:val="en-US" w:eastAsia="zh-CN"/>
        </w:rPr>
        <w:t>1.</w:t>
      </w:r>
      <w:r>
        <w:rPr>
          <w:rStyle w:val="16"/>
          <w:rFonts w:hint="eastAsia" w:ascii="仿宋" w:hAnsi="仿宋" w:eastAsia="仿宋" w:cstheme="minorBidi"/>
          <w:bCs/>
          <w:color w:val="auto"/>
          <w:sz w:val="32"/>
          <w:szCs w:val="32"/>
          <w:highlight w:val="none"/>
        </w:rPr>
        <w:t>一般公共服务（类</w:t>
      </w:r>
      <w:r>
        <w:rPr>
          <w:rStyle w:val="16"/>
          <w:rFonts w:hint="eastAsia" w:ascii="仿宋" w:hAnsi="仿宋" w:eastAsia="仿宋"/>
          <w:bCs/>
          <w:color w:val="auto"/>
          <w:sz w:val="32"/>
          <w:szCs w:val="32"/>
          <w:highlight w:val="none"/>
        </w:rPr>
        <w:t>）</w:t>
      </w:r>
      <w:r>
        <w:rPr>
          <w:rStyle w:val="16"/>
          <w:rFonts w:hint="eastAsia" w:ascii="仿宋" w:hAnsi="仿宋" w:eastAsia="仿宋"/>
          <w:bCs/>
          <w:color w:val="auto"/>
          <w:sz w:val="32"/>
          <w:szCs w:val="32"/>
          <w:highlight w:val="none"/>
          <w:lang w:eastAsia="zh-CN"/>
        </w:rPr>
        <w:t>统战事务</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宗教事务</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84.33</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99.83</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r>
        <w:rPr>
          <w:rStyle w:val="16"/>
          <w:rFonts w:hint="eastAsia" w:ascii="仿宋" w:hAnsi="仿宋" w:eastAsia="仿宋"/>
          <w:b w:val="0"/>
          <w:bCs/>
          <w:color w:val="auto"/>
          <w:sz w:val="32"/>
          <w:szCs w:val="32"/>
          <w:highlight w:val="none"/>
        </w:rPr>
        <w:t>决算数小于预算数的主要原因是</w:t>
      </w:r>
      <w:r>
        <w:rPr>
          <w:rStyle w:val="16"/>
          <w:rFonts w:hint="eastAsia" w:ascii="仿宋" w:hAnsi="仿宋" w:eastAsia="仿宋"/>
          <w:b w:val="0"/>
          <w:bCs/>
          <w:color w:val="auto"/>
          <w:sz w:val="32"/>
          <w:szCs w:val="32"/>
          <w:highlight w:val="none"/>
          <w:lang w:eastAsia="zh-CN"/>
        </w:rPr>
        <w:t>工作已完成，严格执行厉行节约，正常尾款余额。</w:t>
      </w:r>
    </w:p>
    <w:p>
      <w:pPr>
        <w:pStyle w:val="6"/>
        <w:numPr>
          <w:ilvl w:val="0"/>
          <w:numId w:val="0"/>
        </w:numPr>
        <w:ind w:left="0" w:leftChars="0" w:firstLine="643" w:firstLineChars="200"/>
        <w:rPr>
          <w:rFonts w:hint="eastAsia"/>
          <w:lang w:eastAsia="zh-CN"/>
        </w:rPr>
      </w:pPr>
      <w:r>
        <w:rPr>
          <w:rStyle w:val="16"/>
          <w:rFonts w:hint="eastAsia" w:ascii="仿宋" w:hAnsi="仿宋" w:eastAsia="仿宋"/>
          <w:bCs/>
          <w:color w:val="auto"/>
          <w:sz w:val="32"/>
          <w:szCs w:val="32"/>
          <w:highlight w:val="none"/>
          <w:lang w:val="en-US" w:eastAsia="zh-CN"/>
        </w:rPr>
        <w:t>2.</w:t>
      </w:r>
      <w:r>
        <w:rPr>
          <w:rStyle w:val="16"/>
          <w:rFonts w:hint="eastAsia" w:ascii="仿宋" w:hAnsi="仿宋" w:eastAsia="仿宋"/>
          <w:bCs/>
          <w:color w:val="auto"/>
          <w:sz w:val="32"/>
          <w:szCs w:val="32"/>
          <w:highlight w:val="none"/>
        </w:rPr>
        <w:t>一般公共服务（类）</w:t>
      </w:r>
      <w:r>
        <w:rPr>
          <w:rStyle w:val="16"/>
          <w:rFonts w:hint="eastAsia" w:ascii="仿宋" w:hAnsi="仿宋" w:eastAsia="仿宋"/>
          <w:bCs/>
          <w:color w:val="auto"/>
          <w:sz w:val="32"/>
          <w:szCs w:val="32"/>
          <w:highlight w:val="none"/>
          <w:lang w:eastAsia="zh-CN"/>
        </w:rPr>
        <w:t>统战事务</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事业运行</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62.77</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86.66</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r>
        <w:rPr>
          <w:rStyle w:val="16"/>
          <w:rFonts w:hint="eastAsia" w:ascii="仿宋" w:hAnsi="仿宋" w:eastAsia="仿宋"/>
          <w:b w:val="0"/>
          <w:bCs/>
          <w:color w:val="auto"/>
          <w:sz w:val="32"/>
          <w:szCs w:val="32"/>
          <w:highlight w:val="none"/>
        </w:rPr>
        <w:t>决算数小于预算数的主要原因是</w:t>
      </w:r>
      <w:r>
        <w:rPr>
          <w:rStyle w:val="16"/>
          <w:rFonts w:hint="eastAsia" w:ascii="仿宋" w:hAnsi="仿宋" w:eastAsia="仿宋"/>
          <w:b w:val="0"/>
          <w:bCs/>
          <w:color w:val="auto"/>
          <w:sz w:val="32"/>
          <w:szCs w:val="32"/>
          <w:highlight w:val="none"/>
          <w:lang w:eastAsia="zh-CN"/>
        </w:rPr>
        <w:t>受疫情影响，部分工作未按预算完成。</w:t>
      </w:r>
    </w:p>
    <w:p>
      <w:pPr>
        <w:spacing w:line="600" w:lineRule="exact"/>
        <w:ind w:left="0" w:leftChars="0"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3</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教育（类）</w:t>
      </w:r>
      <w:r>
        <w:rPr>
          <w:rStyle w:val="16"/>
          <w:rFonts w:hint="eastAsia" w:ascii="仿宋" w:hAnsi="仿宋" w:eastAsia="仿宋"/>
          <w:bCs/>
          <w:color w:val="auto"/>
          <w:sz w:val="32"/>
          <w:szCs w:val="32"/>
          <w:highlight w:val="none"/>
          <w:lang w:eastAsia="zh-CN"/>
        </w:rPr>
        <w:t>进修及培训</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培训支出</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6.88</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52.92</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lang w:eastAsia="zh-CN"/>
        </w:rPr>
        <w:t>，</w:t>
      </w:r>
      <w:r>
        <w:rPr>
          <w:rStyle w:val="16"/>
          <w:rFonts w:hint="eastAsia" w:ascii="仿宋" w:hAnsi="仿宋" w:eastAsia="仿宋"/>
          <w:b w:val="0"/>
          <w:bCs/>
          <w:color w:val="auto"/>
          <w:sz w:val="32"/>
          <w:szCs w:val="32"/>
          <w:highlight w:val="none"/>
        </w:rPr>
        <w:t>决算数小于预算数的主要原因是</w:t>
      </w:r>
      <w:r>
        <w:rPr>
          <w:rStyle w:val="16"/>
          <w:rFonts w:hint="eastAsia" w:ascii="仿宋" w:hAnsi="仿宋" w:eastAsia="仿宋"/>
          <w:b w:val="0"/>
          <w:bCs/>
          <w:color w:val="auto"/>
          <w:sz w:val="32"/>
          <w:szCs w:val="32"/>
          <w:highlight w:val="none"/>
          <w:lang w:eastAsia="zh-CN"/>
        </w:rPr>
        <w:t>受疫情影响和参训人员其他工作安排，培训班参训人员请假较多</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4</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社会保障和就业（类）</w:t>
      </w:r>
      <w:r>
        <w:rPr>
          <w:rStyle w:val="16"/>
          <w:rFonts w:hint="eastAsia" w:ascii="仿宋" w:hAnsi="仿宋" w:eastAsia="仿宋"/>
          <w:bCs/>
          <w:color w:val="auto"/>
          <w:sz w:val="32"/>
          <w:szCs w:val="32"/>
          <w:highlight w:val="none"/>
          <w:lang w:eastAsia="zh-CN"/>
        </w:rPr>
        <w:t>行政事业单位养老支出</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行政单位离退休</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2.75</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5</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社会保障和就业（类）</w:t>
      </w:r>
      <w:r>
        <w:rPr>
          <w:rStyle w:val="16"/>
          <w:rFonts w:hint="eastAsia" w:ascii="仿宋" w:hAnsi="仿宋" w:eastAsia="仿宋"/>
          <w:bCs/>
          <w:color w:val="auto"/>
          <w:sz w:val="32"/>
          <w:szCs w:val="32"/>
          <w:highlight w:val="none"/>
          <w:lang w:eastAsia="zh-CN"/>
        </w:rPr>
        <w:t>行政事业单位养老支出</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事业单位离退休</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6.16</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6</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社会保障和就业（类）</w:t>
      </w:r>
      <w:r>
        <w:rPr>
          <w:rStyle w:val="16"/>
          <w:rFonts w:hint="eastAsia" w:ascii="仿宋" w:hAnsi="仿宋" w:eastAsia="仿宋"/>
          <w:bCs/>
          <w:color w:val="auto"/>
          <w:sz w:val="32"/>
          <w:szCs w:val="32"/>
          <w:highlight w:val="none"/>
          <w:lang w:eastAsia="zh-CN"/>
        </w:rPr>
        <w:t>行政事业单位养老支出</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机关事业单位基本养老保险缴费支出</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6.20</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7</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rPr>
        <w:t>社会保障和就业（类）</w:t>
      </w:r>
      <w:r>
        <w:rPr>
          <w:rStyle w:val="16"/>
          <w:rFonts w:hint="eastAsia" w:ascii="仿宋" w:hAnsi="仿宋" w:eastAsia="仿宋"/>
          <w:bCs/>
          <w:color w:val="auto"/>
          <w:sz w:val="32"/>
          <w:szCs w:val="32"/>
          <w:highlight w:val="none"/>
          <w:lang w:eastAsia="zh-CN"/>
        </w:rPr>
        <w:t>行政事业单位养老支出</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机关事业单位职业年金缴费支出</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ascii="仿宋" w:hAnsi="仿宋" w:eastAsia="仿宋"/>
          <w:b w:val="0"/>
          <w:bCs/>
          <w:color w:val="auto"/>
          <w:sz w:val="32"/>
          <w:szCs w:val="32"/>
          <w:highlight w:val="none"/>
        </w:rPr>
        <w:t xml:space="preserve"> </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3.1</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Fonts w:ascii="仿宋" w:hAnsi="仿宋" w:eastAsia="仿宋"/>
          <w:b/>
          <w:color w:val="auto"/>
          <w:sz w:val="32"/>
          <w:szCs w:val="32"/>
          <w:highlight w:val="none"/>
        </w:rPr>
      </w:pPr>
      <w:r>
        <w:rPr>
          <w:rStyle w:val="16"/>
          <w:rFonts w:hint="eastAsia" w:ascii="仿宋" w:hAnsi="仿宋" w:eastAsia="仿宋"/>
          <w:bCs/>
          <w:color w:val="auto"/>
          <w:sz w:val="32"/>
          <w:szCs w:val="32"/>
          <w:highlight w:val="none"/>
          <w:lang w:val="en-US" w:eastAsia="zh-CN"/>
        </w:rPr>
        <w:t>8</w:t>
      </w:r>
      <w:r>
        <w:rPr>
          <w:rStyle w:val="16"/>
          <w:rFonts w:ascii="仿宋" w:hAnsi="仿宋" w:eastAsia="仿宋"/>
          <w:bCs/>
          <w:color w:val="auto"/>
          <w:sz w:val="32"/>
          <w:szCs w:val="32"/>
          <w:highlight w:val="none"/>
        </w:rPr>
        <w:t>.</w:t>
      </w:r>
      <w:r>
        <w:rPr>
          <w:rFonts w:hint="eastAsia" w:ascii="仿宋" w:hAnsi="仿宋" w:eastAsia="仿宋"/>
          <w:b/>
          <w:bCs/>
          <w:color w:val="auto"/>
          <w:sz w:val="32"/>
          <w:szCs w:val="32"/>
          <w:highlight w:val="none"/>
        </w:rPr>
        <w:t>卫生健康</w:t>
      </w:r>
      <w:r>
        <w:rPr>
          <w:rStyle w:val="16"/>
          <w:rFonts w:hint="eastAsia" w:ascii="仿宋" w:hAnsi="仿宋" w:eastAsia="仿宋"/>
          <w:bCs/>
          <w:color w:val="auto"/>
          <w:sz w:val="32"/>
          <w:szCs w:val="32"/>
          <w:highlight w:val="none"/>
        </w:rPr>
        <w:t>（类）</w:t>
      </w:r>
      <w:r>
        <w:rPr>
          <w:rStyle w:val="16"/>
          <w:rFonts w:hint="eastAsia" w:ascii="仿宋" w:hAnsi="仿宋" w:eastAsia="仿宋"/>
          <w:bCs/>
          <w:color w:val="auto"/>
          <w:sz w:val="32"/>
          <w:szCs w:val="32"/>
          <w:highlight w:val="none"/>
          <w:lang w:eastAsia="zh-CN"/>
        </w:rPr>
        <w:t>行政事业单位医疗</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事业单位医疗</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4</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3" w:firstLineChars="200"/>
        <w:rPr>
          <w:rStyle w:val="16"/>
          <w:rFonts w:hint="eastAsia" w:ascii="仿宋" w:hAnsi="仿宋" w:eastAsia="仿宋"/>
          <w:b w:val="0"/>
          <w:bCs/>
          <w:color w:val="auto"/>
          <w:sz w:val="32"/>
          <w:szCs w:val="32"/>
          <w:highlight w:val="none"/>
        </w:rPr>
      </w:pPr>
      <w:r>
        <w:rPr>
          <w:rStyle w:val="16"/>
          <w:rFonts w:hint="eastAsia" w:ascii="仿宋" w:hAnsi="仿宋" w:eastAsia="仿宋"/>
          <w:bCs/>
          <w:color w:val="auto"/>
          <w:sz w:val="32"/>
          <w:szCs w:val="32"/>
          <w:highlight w:val="none"/>
          <w:lang w:val="en-US" w:eastAsia="zh-CN"/>
        </w:rPr>
        <w:t>9</w:t>
      </w:r>
      <w:r>
        <w:rPr>
          <w:rStyle w:val="16"/>
          <w:rFonts w:ascii="仿宋" w:hAnsi="仿宋" w:eastAsia="仿宋"/>
          <w:bCs/>
          <w:color w:val="auto"/>
          <w:sz w:val="32"/>
          <w:szCs w:val="32"/>
          <w:highlight w:val="none"/>
        </w:rPr>
        <w:t>.</w:t>
      </w:r>
      <w:r>
        <w:rPr>
          <w:rStyle w:val="16"/>
          <w:rFonts w:hint="eastAsia" w:ascii="仿宋" w:hAnsi="仿宋" w:eastAsia="仿宋"/>
          <w:bCs/>
          <w:color w:val="auto"/>
          <w:sz w:val="32"/>
          <w:szCs w:val="32"/>
          <w:highlight w:val="none"/>
          <w:lang w:eastAsia="zh-CN"/>
        </w:rPr>
        <w:t>住房保障</w:t>
      </w:r>
      <w:r>
        <w:rPr>
          <w:rStyle w:val="16"/>
          <w:rFonts w:hint="eastAsia" w:ascii="仿宋" w:hAnsi="仿宋" w:eastAsia="仿宋"/>
          <w:bCs/>
          <w:color w:val="auto"/>
          <w:sz w:val="32"/>
          <w:szCs w:val="32"/>
          <w:highlight w:val="none"/>
        </w:rPr>
        <w:t>（类）</w:t>
      </w:r>
      <w:r>
        <w:rPr>
          <w:rStyle w:val="16"/>
          <w:rFonts w:hint="eastAsia" w:ascii="仿宋" w:hAnsi="仿宋" w:eastAsia="仿宋"/>
          <w:bCs/>
          <w:color w:val="auto"/>
          <w:sz w:val="32"/>
          <w:szCs w:val="32"/>
          <w:highlight w:val="none"/>
          <w:lang w:eastAsia="zh-CN"/>
        </w:rPr>
        <w:t>住房改革支出</w:t>
      </w:r>
      <w:r>
        <w:rPr>
          <w:rStyle w:val="16"/>
          <w:rFonts w:hint="eastAsia" w:ascii="仿宋" w:hAnsi="仿宋" w:eastAsia="仿宋"/>
          <w:bCs/>
          <w:color w:val="auto"/>
          <w:sz w:val="32"/>
          <w:szCs w:val="32"/>
          <w:highlight w:val="none"/>
        </w:rPr>
        <w:t>（款）</w:t>
      </w:r>
      <w:r>
        <w:rPr>
          <w:rStyle w:val="16"/>
          <w:rFonts w:hint="eastAsia" w:ascii="仿宋" w:hAnsi="仿宋" w:eastAsia="仿宋"/>
          <w:bCs/>
          <w:color w:val="auto"/>
          <w:sz w:val="32"/>
          <w:szCs w:val="32"/>
          <w:highlight w:val="none"/>
          <w:lang w:eastAsia="zh-CN"/>
        </w:rPr>
        <w:t>住房公积金</w:t>
      </w:r>
      <w:r>
        <w:rPr>
          <w:rStyle w:val="16"/>
          <w:rFonts w:hint="eastAsia" w:ascii="仿宋" w:hAnsi="仿宋" w:eastAsia="仿宋"/>
          <w:bCs/>
          <w:color w:val="auto"/>
          <w:sz w:val="32"/>
          <w:szCs w:val="32"/>
          <w:highlight w:val="none"/>
        </w:rPr>
        <w:t>（项）</w:t>
      </w:r>
      <w:r>
        <w:rPr>
          <w:rStyle w:val="16"/>
          <w:rFonts w:ascii="仿宋" w:hAnsi="仿宋" w:eastAsia="仿宋"/>
          <w:bCs/>
          <w:color w:val="auto"/>
          <w:sz w:val="32"/>
          <w:szCs w:val="32"/>
          <w:highlight w:val="none"/>
        </w:rPr>
        <w:t>:</w:t>
      </w:r>
      <w:r>
        <w:rPr>
          <w:rStyle w:val="16"/>
          <w:rFonts w:hint="eastAsia" w:ascii="仿宋" w:hAnsi="仿宋" w:eastAsia="仿宋"/>
          <w:b w:val="0"/>
          <w:bCs/>
          <w:color w:val="auto"/>
          <w:sz w:val="32"/>
          <w:szCs w:val="32"/>
          <w:highlight w:val="none"/>
        </w:rPr>
        <w:t>支出决算为</w:t>
      </w:r>
      <w:r>
        <w:rPr>
          <w:rStyle w:val="16"/>
          <w:rFonts w:hint="eastAsia" w:ascii="仿宋" w:hAnsi="仿宋" w:eastAsia="仿宋"/>
          <w:b w:val="0"/>
          <w:bCs/>
          <w:color w:val="auto"/>
          <w:sz w:val="32"/>
          <w:szCs w:val="32"/>
          <w:highlight w:val="none"/>
          <w:lang w:val="en-US" w:eastAsia="zh-CN"/>
        </w:rPr>
        <w:t>3.9</w:t>
      </w:r>
      <w:r>
        <w:rPr>
          <w:rStyle w:val="16"/>
          <w:rFonts w:hint="eastAsia" w:ascii="仿宋" w:hAnsi="仿宋" w:eastAsia="仿宋"/>
          <w:b w:val="0"/>
          <w:bCs/>
          <w:color w:val="auto"/>
          <w:sz w:val="32"/>
          <w:szCs w:val="32"/>
          <w:highlight w:val="none"/>
        </w:rPr>
        <w:t>万元，完成预算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p>
    <w:p>
      <w:pPr>
        <w:spacing w:line="600" w:lineRule="exact"/>
        <w:ind w:firstLine="640"/>
        <w:rPr>
          <w:rFonts w:ascii="仿宋" w:hAnsi="仿宋" w:eastAsia="仿宋"/>
          <w:b/>
          <w:color w:val="auto"/>
          <w:sz w:val="32"/>
          <w:szCs w:val="32"/>
          <w:highlight w:val="none"/>
        </w:rPr>
      </w:pPr>
    </w:p>
    <w:p>
      <w:pPr>
        <w:tabs>
          <w:tab w:val="right" w:pos="8306"/>
        </w:tabs>
        <w:spacing w:line="600" w:lineRule="exact"/>
        <w:ind w:firstLine="640"/>
        <w:outlineLvl w:val="1"/>
        <w:rPr>
          <w:rStyle w:val="27"/>
          <w:color w:val="auto"/>
          <w:highlight w:val="none"/>
        </w:rPr>
      </w:pPr>
      <w:bookmarkStart w:id="34" w:name="_Toc15377214"/>
      <w:bookmarkStart w:id="35" w:name="_Toc15396608"/>
      <w:r>
        <w:rPr>
          <w:rFonts w:hint="eastAsia" w:ascii="黑体" w:eastAsia="黑体"/>
          <w:color w:val="auto"/>
          <w:sz w:val="32"/>
          <w:szCs w:val="32"/>
          <w:highlight w:val="none"/>
        </w:rPr>
        <w:t>六</w:t>
      </w:r>
      <w:r>
        <w:rPr>
          <w:rFonts w:hint="eastAsia" w:ascii="黑体" w:eastAsia="黑体"/>
          <w:b/>
          <w:color w:val="auto"/>
          <w:sz w:val="32"/>
          <w:szCs w:val="32"/>
          <w:highlight w:val="none"/>
        </w:rPr>
        <w:t>、</w:t>
      </w:r>
      <w:r>
        <w:rPr>
          <w:rFonts w:hint="eastAsia" w:ascii="黑体" w:hAnsi="黑体" w:eastAsia="黑体"/>
          <w:b/>
          <w:color w:val="auto"/>
          <w:sz w:val="32"/>
          <w:szCs w:val="32"/>
          <w:highlight w:val="none"/>
        </w:rPr>
        <w:t>一</w:t>
      </w:r>
      <w:r>
        <w:rPr>
          <w:rStyle w:val="27"/>
          <w:rFonts w:hint="eastAsia" w:ascii="黑体" w:hAnsi="黑体" w:eastAsia="黑体"/>
          <w:b w:val="0"/>
          <w:color w:val="auto"/>
          <w:highlight w:val="none"/>
        </w:rPr>
        <w:t>般公共预算财政拨款基本支出决算情况说明</w:t>
      </w:r>
      <w:bookmarkEnd w:id="34"/>
      <w:bookmarkEnd w:id="35"/>
      <w:r>
        <w:rPr>
          <w:rStyle w:val="27"/>
          <w:rFonts w:ascii="黑体" w:hAnsi="黑体" w:eastAsia="黑体"/>
          <w:b w:val="0"/>
          <w:color w:val="auto"/>
          <w:highlight w:val="none"/>
        </w:rPr>
        <w:tab/>
      </w:r>
    </w:p>
    <w:p>
      <w:pPr>
        <w:spacing w:line="600" w:lineRule="exact"/>
        <w:ind w:firstLine="645"/>
        <w:rPr>
          <w:rFonts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年一般公共预算财政拨款基本支出</w:t>
      </w:r>
      <w:r>
        <w:rPr>
          <w:rFonts w:hint="eastAsia" w:ascii="仿宋" w:hAnsi="仿宋" w:eastAsia="仿宋"/>
          <w:color w:val="auto"/>
          <w:sz w:val="32"/>
          <w:szCs w:val="32"/>
          <w:highlight w:val="none"/>
          <w:lang w:val="en-US" w:eastAsia="zh-CN"/>
        </w:rPr>
        <w:t>95.75</w:t>
      </w:r>
      <w:r>
        <w:rPr>
          <w:rFonts w:hint="eastAsia" w:ascii="仿宋" w:hAnsi="仿宋" w:eastAsia="仿宋"/>
          <w:color w:val="auto"/>
          <w:sz w:val="32"/>
          <w:szCs w:val="32"/>
          <w:highlight w:val="none"/>
        </w:rPr>
        <w:t>万元，其中：</w:t>
      </w:r>
    </w:p>
    <w:p>
      <w:pPr>
        <w:spacing w:line="600" w:lineRule="exact"/>
        <w:ind w:firstLine="645"/>
        <w:rPr>
          <w:rFonts w:ascii="仿宋" w:hAnsi="仿宋" w:eastAsia="仿宋"/>
          <w:color w:val="auto"/>
          <w:sz w:val="32"/>
          <w:szCs w:val="32"/>
          <w:highlight w:val="none"/>
        </w:rPr>
      </w:pPr>
      <w:r>
        <w:rPr>
          <w:rFonts w:hint="eastAsia" w:ascii="仿宋" w:hAnsi="仿宋" w:eastAsia="仿宋"/>
          <w:color w:val="auto"/>
          <w:sz w:val="32"/>
          <w:szCs w:val="32"/>
          <w:highlight w:val="none"/>
        </w:rPr>
        <w:t>人员经费</w:t>
      </w:r>
      <w:r>
        <w:rPr>
          <w:rFonts w:hint="eastAsia" w:ascii="仿宋" w:hAnsi="仿宋" w:eastAsia="仿宋"/>
          <w:color w:val="auto"/>
          <w:sz w:val="32"/>
          <w:szCs w:val="32"/>
          <w:highlight w:val="none"/>
          <w:lang w:val="en-US" w:eastAsia="zh-CN"/>
        </w:rPr>
        <w:t>65.54</w:t>
      </w:r>
      <w:r>
        <w:rPr>
          <w:rFonts w:hint="eastAsia" w:ascii="仿宋" w:hAnsi="仿宋" w:eastAsia="仿宋"/>
          <w:color w:val="auto"/>
          <w:sz w:val="32"/>
          <w:szCs w:val="32"/>
          <w:highlight w:val="none"/>
        </w:rPr>
        <w:t>万元，主要包括：基本工资、津贴补贴、绩效工资、机关事业单位基本养老保险缴费、职业年金缴费、</w:t>
      </w:r>
      <w:r>
        <w:rPr>
          <w:rFonts w:hint="eastAsia" w:ascii="仿宋" w:hAnsi="仿宋" w:eastAsia="仿宋"/>
          <w:color w:val="auto"/>
          <w:sz w:val="32"/>
          <w:szCs w:val="32"/>
          <w:highlight w:val="none"/>
          <w:lang w:eastAsia="zh-CN"/>
        </w:rPr>
        <w:t>职工基本医疗保险缴费、</w:t>
      </w:r>
      <w:r>
        <w:rPr>
          <w:rFonts w:hint="eastAsia" w:ascii="仿宋" w:hAnsi="仿宋" w:eastAsia="仿宋"/>
          <w:color w:val="auto"/>
          <w:sz w:val="32"/>
          <w:szCs w:val="32"/>
          <w:highlight w:val="none"/>
        </w:rPr>
        <w:t>其他社会保障缴费、</w:t>
      </w:r>
      <w:r>
        <w:rPr>
          <w:rFonts w:hint="eastAsia" w:ascii="仿宋" w:hAnsi="仿宋" w:eastAsia="仿宋"/>
          <w:color w:val="auto"/>
          <w:sz w:val="32"/>
          <w:szCs w:val="32"/>
          <w:highlight w:val="none"/>
          <w:lang w:eastAsia="zh-CN"/>
        </w:rPr>
        <w:t>住房公积金、</w:t>
      </w:r>
      <w:r>
        <w:rPr>
          <w:rFonts w:hint="eastAsia" w:ascii="仿宋" w:hAnsi="仿宋" w:eastAsia="仿宋"/>
          <w:color w:val="auto"/>
          <w:sz w:val="32"/>
          <w:szCs w:val="32"/>
          <w:highlight w:val="none"/>
        </w:rPr>
        <w:t>抚恤金、其他对个人和家庭的补助支出等。</w:t>
      </w:r>
      <w:r>
        <w:rPr>
          <w:rFonts w:ascii="仿宋" w:hAnsi="仿宋" w:eastAsia="仿宋"/>
          <w:color w:val="auto"/>
          <w:sz w:val="32"/>
          <w:szCs w:val="32"/>
          <w:highlight w:val="none"/>
        </w:rPr>
        <w:br w:type="textWrapping"/>
      </w:r>
      <w:r>
        <w:rPr>
          <w:rFonts w:hint="eastAsia" w:ascii="仿宋" w:hAnsi="仿宋" w:eastAsia="仿宋"/>
          <w:color w:val="auto"/>
          <w:sz w:val="32"/>
          <w:szCs w:val="32"/>
          <w:highlight w:val="none"/>
        </w:rPr>
        <w:t>　　公用经费</w:t>
      </w:r>
      <w:r>
        <w:rPr>
          <w:rFonts w:hint="eastAsia" w:ascii="仿宋" w:hAnsi="仿宋" w:eastAsia="仿宋"/>
          <w:color w:val="auto"/>
          <w:sz w:val="32"/>
          <w:szCs w:val="32"/>
          <w:highlight w:val="none"/>
          <w:lang w:val="en-US" w:eastAsia="zh-CN"/>
        </w:rPr>
        <w:t>30.21</w:t>
      </w:r>
      <w:r>
        <w:rPr>
          <w:rFonts w:hint="eastAsia" w:ascii="仿宋" w:hAnsi="仿宋" w:eastAsia="仿宋"/>
          <w:color w:val="auto"/>
          <w:sz w:val="32"/>
          <w:szCs w:val="32"/>
          <w:highlight w:val="none"/>
        </w:rPr>
        <w:t>万元，主要包括：办公费、水费、电费、邮电费、物业管理费、差旅费、维修（护）费、培训费、公务接待费、工会经费、福利费、公务用车运行维护费等。</w:t>
      </w:r>
    </w:p>
    <w:p>
      <w:pPr>
        <w:spacing w:line="600" w:lineRule="exact"/>
        <w:ind w:firstLine="640"/>
        <w:rPr>
          <w:rFonts w:ascii="仿宋" w:hAnsi="仿宋" w:eastAsia="仿宋"/>
          <w:b/>
          <w:color w:val="auto"/>
          <w:sz w:val="32"/>
          <w:szCs w:val="32"/>
          <w:highlight w:val="none"/>
        </w:rPr>
      </w:pPr>
    </w:p>
    <w:p>
      <w:pPr>
        <w:spacing w:line="600" w:lineRule="exact"/>
        <w:ind w:firstLine="640"/>
        <w:outlineLvl w:val="1"/>
        <w:rPr>
          <w:rStyle w:val="27"/>
          <w:rFonts w:ascii="黑体" w:hAnsi="黑体" w:eastAsia="黑体"/>
          <w:b w:val="0"/>
          <w:color w:val="auto"/>
          <w:highlight w:val="none"/>
        </w:rPr>
      </w:pPr>
      <w:bookmarkStart w:id="36" w:name="_Toc15377215"/>
      <w:bookmarkStart w:id="37" w:name="_Toc15396609"/>
      <w:r>
        <w:rPr>
          <w:rFonts w:hint="eastAsia" w:ascii="黑体" w:eastAsia="黑体"/>
          <w:color w:val="auto"/>
          <w:sz w:val="32"/>
          <w:szCs w:val="32"/>
          <w:highlight w:val="none"/>
        </w:rPr>
        <w:t>七、</w:t>
      </w:r>
      <w:r>
        <w:rPr>
          <w:rStyle w:val="27"/>
          <w:rFonts w:hint="eastAsia" w:ascii="黑体" w:hAnsi="黑体" w:eastAsia="黑体"/>
          <w:color w:val="auto"/>
          <w:highlight w:val="none"/>
        </w:rPr>
        <w:t>“</w:t>
      </w:r>
      <w:r>
        <w:rPr>
          <w:rStyle w:val="27"/>
          <w:rFonts w:hint="eastAsia" w:ascii="黑体" w:hAnsi="黑体" w:eastAsia="黑体"/>
          <w:b w:val="0"/>
          <w:color w:val="auto"/>
          <w:highlight w:val="none"/>
        </w:rPr>
        <w:t>三公”经费财政拨款支出决算情况说明</w:t>
      </w:r>
      <w:bookmarkEnd w:id="36"/>
      <w:bookmarkEnd w:id="37"/>
    </w:p>
    <w:p>
      <w:pPr>
        <w:spacing w:line="600" w:lineRule="exact"/>
        <w:ind w:firstLine="640"/>
        <w:outlineLvl w:val="2"/>
        <w:rPr>
          <w:rFonts w:ascii="仿宋" w:hAnsi="仿宋" w:eastAsia="仿宋"/>
          <w:b/>
          <w:color w:val="auto"/>
          <w:sz w:val="32"/>
          <w:szCs w:val="32"/>
          <w:highlight w:val="none"/>
        </w:rPr>
      </w:pPr>
      <w:bookmarkStart w:id="38" w:name="_Toc15377216"/>
      <w:r>
        <w:rPr>
          <w:rFonts w:hint="eastAsia" w:ascii="仿宋" w:hAnsi="仿宋" w:eastAsia="仿宋"/>
          <w:b/>
          <w:color w:val="auto"/>
          <w:sz w:val="32"/>
          <w:szCs w:val="32"/>
          <w:highlight w:val="none"/>
        </w:rPr>
        <w:t>（一）“三公”经费财政拨款支出决算总体情况说明</w:t>
      </w:r>
      <w:bookmarkEnd w:id="38"/>
    </w:p>
    <w:p>
      <w:pPr>
        <w:spacing w:line="600" w:lineRule="exact"/>
        <w:ind w:firstLine="640"/>
        <w:rPr>
          <w:rFonts w:ascii="仿宋" w:hAnsi="仿宋" w:eastAsia="仿宋"/>
          <w:b/>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年“三公”经费财政拨款支出决算为</w:t>
      </w:r>
      <w:r>
        <w:rPr>
          <w:rFonts w:hint="eastAsia" w:ascii="仿宋" w:hAnsi="仿宋" w:eastAsia="仿宋"/>
          <w:color w:val="auto"/>
          <w:sz w:val="32"/>
          <w:szCs w:val="32"/>
          <w:highlight w:val="none"/>
          <w:lang w:val="en-US" w:eastAsia="zh-CN"/>
        </w:rPr>
        <w:t>1.47</w:t>
      </w:r>
      <w:r>
        <w:rPr>
          <w:rFonts w:hint="eastAsia" w:ascii="仿宋" w:hAnsi="仿宋" w:eastAsia="仿宋"/>
          <w:color w:val="auto"/>
          <w:sz w:val="32"/>
          <w:szCs w:val="32"/>
          <w:highlight w:val="none"/>
        </w:rPr>
        <w:t>万元，完成预算</w:t>
      </w:r>
      <w:r>
        <w:rPr>
          <w:rFonts w:hint="eastAsia" w:ascii="仿宋" w:hAnsi="仿宋" w:eastAsia="仿宋"/>
          <w:color w:val="auto"/>
          <w:sz w:val="32"/>
          <w:szCs w:val="32"/>
          <w:highlight w:val="none"/>
          <w:lang w:val="en-US" w:eastAsia="zh-CN"/>
        </w:rPr>
        <w:t>100</w:t>
      </w:r>
      <w:r>
        <w:rPr>
          <w:rFonts w:ascii="仿宋" w:hAnsi="仿宋" w:eastAsia="仿宋"/>
          <w:color w:val="auto"/>
          <w:sz w:val="32"/>
          <w:szCs w:val="32"/>
          <w:highlight w:val="none"/>
        </w:rPr>
        <w:t>%</w:t>
      </w:r>
      <w:r>
        <w:rPr>
          <w:rFonts w:hint="eastAsia" w:ascii="仿宋" w:hAnsi="仿宋" w:eastAsia="仿宋"/>
          <w:color w:val="auto"/>
          <w:sz w:val="32"/>
          <w:szCs w:val="32"/>
          <w:highlight w:val="none"/>
        </w:rPr>
        <w:t>。</w:t>
      </w:r>
    </w:p>
    <w:p>
      <w:pPr>
        <w:spacing w:line="600" w:lineRule="exact"/>
        <w:ind w:firstLine="640"/>
        <w:outlineLvl w:val="2"/>
        <w:rPr>
          <w:rFonts w:ascii="仿宋" w:hAnsi="仿宋" w:eastAsia="仿宋"/>
          <w:b/>
          <w:color w:val="auto"/>
          <w:sz w:val="32"/>
          <w:szCs w:val="32"/>
          <w:highlight w:val="none"/>
        </w:rPr>
      </w:pPr>
      <w:bookmarkStart w:id="39" w:name="_Toc15377217"/>
      <w:r>
        <w:rPr>
          <w:rFonts w:hint="eastAsia" w:ascii="仿宋" w:hAnsi="仿宋" w:eastAsia="仿宋"/>
          <w:b/>
          <w:color w:val="auto"/>
          <w:sz w:val="32"/>
          <w:szCs w:val="32"/>
          <w:highlight w:val="none"/>
        </w:rPr>
        <w:t>（二）“三公”经费财政拨款支出决算具体情况说明</w:t>
      </w:r>
      <w:bookmarkEnd w:id="39"/>
    </w:p>
    <w:p>
      <w:pPr>
        <w:spacing w:line="600" w:lineRule="exact"/>
        <w:ind w:firstLine="640"/>
        <w:jc w:val="both"/>
        <w:rPr>
          <w:rFonts w:hint="eastAsia" w:ascii="仿宋" w:hAnsi="仿宋" w:eastAsia="仿宋"/>
          <w:color w:val="auto"/>
          <w:sz w:val="32"/>
          <w:szCs w:val="32"/>
          <w:highlight w:val="none"/>
        </w:rPr>
      </w:pPr>
      <w:r>
        <w:rPr>
          <w:rFonts w:ascii="仿宋" w:hAnsi="仿宋" w:eastAsia="仿宋"/>
          <w:color w:val="auto"/>
          <w:sz w:val="32"/>
          <w:szCs w:val="32"/>
          <w:highlight w:val="none"/>
        </w:rPr>
        <w:t>20</w:t>
      </w:r>
      <w:r>
        <w:rPr>
          <w:rFonts w:hint="eastAsia" w:ascii="仿宋" w:hAnsi="仿宋" w:eastAsia="仿宋"/>
          <w:color w:val="auto"/>
          <w:sz w:val="32"/>
          <w:szCs w:val="32"/>
          <w:highlight w:val="none"/>
          <w:lang w:val="en-US" w:eastAsia="zh-CN"/>
        </w:rPr>
        <w:t>21</w:t>
      </w:r>
      <w:r>
        <w:rPr>
          <w:rFonts w:hint="eastAsia" w:ascii="仿宋" w:hAnsi="仿宋" w:eastAsia="仿宋"/>
          <w:color w:val="auto"/>
          <w:sz w:val="32"/>
          <w:szCs w:val="32"/>
          <w:highlight w:val="none"/>
        </w:rPr>
        <w:t>年“三公”经费财政拨款支出决算中，因公出国（境）费支出决算</w:t>
      </w:r>
      <w:r>
        <w:rPr>
          <w:rFonts w:hint="eastAsia" w:ascii="仿宋" w:hAnsi="仿宋" w:eastAsia="仿宋"/>
          <w:color w:val="auto"/>
          <w:sz w:val="32"/>
          <w:szCs w:val="32"/>
          <w:highlight w:val="none"/>
          <w:lang w:val="en-US" w:eastAsia="zh-CN"/>
        </w:rPr>
        <w:t>0</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0</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；公务用车购置及运行维护费支出决算</w:t>
      </w:r>
      <w:r>
        <w:rPr>
          <w:rFonts w:hint="eastAsia" w:ascii="仿宋" w:hAnsi="仿宋" w:eastAsia="仿宋"/>
          <w:color w:val="auto"/>
          <w:sz w:val="32"/>
          <w:szCs w:val="32"/>
          <w:highlight w:val="none"/>
          <w:lang w:val="en-US" w:eastAsia="zh-CN"/>
        </w:rPr>
        <w:t>1.29</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87.76</w:t>
      </w:r>
      <w:r>
        <w:rPr>
          <w:rFonts w:ascii="仿宋" w:hAnsi="仿宋" w:eastAsia="仿宋"/>
          <w:color w:val="auto"/>
          <w:sz w:val="32"/>
          <w:szCs w:val="32"/>
          <w:highlight w:val="none"/>
        </w:rPr>
        <w:t>%</w:t>
      </w:r>
      <w:r>
        <w:rPr>
          <w:rFonts w:hint="eastAsia" w:ascii="仿宋" w:hAnsi="仿宋" w:eastAsia="仿宋"/>
          <w:color w:val="auto"/>
          <w:sz w:val="32"/>
          <w:szCs w:val="32"/>
          <w:highlight w:val="none"/>
        </w:rPr>
        <w:t>；公务接待费支出决算</w:t>
      </w:r>
      <w:r>
        <w:rPr>
          <w:rFonts w:hint="eastAsia" w:ascii="仿宋" w:hAnsi="仿宋" w:eastAsia="仿宋"/>
          <w:color w:val="auto"/>
          <w:sz w:val="32"/>
          <w:szCs w:val="32"/>
          <w:highlight w:val="none"/>
          <w:lang w:val="en-US" w:eastAsia="zh-CN"/>
        </w:rPr>
        <w:t>0.18</w:t>
      </w:r>
      <w:r>
        <w:rPr>
          <w:rFonts w:hint="eastAsia" w:ascii="仿宋" w:hAnsi="仿宋" w:eastAsia="仿宋"/>
          <w:color w:val="auto"/>
          <w:sz w:val="32"/>
          <w:szCs w:val="32"/>
          <w:highlight w:val="none"/>
        </w:rPr>
        <w:t>万元，占</w:t>
      </w:r>
      <w:r>
        <w:rPr>
          <w:rFonts w:hint="eastAsia" w:ascii="仿宋" w:hAnsi="仿宋" w:eastAsia="仿宋"/>
          <w:color w:val="auto"/>
          <w:sz w:val="32"/>
          <w:szCs w:val="32"/>
          <w:highlight w:val="none"/>
          <w:lang w:val="en-US" w:eastAsia="zh-CN"/>
        </w:rPr>
        <w:t>12.24</w:t>
      </w:r>
      <w:r>
        <w:rPr>
          <w:rFonts w:ascii="仿宋" w:hAnsi="仿宋" w:eastAsia="仿宋"/>
          <w:color w:val="auto"/>
          <w:sz w:val="32"/>
          <w:szCs w:val="32"/>
          <w:highlight w:val="none"/>
        </w:rPr>
        <w:t>%</w:t>
      </w:r>
      <w:r>
        <w:rPr>
          <w:rFonts w:hint="eastAsia" w:ascii="仿宋" w:hAnsi="仿宋" w:eastAsia="仿宋"/>
          <w:color w:val="auto"/>
          <w:sz w:val="32"/>
          <w:szCs w:val="32"/>
          <w:highlight w:val="none"/>
        </w:rPr>
        <w:t>。具体情况如下：</w:t>
      </w:r>
    </w:p>
    <w:p>
      <w:pPr>
        <w:spacing w:line="600" w:lineRule="exact"/>
        <w:ind w:firstLine="640"/>
        <w:jc w:val="center"/>
        <w:rPr>
          <w:rFonts w:hint="eastAsia" w:ascii="仿宋" w:hAnsi="仿宋" w:eastAsia="仿宋"/>
          <w:color w:val="auto"/>
          <w:sz w:val="32"/>
          <w:szCs w:val="32"/>
          <w:highlight w:val="none"/>
        </w:rPr>
      </w:pPr>
      <w:r>
        <w:rPr>
          <w:rFonts w:hint="eastAsia" w:ascii="仿宋" w:hAnsi="仿宋" w:eastAsia="仿宋"/>
          <w:color w:val="auto"/>
          <w:sz w:val="32"/>
          <w:szCs w:val="32"/>
          <w:highlight w:val="none"/>
        </w:rPr>
        <w:t>（图7：“三公”经费财政拨款支出结构）</w:t>
      </w:r>
    </w:p>
    <w:p>
      <w:pPr>
        <w:pStyle w:val="6"/>
        <w:jc w:val="center"/>
      </w:pPr>
      <w:r>
        <w:drawing>
          <wp:inline distT="0" distB="0" distL="114300" distR="114300">
            <wp:extent cx="4289425" cy="2958465"/>
            <wp:effectExtent l="4445" t="4445" r="11430" b="8890"/>
            <wp:docPr id="197673"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spacing w:line="600" w:lineRule="exact"/>
        <w:ind w:firstLine="640"/>
        <w:rPr>
          <w:rFonts w:ascii="仿宋_GB2312" w:eastAsia="仿宋_GB2312"/>
          <w:b/>
          <w:color w:val="auto"/>
          <w:sz w:val="32"/>
          <w:szCs w:val="32"/>
          <w:highlight w:val="none"/>
        </w:rPr>
      </w:pPr>
      <w:r>
        <w:rPr>
          <w:rFonts w:ascii="仿宋_GB2312" w:eastAsia="仿宋_GB2312"/>
          <w:b/>
          <w:color w:val="auto"/>
          <w:sz w:val="32"/>
          <w:szCs w:val="32"/>
          <w:highlight w:val="none"/>
        </w:rPr>
        <w:t>1.</w:t>
      </w:r>
      <w:r>
        <w:rPr>
          <w:rFonts w:hint="eastAsia" w:ascii="仿宋_GB2312" w:eastAsia="仿宋_GB2312"/>
          <w:b/>
          <w:color w:val="auto"/>
          <w:sz w:val="32"/>
          <w:szCs w:val="32"/>
          <w:highlight w:val="none"/>
        </w:rPr>
        <w:t>因公出国（境）经费支出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全年安排因公出国（境）团组</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次，出国（境）</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人。因公出国（境）支出决算</w:t>
      </w:r>
      <w:r>
        <w:rPr>
          <w:rFonts w:hint="eastAsia" w:ascii="仿宋_GB2312" w:eastAsia="仿宋_GB2312"/>
          <w:color w:val="auto"/>
          <w:sz w:val="32"/>
          <w:szCs w:val="32"/>
          <w:highlight w:val="none"/>
          <w:lang w:eastAsia="zh-CN"/>
        </w:rPr>
        <w:t>与</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20</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持平</w:t>
      </w:r>
      <w:r>
        <w:rPr>
          <w:rFonts w:hint="eastAsia" w:ascii="仿宋_GB2312" w:eastAsia="仿宋_GB2312"/>
          <w:color w:val="auto"/>
          <w:sz w:val="32"/>
          <w:szCs w:val="32"/>
          <w:highlight w:val="none"/>
        </w:rPr>
        <w:t>。</w:t>
      </w:r>
    </w:p>
    <w:p>
      <w:pPr>
        <w:spacing w:line="600" w:lineRule="exact"/>
        <w:ind w:firstLine="640"/>
        <w:rPr>
          <w:rFonts w:hint="eastAsia" w:ascii="仿宋_GB2312" w:eastAsia="仿宋_GB2312"/>
          <w:color w:val="auto"/>
          <w:sz w:val="32"/>
          <w:szCs w:val="32"/>
          <w:highlight w:val="none"/>
          <w:lang w:eastAsia="zh-CN"/>
        </w:rPr>
      </w:pPr>
      <w:r>
        <w:rPr>
          <w:rFonts w:hint="eastAsia" w:ascii="仿宋_GB2312" w:eastAsia="仿宋_GB2312"/>
          <w:color w:val="auto"/>
          <w:sz w:val="32"/>
          <w:szCs w:val="32"/>
          <w:highlight w:val="none"/>
        </w:rPr>
        <w:t>开支内容包括：</w:t>
      </w:r>
      <w:r>
        <w:rPr>
          <w:rFonts w:hint="eastAsia" w:ascii="仿宋_GB2312" w:eastAsia="仿宋_GB2312"/>
          <w:color w:val="auto"/>
          <w:sz w:val="32"/>
          <w:szCs w:val="32"/>
          <w:highlight w:val="none"/>
          <w:lang w:eastAsia="zh-CN"/>
        </w:rPr>
        <w:t>无</w:t>
      </w:r>
    </w:p>
    <w:p>
      <w:pPr>
        <w:spacing w:line="600" w:lineRule="exact"/>
        <w:ind w:firstLine="640"/>
        <w:rPr>
          <w:rFonts w:ascii="仿宋_GB2312" w:eastAsia="仿宋_GB2312"/>
          <w:b/>
          <w:color w:val="auto"/>
          <w:sz w:val="32"/>
          <w:szCs w:val="32"/>
          <w:highlight w:val="none"/>
        </w:rPr>
      </w:pPr>
      <w:r>
        <w:rPr>
          <w:rFonts w:ascii="仿宋_GB2312" w:eastAsia="仿宋_GB2312"/>
          <w:b/>
          <w:color w:val="auto"/>
          <w:sz w:val="32"/>
          <w:szCs w:val="32"/>
          <w:highlight w:val="none"/>
        </w:rPr>
        <w:t>2.</w:t>
      </w:r>
      <w:r>
        <w:rPr>
          <w:rFonts w:hint="eastAsia" w:ascii="仿宋_GB2312" w:eastAsia="仿宋_GB2312"/>
          <w:b/>
          <w:color w:val="auto"/>
          <w:sz w:val="32"/>
          <w:szCs w:val="32"/>
          <w:highlight w:val="none"/>
        </w:rPr>
        <w:t>公务用车购置及运行维护费支出</w:t>
      </w:r>
      <w:r>
        <w:rPr>
          <w:rFonts w:hint="eastAsia" w:ascii="仿宋_GB2312" w:eastAsia="仿宋_GB2312"/>
          <w:color w:val="auto"/>
          <w:sz w:val="32"/>
          <w:szCs w:val="32"/>
          <w:highlight w:val="none"/>
          <w:lang w:val="en-US" w:eastAsia="zh-CN"/>
        </w:rPr>
        <w:t>1.29</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公务用车购置及运行维护费支出决算比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20</w:t>
      </w:r>
      <w:r>
        <w:rPr>
          <w:rFonts w:hint="eastAsia" w:ascii="仿宋_GB2312" w:eastAsia="仿宋_GB2312"/>
          <w:color w:val="auto"/>
          <w:sz w:val="32"/>
          <w:szCs w:val="32"/>
          <w:highlight w:val="none"/>
        </w:rPr>
        <w:t>年增加</w:t>
      </w:r>
      <w:r>
        <w:rPr>
          <w:rFonts w:hint="eastAsia" w:ascii="仿宋_GB2312" w:eastAsia="仿宋_GB2312"/>
          <w:color w:val="auto"/>
          <w:sz w:val="32"/>
          <w:szCs w:val="32"/>
          <w:highlight w:val="none"/>
          <w:lang w:val="en-US" w:eastAsia="zh-CN"/>
        </w:rPr>
        <w:t>0.49</w:t>
      </w:r>
      <w:r>
        <w:rPr>
          <w:rFonts w:hint="eastAsia" w:ascii="仿宋_GB2312" w:eastAsia="仿宋_GB2312"/>
          <w:color w:val="auto"/>
          <w:sz w:val="32"/>
          <w:szCs w:val="32"/>
          <w:highlight w:val="none"/>
        </w:rPr>
        <w:t>万元，增长</w:t>
      </w:r>
      <w:r>
        <w:rPr>
          <w:rFonts w:hint="eastAsia" w:ascii="仿宋_GB2312" w:eastAsia="仿宋_GB2312"/>
          <w:color w:val="auto"/>
          <w:sz w:val="32"/>
          <w:szCs w:val="32"/>
          <w:highlight w:val="none"/>
          <w:lang w:val="en-US" w:eastAsia="zh-CN"/>
        </w:rPr>
        <w:t>61.28</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。主要原因是疫情</w:t>
      </w:r>
      <w:r>
        <w:rPr>
          <w:rFonts w:hint="eastAsia" w:ascii="仿宋_GB2312" w:eastAsia="仿宋_GB2312"/>
          <w:color w:val="auto"/>
          <w:sz w:val="32"/>
          <w:szCs w:val="32"/>
          <w:highlight w:val="none"/>
          <w:lang w:eastAsia="zh-CN"/>
        </w:rPr>
        <w:t>形势</w:t>
      </w:r>
      <w:r>
        <w:rPr>
          <w:rFonts w:hint="eastAsia" w:ascii="仿宋_GB2312" w:eastAsia="仿宋_GB2312"/>
          <w:color w:val="auto"/>
          <w:sz w:val="32"/>
          <w:szCs w:val="32"/>
          <w:highlight w:val="none"/>
        </w:rPr>
        <w:t>有所缓和，工作逐渐恢复正常。</w:t>
      </w:r>
    </w:p>
    <w:p>
      <w:pPr>
        <w:spacing w:line="600" w:lineRule="exact"/>
        <w:ind w:firstLine="640" w:firstLineChars="200"/>
        <w:rPr>
          <w:rFonts w:ascii="仿宋_GB2312" w:eastAsia="仿宋_GB2312"/>
          <w:b/>
          <w:color w:val="auto"/>
          <w:sz w:val="32"/>
          <w:szCs w:val="32"/>
          <w:highlight w:val="none"/>
        </w:rPr>
      </w:pPr>
      <w:r>
        <w:rPr>
          <w:rFonts w:hint="eastAsia" w:ascii="仿宋_GB2312" w:eastAsia="仿宋_GB2312"/>
          <w:color w:val="auto"/>
          <w:sz w:val="32"/>
          <w:szCs w:val="32"/>
          <w:highlight w:val="none"/>
        </w:rPr>
        <w:t>其中：</w:t>
      </w:r>
      <w:r>
        <w:rPr>
          <w:rFonts w:hint="eastAsia" w:ascii="仿宋_GB2312" w:eastAsia="仿宋_GB2312"/>
          <w:b/>
          <w:color w:val="auto"/>
          <w:sz w:val="32"/>
          <w:szCs w:val="32"/>
          <w:highlight w:val="none"/>
        </w:rPr>
        <w:t>公务用车购置支出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万元。全年按规定更新购置公务用车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万元，越野车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万元，载客汽车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月底，单位共有公务用车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辆，其中：轿车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辆、越野车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辆、载客汽车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w:t>
      </w:r>
    </w:p>
    <w:p>
      <w:pPr>
        <w:spacing w:line="600" w:lineRule="exact"/>
        <w:ind w:firstLine="640"/>
        <w:rPr>
          <w:rFonts w:ascii="仿宋_GB2312" w:eastAsia="仿宋_GB2312"/>
          <w:color w:val="auto"/>
          <w:sz w:val="32"/>
          <w:szCs w:val="32"/>
          <w:highlight w:val="none"/>
        </w:rPr>
      </w:pPr>
      <w:r>
        <w:rPr>
          <w:rFonts w:hint="eastAsia" w:ascii="仿宋_GB2312" w:eastAsia="仿宋_GB2312"/>
          <w:b/>
          <w:color w:val="auto"/>
          <w:sz w:val="32"/>
          <w:szCs w:val="32"/>
          <w:highlight w:val="none"/>
        </w:rPr>
        <w:t>公务用车运行维护费支出</w:t>
      </w:r>
      <w:r>
        <w:rPr>
          <w:rFonts w:hint="eastAsia" w:ascii="仿宋_GB2312" w:eastAsia="仿宋_GB2312"/>
          <w:color w:val="auto"/>
          <w:sz w:val="32"/>
          <w:szCs w:val="32"/>
          <w:highlight w:val="none"/>
          <w:lang w:val="en-US" w:eastAsia="zh-CN"/>
        </w:rPr>
        <w:t>1.29</w:t>
      </w:r>
      <w:r>
        <w:rPr>
          <w:rFonts w:hint="eastAsia" w:ascii="仿宋_GB2312" w:eastAsia="仿宋_GB2312"/>
          <w:color w:val="auto"/>
          <w:sz w:val="32"/>
          <w:szCs w:val="32"/>
          <w:highlight w:val="none"/>
        </w:rPr>
        <w:t>万元。主要用于</w:t>
      </w:r>
      <w:r>
        <w:rPr>
          <w:rFonts w:hint="eastAsia" w:ascii="仿宋_GB2312" w:eastAsia="仿宋_GB2312"/>
          <w:color w:val="auto"/>
          <w:sz w:val="32"/>
          <w:szCs w:val="32"/>
          <w:highlight w:val="none"/>
          <w:lang w:eastAsia="zh-CN"/>
        </w:rPr>
        <w:t>公务出行</w:t>
      </w:r>
      <w:r>
        <w:rPr>
          <w:rFonts w:hint="eastAsia" w:ascii="仿宋_GB2312" w:eastAsia="仿宋_GB2312"/>
          <w:color w:val="auto"/>
          <w:sz w:val="32"/>
          <w:szCs w:val="32"/>
          <w:highlight w:val="none"/>
        </w:rPr>
        <w:t>所需的公务用车燃料费、维修费、过路过桥费、保险费等支出。</w:t>
      </w:r>
    </w:p>
    <w:p>
      <w:pPr>
        <w:spacing w:line="600" w:lineRule="exact"/>
        <w:ind w:firstLine="640"/>
        <w:rPr>
          <w:rFonts w:ascii="仿宋_GB2312" w:eastAsia="仿宋_GB2312"/>
          <w:color w:val="auto"/>
          <w:sz w:val="32"/>
          <w:szCs w:val="32"/>
          <w:highlight w:val="none"/>
        </w:rPr>
      </w:pPr>
      <w:r>
        <w:rPr>
          <w:rFonts w:ascii="仿宋_GB2312" w:eastAsia="仿宋_GB2312"/>
          <w:b/>
          <w:color w:val="auto"/>
          <w:sz w:val="32"/>
          <w:szCs w:val="32"/>
          <w:highlight w:val="none"/>
        </w:rPr>
        <w:t>3.</w:t>
      </w:r>
      <w:r>
        <w:rPr>
          <w:rFonts w:hint="eastAsia" w:ascii="仿宋_GB2312" w:eastAsia="仿宋_GB2312"/>
          <w:b/>
          <w:color w:val="auto"/>
          <w:sz w:val="32"/>
          <w:szCs w:val="32"/>
          <w:highlight w:val="none"/>
        </w:rPr>
        <w:t>公务接待费支出</w:t>
      </w:r>
      <w:r>
        <w:rPr>
          <w:rFonts w:hint="eastAsia" w:ascii="仿宋_GB2312" w:eastAsia="仿宋_GB2312"/>
          <w:color w:val="auto"/>
          <w:sz w:val="32"/>
          <w:szCs w:val="32"/>
          <w:highlight w:val="none"/>
          <w:lang w:val="en-US" w:eastAsia="zh-CN"/>
        </w:rPr>
        <w:t>0.18</w:t>
      </w:r>
      <w:r>
        <w:rPr>
          <w:rFonts w:hint="eastAsia" w:ascii="仿宋_GB2312" w:eastAsia="仿宋_GB2312"/>
          <w:color w:val="auto"/>
          <w:sz w:val="32"/>
          <w:szCs w:val="32"/>
          <w:highlight w:val="none"/>
        </w:rPr>
        <w:t>万元，</w:t>
      </w:r>
      <w:r>
        <w:rPr>
          <w:rStyle w:val="16"/>
          <w:rFonts w:hint="eastAsia" w:ascii="仿宋" w:hAnsi="仿宋" w:eastAsia="仿宋"/>
          <w:b w:val="0"/>
          <w:bCs/>
          <w:color w:val="auto"/>
          <w:sz w:val="32"/>
          <w:szCs w:val="32"/>
          <w:highlight w:val="none"/>
        </w:rPr>
        <w:t>完成预算</w:t>
      </w:r>
      <w:r>
        <w:rPr>
          <w:rStyle w:val="16"/>
          <w:rFonts w:hint="eastAsia" w:ascii="仿宋" w:hAnsi="仿宋" w:eastAsia="仿宋"/>
          <w:b w:val="0"/>
          <w:bCs/>
          <w:color w:val="auto"/>
          <w:sz w:val="32"/>
          <w:szCs w:val="32"/>
          <w:highlight w:val="none"/>
          <w:lang w:val="en-US" w:eastAsia="zh-CN"/>
        </w:rPr>
        <w:t>100</w:t>
      </w:r>
      <w:r>
        <w:rPr>
          <w:rStyle w:val="16"/>
          <w:rFonts w:ascii="仿宋" w:hAnsi="仿宋" w:eastAsia="仿宋"/>
          <w:b w:val="0"/>
          <w:bCs/>
          <w:color w:val="auto"/>
          <w:sz w:val="32"/>
          <w:szCs w:val="32"/>
          <w:highlight w:val="none"/>
        </w:rPr>
        <w:t>%</w:t>
      </w:r>
      <w:r>
        <w:rPr>
          <w:rStyle w:val="16"/>
          <w:rFonts w:hint="eastAsia" w:ascii="仿宋" w:hAnsi="仿宋" w:eastAsia="仿宋"/>
          <w:b w:val="0"/>
          <w:bCs/>
          <w:color w:val="auto"/>
          <w:sz w:val="32"/>
          <w:szCs w:val="32"/>
          <w:highlight w:val="none"/>
        </w:rPr>
        <w:t>。</w:t>
      </w:r>
      <w:r>
        <w:rPr>
          <w:rFonts w:hint="eastAsia" w:ascii="仿宋_GB2312" w:eastAsia="仿宋_GB2312"/>
          <w:color w:val="auto"/>
          <w:sz w:val="32"/>
          <w:szCs w:val="32"/>
          <w:highlight w:val="none"/>
        </w:rPr>
        <w:t>公务接待费支出决算比</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20</w:t>
      </w:r>
      <w:r>
        <w:rPr>
          <w:rFonts w:hint="eastAsia" w:ascii="仿宋_GB2312" w:eastAsia="仿宋_GB2312"/>
          <w:color w:val="auto"/>
          <w:sz w:val="32"/>
          <w:szCs w:val="32"/>
          <w:highlight w:val="none"/>
        </w:rPr>
        <w:t>年减少</w:t>
      </w:r>
      <w:r>
        <w:rPr>
          <w:rFonts w:hint="eastAsia" w:ascii="仿宋_GB2312" w:eastAsia="仿宋_GB2312"/>
          <w:color w:val="auto"/>
          <w:sz w:val="32"/>
          <w:szCs w:val="32"/>
          <w:highlight w:val="none"/>
          <w:lang w:val="en-US" w:eastAsia="zh-CN"/>
        </w:rPr>
        <w:t>0.09</w:t>
      </w:r>
      <w:r>
        <w:rPr>
          <w:rFonts w:hint="eastAsia" w:ascii="仿宋_GB2312" w:eastAsia="仿宋_GB2312"/>
          <w:color w:val="auto"/>
          <w:sz w:val="32"/>
          <w:szCs w:val="32"/>
          <w:highlight w:val="none"/>
        </w:rPr>
        <w:t>万元，下降</w:t>
      </w:r>
      <w:r>
        <w:rPr>
          <w:rFonts w:hint="eastAsia" w:ascii="仿宋_GB2312" w:eastAsia="仿宋_GB2312"/>
          <w:color w:val="auto"/>
          <w:sz w:val="32"/>
          <w:szCs w:val="32"/>
          <w:highlight w:val="none"/>
          <w:lang w:val="en-US" w:eastAsia="zh-CN"/>
        </w:rPr>
        <w:t>32.45</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。主要原因是</w:t>
      </w:r>
      <w:r>
        <w:rPr>
          <w:rFonts w:hint="eastAsia" w:ascii="仿宋_GB2312" w:eastAsia="仿宋_GB2312"/>
          <w:color w:val="auto"/>
          <w:sz w:val="32"/>
          <w:szCs w:val="32"/>
          <w:highlight w:val="none"/>
          <w:lang w:eastAsia="zh-CN"/>
        </w:rPr>
        <w:t>来访客人减少</w:t>
      </w:r>
      <w:r>
        <w:rPr>
          <w:rFonts w:hint="eastAsia" w:ascii="仿宋_GB2312" w:eastAsia="仿宋_GB2312"/>
          <w:color w:val="auto"/>
          <w:sz w:val="32"/>
          <w:szCs w:val="32"/>
          <w:highlight w:val="none"/>
        </w:rPr>
        <w:t>。其中：</w:t>
      </w:r>
    </w:p>
    <w:p>
      <w:pPr>
        <w:spacing w:line="600" w:lineRule="exact"/>
        <w:ind w:firstLine="640"/>
        <w:rPr>
          <w:rFonts w:ascii="仿宋_GB2312" w:eastAsia="仿宋_GB2312"/>
          <w:color w:val="auto"/>
          <w:sz w:val="32"/>
          <w:szCs w:val="32"/>
          <w:highlight w:val="none"/>
        </w:rPr>
      </w:pPr>
      <w:r>
        <w:rPr>
          <w:rFonts w:hint="eastAsia" w:ascii="仿宋" w:hAnsi="仿宋" w:eastAsia="仿宋"/>
          <w:b/>
          <w:color w:val="auto"/>
          <w:sz w:val="32"/>
          <w:szCs w:val="32"/>
          <w:highlight w:val="none"/>
        </w:rPr>
        <w:t>国内公务接待支出</w:t>
      </w:r>
      <w:r>
        <w:rPr>
          <w:rFonts w:hint="eastAsia" w:ascii="仿宋" w:hAnsi="仿宋" w:eastAsia="仿宋"/>
          <w:color w:val="auto"/>
          <w:sz w:val="32"/>
          <w:szCs w:val="32"/>
          <w:highlight w:val="none"/>
          <w:lang w:val="en-US" w:eastAsia="zh-CN"/>
        </w:rPr>
        <w:t>0.18</w:t>
      </w:r>
      <w:r>
        <w:rPr>
          <w:rFonts w:hint="eastAsia" w:ascii="仿宋_GB2312" w:eastAsia="仿宋_GB2312"/>
          <w:color w:val="auto"/>
          <w:sz w:val="32"/>
          <w:szCs w:val="32"/>
          <w:highlight w:val="none"/>
        </w:rPr>
        <w:t>万元，主要用于开展业务活动开支用餐费。国内公务接待</w:t>
      </w:r>
      <w:r>
        <w:rPr>
          <w:rFonts w:hint="eastAsia" w:ascii="仿宋_GB2312" w:eastAsia="仿宋_GB2312"/>
          <w:color w:val="auto"/>
          <w:sz w:val="32"/>
          <w:szCs w:val="32"/>
          <w:highlight w:val="none"/>
          <w:lang w:val="en-US" w:eastAsia="zh-CN"/>
        </w:rPr>
        <w:t>3</w:t>
      </w:r>
      <w:r>
        <w:rPr>
          <w:rFonts w:hint="eastAsia" w:ascii="仿宋_GB2312" w:eastAsia="仿宋_GB2312"/>
          <w:color w:val="auto"/>
          <w:sz w:val="32"/>
          <w:szCs w:val="32"/>
          <w:highlight w:val="none"/>
        </w:rPr>
        <w:t>批次，</w:t>
      </w:r>
      <w:r>
        <w:rPr>
          <w:rFonts w:hint="eastAsia" w:ascii="仿宋_GB2312" w:eastAsia="仿宋_GB2312"/>
          <w:color w:val="auto"/>
          <w:sz w:val="32"/>
          <w:szCs w:val="32"/>
          <w:highlight w:val="none"/>
          <w:lang w:val="en-US" w:eastAsia="zh-CN"/>
        </w:rPr>
        <w:t>13</w:t>
      </w:r>
      <w:r>
        <w:rPr>
          <w:rFonts w:hint="eastAsia" w:ascii="仿宋_GB2312" w:eastAsia="仿宋_GB2312"/>
          <w:color w:val="auto"/>
          <w:sz w:val="32"/>
          <w:szCs w:val="32"/>
          <w:highlight w:val="none"/>
        </w:rPr>
        <w:t>人次（不包括陪同人员），共计支出</w:t>
      </w:r>
      <w:r>
        <w:rPr>
          <w:rFonts w:hint="eastAsia" w:ascii="仿宋_GB2312" w:eastAsia="仿宋_GB2312"/>
          <w:color w:val="auto"/>
          <w:sz w:val="32"/>
          <w:szCs w:val="32"/>
          <w:highlight w:val="none"/>
          <w:lang w:val="en-US" w:eastAsia="zh-CN"/>
        </w:rPr>
        <w:t>0.18</w:t>
      </w:r>
      <w:r>
        <w:rPr>
          <w:rFonts w:hint="eastAsia" w:ascii="仿宋_GB2312" w:eastAsia="仿宋_GB2312"/>
          <w:color w:val="auto"/>
          <w:sz w:val="32"/>
          <w:szCs w:val="32"/>
          <w:highlight w:val="none"/>
        </w:rPr>
        <w:t>万元，具体内容包括：</w:t>
      </w:r>
      <w:r>
        <w:rPr>
          <w:rFonts w:hint="eastAsia" w:ascii="仿宋_GB2312" w:eastAsia="仿宋_GB2312"/>
          <w:color w:val="auto"/>
          <w:sz w:val="32"/>
          <w:szCs w:val="32"/>
          <w:highlight w:val="none"/>
          <w:lang w:eastAsia="zh-CN"/>
        </w:rPr>
        <w:t>接待餐费</w:t>
      </w:r>
      <w:r>
        <w:rPr>
          <w:rFonts w:hint="eastAsia" w:ascii="仿宋_GB2312" w:eastAsia="仿宋_GB2312"/>
          <w:color w:val="auto"/>
          <w:sz w:val="32"/>
          <w:szCs w:val="32"/>
          <w:highlight w:val="none"/>
          <w:lang w:val="en-US" w:eastAsia="zh-CN"/>
        </w:rPr>
        <w:t>0.18万元</w:t>
      </w:r>
      <w:r>
        <w:rPr>
          <w:rFonts w:hint="eastAsia" w:ascii="仿宋_GB2312" w:eastAsia="仿宋_GB2312"/>
          <w:color w:val="auto"/>
          <w:sz w:val="32"/>
          <w:szCs w:val="32"/>
          <w:highlight w:val="none"/>
        </w:rPr>
        <w:t>。</w:t>
      </w:r>
    </w:p>
    <w:p>
      <w:pPr>
        <w:spacing w:line="600" w:lineRule="exact"/>
        <w:ind w:firstLine="643" w:firstLineChars="200"/>
        <w:rPr>
          <w:rFonts w:hint="eastAsia" w:ascii="仿宋_GB2312" w:eastAsia="仿宋_GB2312"/>
          <w:color w:val="auto"/>
          <w:sz w:val="32"/>
          <w:szCs w:val="32"/>
          <w:highlight w:val="none"/>
          <w:lang w:eastAsia="zh-CN"/>
        </w:rPr>
      </w:pPr>
      <w:r>
        <w:rPr>
          <w:rFonts w:hint="eastAsia" w:ascii="仿宋" w:hAnsi="仿宋" w:eastAsia="仿宋"/>
          <w:b/>
          <w:color w:val="auto"/>
          <w:sz w:val="32"/>
          <w:szCs w:val="32"/>
          <w:highlight w:val="none"/>
        </w:rPr>
        <w:t>外事接待支出</w:t>
      </w:r>
      <w:r>
        <w:rPr>
          <w:rFonts w:hint="eastAsia" w:ascii="仿宋" w:hAnsi="仿宋" w:eastAsia="仿宋"/>
          <w:color w:val="auto"/>
          <w:sz w:val="32"/>
          <w:szCs w:val="32"/>
          <w:highlight w:val="none"/>
          <w:lang w:val="en-US" w:eastAsia="zh-CN"/>
        </w:rPr>
        <w:t>0</w:t>
      </w:r>
      <w:r>
        <w:rPr>
          <w:rFonts w:hint="eastAsia" w:ascii="仿宋_GB2312" w:eastAsia="仿宋_GB2312"/>
          <w:color w:val="auto"/>
          <w:sz w:val="32"/>
          <w:szCs w:val="32"/>
          <w:highlight w:val="none"/>
        </w:rPr>
        <w:t>万元，外事接待</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批次，</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人，共计支出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r>
        <w:rPr>
          <w:rFonts w:hint="eastAsia" w:ascii="仿宋_GB2312" w:eastAsia="仿宋_GB2312"/>
          <w:color w:val="auto"/>
          <w:sz w:val="32"/>
          <w:szCs w:val="32"/>
          <w:highlight w:val="none"/>
          <w:lang w:eastAsia="zh-CN"/>
        </w:rPr>
        <w:t>。</w:t>
      </w:r>
    </w:p>
    <w:p>
      <w:pPr>
        <w:spacing w:line="600" w:lineRule="exact"/>
        <w:ind w:firstLine="640"/>
        <w:outlineLvl w:val="1"/>
        <w:rPr>
          <w:rFonts w:ascii="黑体" w:eastAsia="黑体"/>
          <w:color w:val="auto"/>
          <w:sz w:val="32"/>
          <w:szCs w:val="32"/>
          <w:highlight w:val="none"/>
        </w:rPr>
      </w:pPr>
      <w:bookmarkStart w:id="40" w:name="_Toc15396610"/>
      <w:bookmarkStart w:id="41" w:name="_Toc15377218"/>
    </w:p>
    <w:p>
      <w:pPr>
        <w:spacing w:line="600" w:lineRule="exact"/>
        <w:ind w:firstLine="640"/>
        <w:outlineLvl w:val="1"/>
        <w:rPr>
          <w:rStyle w:val="27"/>
          <w:rFonts w:ascii="黑体" w:hAnsi="黑体" w:eastAsia="黑体"/>
          <w:color w:val="auto"/>
          <w:highlight w:val="none"/>
        </w:rPr>
      </w:pPr>
      <w:r>
        <w:rPr>
          <w:rFonts w:hint="eastAsia" w:ascii="黑体" w:eastAsia="黑体"/>
          <w:color w:val="auto"/>
          <w:sz w:val="32"/>
          <w:szCs w:val="32"/>
          <w:highlight w:val="none"/>
        </w:rPr>
        <w:t>八、</w:t>
      </w:r>
      <w:r>
        <w:rPr>
          <w:rStyle w:val="27"/>
          <w:rFonts w:hint="eastAsia" w:ascii="黑体" w:hAnsi="黑体" w:eastAsia="黑体"/>
          <w:b w:val="0"/>
          <w:color w:val="auto"/>
          <w:highlight w:val="none"/>
        </w:rPr>
        <w:t>政府性基金预算支出决算情况说明</w:t>
      </w:r>
      <w:bookmarkEnd w:id="40"/>
      <w:bookmarkEnd w:id="41"/>
    </w:p>
    <w:p>
      <w:pPr>
        <w:spacing w:line="600" w:lineRule="exact"/>
        <w:ind w:firstLine="64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年政府性基金预算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numPr>
          <w:ilvl w:val="0"/>
          <w:numId w:val="2"/>
        </w:numPr>
        <w:spacing w:line="600" w:lineRule="exact"/>
        <w:ind w:firstLine="640"/>
        <w:outlineLvl w:val="1"/>
        <w:rPr>
          <w:rStyle w:val="27"/>
          <w:rFonts w:ascii="黑体" w:hAnsi="黑体" w:eastAsia="黑体"/>
          <w:b w:val="0"/>
          <w:color w:val="auto"/>
          <w:highlight w:val="none"/>
        </w:rPr>
      </w:pPr>
      <w:bookmarkStart w:id="42" w:name="_Toc15396611"/>
      <w:bookmarkStart w:id="43" w:name="_Toc15377219"/>
      <w:r>
        <w:rPr>
          <w:rStyle w:val="27"/>
          <w:rFonts w:hint="eastAsia" w:ascii="黑体" w:hAnsi="黑体" w:eastAsia="黑体"/>
          <w:b w:val="0"/>
          <w:color w:val="auto"/>
          <w:highlight w:val="none"/>
        </w:rPr>
        <w:t>国有资本经营预算支出决算情况说明</w:t>
      </w:r>
      <w:bookmarkEnd w:id="42"/>
      <w:bookmarkEnd w:id="43"/>
    </w:p>
    <w:p>
      <w:pPr>
        <w:spacing w:line="600" w:lineRule="exact"/>
        <w:ind w:firstLine="64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年国有资本经营预算</w:t>
      </w:r>
      <w:r>
        <w:rPr>
          <w:rFonts w:hint="eastAsia" w:ascii="仿宋_GB2312" w:eastAsia="仿宋_GB2312"/>
          <w:color w:val="auto"/>
          <w:sz w:val="32"/>
          <w:szCs w:val="32"/>
          <w:highlight w:val="none"/>
          <w:lang w:eastAsia="zh-CN"/>
        </w:rPr>
        <w:t>财政</w:t>
      </w:r>
      <w:r>
        <w:rPr>
          <w:rFonts w:hint="eastAsia" w:ascii="仿宋_GB2312" w:eastAsia="仿宋_GB2312"/>
          <w:color w:val="auto"/>
          <w:sz w:val="32"/>
          <w:szCs w:val="32"/>
          <w:highlight w:val="none"/>
        </w:rPr>
        <w:t>拨款支出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w:t>
      </w:r>
    </w:p>
    <w:p>
      <w:pPr>
        <w:numPr>
          <w:ilvl w:val="0"/>
          <w:numId w:val="2"/>
        </w:numPr>
        <w:spacing w:line="600" w:lineRule="exact"/>
        <w:ind w:firstLine="640"/>
        <w:outlineLvl w:val="1"/>
        <w:rPr>
          <w:rStyle w:val="27"/>
          <w:rFonts w:hint="eastAsia" w:ascii="黑体" w:hAnsi="黑体" w:eastAsia="黑体"/>
          <w:b w:val="0"/>
          <w:color w:val="auto"/>
          <w:highlight w:val="none"/>
        </w:rPr>
      </w:pPr>
      <w:bookmarkStart w:id="44" w:name="_Toc15377221"/>
      <w:bookmarkStart w:id="45" w:name="_Toc15396612"/>
      <w:r>
        <w:rPr>
          <w:rStyle w:val="27"/>
          <w:rFonts w:hint="eastAsia" w:ascii="黑体" w:hAnsi="黑体" w:eastAsia="黑体"/>
          <w:b w:val="0"/>
          <w:color w:val="auto"/>
          <w:highlight w:val="none"/>
        </w:rPr>
        <w:t>其他重要事项的情况说明</w:t>
      </w:r>
      <w:bookmarkEnd w:id="44"/>
      <w:bookmarkEnd w:id="45"/>
    </w:p>
    <w:p>
      <w:pPr>
        <w:spacing w:line="600" w:lineRule="exact"/>
        <w:ind w:firstLine="643" w:firstLineChars="200"/>
        <w:outlineLvl w:val="2"/>
        <w:rPr>
          <w:rFonts w:ascii="仿宋" w:hAnsi="仿宋" w:eastAsia="仿宋"/>
          <w:color w:val="auto"/>
          <w:sz w:val="32"/>
          <w:szCs w:val="32"/>
          <w:highlight w:val="none"/>
        </w:rPr>
      </w:pPr>
      <w:bookmarkStart w:id="46" w:name="_Toc15377222"/>
      <w:r>
        <w:rPr>
          <w:rFonts w:hint="eastAsia" w:ascii="仿宋" w:hAnsi="仿宋" w:eastAsia="仿宋"/>
          <w:b/>
          <w:color w:val="auto"/>
          <w:sz w:val="32"/>
          <w:szCs w:val="32"/>
          <w:highlight w:val="none"/>
        </w:rPr>
        <w:t>（一）机关运行经费支出情况</w:t>
      </w:r>
      <w:bookmarkEnd w:id="46"/>
    </w:p>
    <w:p>
      <w:pPr>
        <w:spacing w:line="600" w:lineRule="exact"/>
        <w:ind w:firstLine="640" w:firstLineChars="200"/>
        <w:rPr>
          <w:rFonts w:ascii="仿宋" w:hAnsi="仿宋" w:eastAsia="仿宋"/>
          <w:b/>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四川省天主教爱国会</w:t>
      </w:r>
      <w:r>
        <w:rPr>
          <w:rFonts w:hint="eastAsia" w:ascii="仿宋_GB2312" w:eastAsia="仿宋_GB2312"/>
          <w:color w:val="auto"/>
          <w:sz w:val="32"/>
          <w:szCs w:val="32"/>
          <w:highlight w:val="none"/>
        </w:rPr>
        <w:t>机关运行经费支出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万元与</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20</w:t>
      </w:r>
      <w:r>
        <w:rPr>
          <w:rFonts w:hint="eastAsia" w:ascii="仿宋_GB2312" w:eastAsia="仿宋_GB2312"/>
          <w:color w:val="auto"/>
          <w:sz w:val="32"/>
          <w:szCs w:val="32"/>
          <w:highlight w:val="none"/>
        </w:rPr>
        <w:t>年决算数持平。</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7" w:name="_Toc15377223"/>
      <w:r>
        <w:rPr>
          <w:rFonts w:hint="eastAsia" w:ascii="仿宋" w:hAnsi="仿宋" w:eastAsia="仿宋"/>
          <w:b/>
          <w:color w:val="auto"/>
          <w:sz w:val="32"/>
          <w:szCs w:val="32"/>
          <w:highlight w:val="none"/>
        </w:rPr>
        <w:t>（二）政府采购支出情况</w:t>
      </w:r>
      <w:bookmarkEnd w:id="47"/>
    </w:p>
    <w:p>
      <w:pPr>
        <w:spacing w:line="600" w:lineRule="exact"/>
        <w:ind w:firstLine="640" w:firstLineChars="200"/>
        <w:rPr>
          <w:rFonts w:ascii="仿宋_GB2312" w:eastAsia="仿宋_GB2312"/>
          <w:color w:val="auto"/>
          <w:sz w:val="32"/>
          <w:szCs w:val="32"/>
          <w:highlight w:val="none"/>
        </w:rPr>
      </w:pP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hint="eastAsia" w:ascii="仿宋_GB2312" w:eastAsia="仿宋_GB2312"/>
          <w:color w:val="auto"/>
          <w:sz w:val="32"/>
          <w:szCs w:val="32"/>
          <w:highlight w:val="none"/>
          <w:lang w:eastAsia="zh-CN"/>
        </w:rPr>
        <w:t>四川省天主教爱国会</w:t>
      </w:r>
      <w:r>
        <w:rPr>
          <w:rFonts w:hint="eastAsia" w:ascii="仿宋_GB2312" w:eastAsia="仿宋_GB2312"/>
          <w:color w:val="auto"/>
          <w:sz w:val="32"/>
          <w:szCs w:val="32"/>
          <w:highlight w:val="none"/>
        </w:rPr>
        <w:t>政府采购支出总额</w:t>
      </w:r>
      <w:r>
        <w:rPr>
          <w:rFonts w:hint="eastAsia" w:ascii="仿宋_GB2312" w:eastAsia="仿宋_GB2312"/>
          <w:color w:val="auto"/>
          <w:sz w:val="32"/>
          <w:szCs w:val="32"/>
          <w:highlight w:val="none"/>
          <w:lang w:val="en-US" w:eastAsia="zh-CN"/>
        </w:rPr>
        <w:t>2.63</w:t>
      </w:r>
      <w:r>
        <w:rPr>
          <w:rFonts w:hint="eastAsia" w:ascii="仿宋_GB2312" w:eastAsia="仿宋_GB2312"/>
          <w:color w:val="auto"/>
          <w:sz w:val="32"/>
          <w:szCs w:val="32"/>
          <w:highlight w:val="none"/>
        </w:rPr>
        <w:t>万元，其中：政府采购货物支出</w:t>
      </w:r>
      <w:r>
        <w:rPr>
          <w:rFonts w:hint="eastAsia" w:ascii="仿宋_GB2312" w:eastAsia="仿宋_GB2312"/>
          <w:color w:val="auto"/>
          <w:sz w:val="32"/>
          <w:szCs w:val="32"/>
          <w:highlight w:val="none"/>
          <w:lang w:val="en-US" w:eastAsia="zh-CN"/>
        </w:rPr>
        <w:t>1.47</w:t>
      </w:r>
      <w:r>
        <w:rPr>
          <w:rFonts w:hint="eastAsia" w:ascii="仿宋_GB2312" w:eastAsia="仿宋_GB2312"/>
          <w:color w:val="auto"/>
          <w:sz w:val="32"/>
          <w:szCs w:val="32"/>
          <w:highlight w:val="none"/>
        </w:rPr>
        <w:t>万元、政府采购工程支出</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万元、政府采购服务支出</w:t>
      </w:r>
      <w:r>
        <w:rPr>
          <w:rFonts w:hint="eastAsia" w:ascii="仿宋_GB2312" w:eastAsia="仿宋_GB2312"/>
          <w:color w:val="auto"/>
          <w:sz w:val="32"/>
          <w:szCs w:val="32"/>
          <w:highlight w:val="none"/>
          <w:lang w:val="en-US" w:eastAsia="zh-CN"/>
        </w:rPr>
        <w:t>1.16</w:t>
      </w:r>
      <w:r>
        <w:rPr>
          <w:rFonts w:hint="eastAsia" w:ascii="仿宋_GB2312" w:eastAsia="仿宋_GB2312"/>
          <w:color w:val="auto"/>
          <w:sz w:val="32"/>
          <w:szCs w:val="32"/>
          <w:highlight w:val="none"/>
        </w:rPr>
        <w:t>万元。主要用于</w:t>
      </w:r>
      <w:r>
        <w:rPr>
          <w:rFonts w:hint="eastAsia" w:ascii="仿宋_GB2312" w:eastAsia="仿宋_GB2312"/>
          <w:color w:val="auto"/>
          <w:sz w:val="32"/>
          <w:szCs w:val="32"/>
          <w:highlight w:val="none"/>
          <w:lang w:eastAsia="zh-CN"/>
        </w:rPr>
        <w:t>维持单位日常运转购置电脑、文件柜等办公设施及公务用车运行维护</w:t>
      </w:r>
      <w:r>
        <w:rPr>
          <w:rFonts w:hint="eastAsia" w:ascii="仿宋_GB2312" w:eastAsia="仿宋_GB2312"/>
          <w:color w:val="auto"/>
          <w:sz w:val="32"/>
          <w:szCs w:val="32"/>
          <w:highlight w:val="none"/>
        </w:rPr>
        <w:t>。授予中小企业合同金额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，其中：授予小微企业合同金额</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万元，占政府采购支出总额的</w:t>
      </w:r>
      <w:r>
        <w:rPr>
          <w:rFonts w:hint="eastAsia" w:ascii="仿宋_GB2312" w:eastAsia="仿宋_GB2312"/>
          <w:color w:val="auto"/>
          <w:sz w:val="32"/>
          <w:szCs w:val="32"/>
          <w:highlight w:val="none"/>
          <w:lang w:val="en-US" w:eastAsia="zh-CN"/>
        </w:rPr>
        <w:t>0</w:t>
      </w:r>
      <w:r>
        <w:rPr>
          <w:rFonts w:ascii="仿宋_GB2312" w:eastAsia="仿宋_GB2312"/>
          <w:color w:val="auto"/>
          <w:sz w:val="32"/>
          <w:szCs w:val="32"/>
          <w:highlight w:val="none"/>
        </w:rPr>
        <w:t>%</w:t>
      </w:r>
      <w:r>
        <w:rPr>
          <w:rFonts w:hint="eastAsia" w:ascii="仿宋_GB2312" w:eastAsia="仿宋_GB2312"/>
          <w:color w:val="auto"/>
          <w:sz w:val="32"/>
          <w:szCs w:val="32"/>
          <w:highlight w:val="none"/>
        </w:rPr>
        <w:t>。</w:t>
      </w:r>
    </w:p>
    <w:p>
      <w:pPr>
        <w:autoSpaceDE w:val="0"/>
        <w:autoSpaceDN w:val="0"/>
        <w:adjustRightInd w:val="0"/>
        <w:spacing w:line="600" w:lineRule="exact"/>
        <w:ind w:firstLine="643" w:firstLineChars="200"/>
        <w:jc w:val="left"/>
        <w:outlineLvl w:val="2"/>
        <w:rPr>
          <w:rFonts w:ascii="仿宋" w:hAnsi="仿宋" w:eastAsia="仿宋"/>
          <w:b/>
          <w:color w:val="auto"/>
          <w:sz w:val="32"/>
          <w:szCs w:val="32"/>
          <w:highlight w:val="none"/>
        </w:rPr>
      </w:pPr>
      <w:bookmarkStart w:id="48" w:name="_Toc15377224"/>
      <w:r>
        <w:rPr>
          <w:rFonts w:hint="eastAsia" w:ascii="仿宋" w:hAnsi="仿宋" w:eastAsia="仿宋"/>
          <w:b/>
          <w:color w:val="auto"/>
          <w:sz w:val="32"/>
          <w:szCs w:val="32"/>
          <w:highlight w:val="none"/>
        </w:rPr>
        <w:t>（三）国有资产占有使用情况</w:t>
      </w:r>
      <w:bookmarkEnd w:id="48"/>
    </w:p>
    <w:p>
      <w:pPr>
        <w:autoSpaceDE w:val="0"/>
        <w:autoSpaceDN w:val="0"/>
        <w:adjustRightInd w:val="0"/>
        <w:spacing w:line="600" w:lineRule="exact"/>
        <w:ind w:firstLine="640" w:firstLineChars="200"/>
        <w:jc w:val="left"/>
        <w:rPr>
          <w:rFonts w:ascii="仿宋" w:hAnsi="仿宋" w:eastAsia="仿宋"/>
          <w:b/>
          <w:color w:val="auto"/>
          <w:sz w:val="32"/>
          <w:szCs w:val="32"/>
          <w:highlight w:val="none"/>
        </w:rPr>
      </w:pPr>
      <w:r>
        <w:rPr>
          <w:rFonts w:hint="eastAsia" w:ascii="仿宋_GB2312" w:eastAsia="仿宋_GB2312"/>
          <w:color w:val="auto"/>
          <w:sz w:val="32"/>
          <w:szCs w:val="32"/>
          <w:highlight w:val="none"/>
        </w:rPr>
        <w:t>截至</w:t>
      </w:r>
      <w:r>
        <w:rPr>
          <w:rFonts w:ascii="仿宋_GB2312" w:eastAsia="仿宋_GB2312"/>
          <w:color w:val="auto"/>
          <w:sz w:val="32"/>
          <w:szCs w:val="32"/>
          <w:highlight w:val="none"/>
        </w:rPr>
        <w:t>20</w:t>
      </w:r>
      <w:r>
        <w:rPr>
          <w:rFonts w:hint="eastAsia" w:ascii="仿宋_GB2312" w:eastAsia="仿宋_GB2312"/>
          <w:color w:val="auto"/>
          <w:sz w:val="32"/>
          <w:szCs w:val="32"/>
          <w:highlight w:val="none"/>
          <w:lang w:val="en-US" w:eastAsia="zh-CN"/>
        </w:rPr>
        <w:t>21</w:t>
      </w:r>
      <w:r>
        <w:rPr>
          <w:rFonts w:hint="eastAsia" w:ascii="仿宋_GB2312" w:eastAsia="仿宋_GB2312"/>
          <w:color w:val="auto"/>
          <w:sz w:val="32"/>
          <w:szCs w:val="32"/>
          <w:highlight w:val="none"/>
        </w:rPr>
        <w:t>年</w:t>
      </w:r>
      <w:r>
        <w:rPr>
          <w:rFonts w:ascii="仿宋_GB2312" w:eastAsia="仿宋_GB2312"/>
          <w:color w:val="auto"/>
          <w:sz w:val="32"/>
          <w:szCs w:val="32"/>
          <w:highlight w:val="none"/>
        </w:rPr>
        <w:t>12</w:t>
      </w:r>
      <w:r>
        <w:rPr>
          <w:rFonts w:hint="eastAsia" w:ascii="仿宋_GB2312" w:eastAsia="仿宋_GB2312"/>
          <w:color w:val="auto"/>
          <w:sz w:val="32"/>
          <w:szCs w:val="32"/>
          <w:highlight w:val="none"/>
        </w:rPr>
        <w:t>月</w:t>
      </w:r>
      <w:r>
        <w:rPr>
          <w:rFonts w:ascii="仿宋_GB2312" w:eastAsia="仿宋_GB2312"/>
          <w:color w:val="auto"/>
          <w:sz w:val="32"/>
          <w:szCs w:val="32"/>
          <w:highlight w:val="none"/>
        </w:rPr>
        <w:t>31</w:t>
      </w:r>
      <w:r>
        <w:rPr>
          <w:rFonts w:hint="eastAsia" w:ascii="仿宋_GB2312" w:eastAsia="仿宋_GB2312"/>
          <w:color w:val="auto"/>
          <w:sz w:val="32"/>
          <w:szCs w:val="32"/>
          <w:highlight w:val="none"/>
        </w:rPr>
        <w:t>日，</w:t>
      </w:r>
      <w:r>
        <w:rPr>
          <w:rFonts w:hint="eastAsia" w:ascii="仿宋_GB2312" w:eastAsia="仿宋_GB2312"/>
          <w:color w:val="auto"/>
          <w:sz w:val="32"/>
          <w:szCs w:val="32"/>
          <w:highlight w:val="none"/>
          <w:lang w:eastAsia="zh-CN"/>
        </w:rPr>
        <w:t>四川省天主教爱国会</w:t>
      </w:r>
      <w:r>
        <w:rPr>
          <w:rFonts w:hint="eastAsia" w:ascii="仿宋_GB2312" w:eastAsia="仿宋_GB2312"/>
          <w:color w:val="auto"/>
          <w:sz w:val="32"/>
          <w:szCs w:val="32"/>
          <w:highlight w:val="none"/>
        </w:rPr>
        <w:t>共有车辆</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辆，其中：主要领导干部用车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辆、机要通信用车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辆、应急保障用车</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辆、其他用车</w:t>
      </w:r>
      <w:r>
        <w:rPr>
          <w:rFonts w:hint="eastAsia" w:ascii="仿宋_GB2312" w:eastAsia="仿宋_GB2312"/>
          <w:color w:val="auto"/>
          <w:sz w:val="32"/>
          <w:szCs w:val="32"/>
          <w:highlight w:val="none"/>
          <w:lang w:val="en-US" w:eastAsia="zh-CN"/>
        </w:rPr>
        <w:t>1</w:t>
      </w:r>
      <w:r>
        <w:rPr>
          <w:rFonts w:hint="eastAsia" w:ascii="仿宋_GB2312" w:eastAsia="仿宋_GB2312"/>
          <w:color w:val="auto"/>
          <w:sz w:val="32"/>
          <w:szCs w:val="32"/>
          <w:highlight w:val="none"/>
        </w:rPr>
        <w:t>辆</w:t>
      </w:r>
      <w:r>
        <w:rPr>
          <w:rFonts w:hint="eastAsia" w:ascii="仿宋_GB2312" w:eastAsia="仿宋_GB2312"/>
          <w:color w:val="auto"/>
          <w:sz w:val="32"/>
          <w:szCs w:val="32"/>
          <w:highlight w:val="none"/>
          <w:lang w:eastAsia="zh-CN"/>
        </w:rPr>
        <w:t>。</w:t>
      </w:r>
      <w:r>
        <w:rPr>
          <w:rFonts w:hint="eastAsia" w:ascii="仿宋_GB2312" w:eastAsia="仿宋_GB2312"/>
          <w:color w:val="auto"/>
          <w:sz w:val="32"/>
          <w:szCs w:val="32"/>
          <w:highlight w:val="none"/>
        </w:rPr>
        <w:t>其他用车主要是用于</w:t>
      </w:r>
      <w:r>
        <w:rPr>
          <w:rFonts w:hint="eastAsia" w:ascii="仿宋_GB2312" w:eastAsia="仿宋_GB2312"/>
          <w:color w:val="auto"/>
          <w:sz w:val="32"/>
          <w:szCs w:val="32"/>
          <w:highlight w:val="none"/>
          <w:lang w:eastAsia="zh-CN"/>
        </w:rPr>
        <w:t>保障单位日常工作正常运转所需公务出行。</w:t>
      </w:r>
      <w:r>
        <w:rPr>
          <w:rFonts w:hint="eastAsia" w:ascii="仿宋_GB2312" w:eastAsia="仿宋_GB2312"/>
          <w:color w:val="auto"/>
          <w:sz w:val="32"/>
          <w:szCs w:val="32"/>
          <w:highlight w:val="none"/>
        </w:rPr>
        <w:t>单价</w:t>
      </w:r>
      <w:r>
        <w:rPr>
          <w:rFonts w:ascii="仿宋_GB2312" w:eastAsia="仿宋_GB2312"/>
          <w:color w:val="auto"/>
          <w:sz w:val="32"/>
          <w:szCs w:val="32"/>
          <w:highlight w:val="none"/>
        </w:rPr>
        <w:t>50</w:t>
      </w:r>
      <w:r>
        <w:rPr>
          <w:rFonts w:hint="eastAsia" w:ascii="仿宋_GB2312" w:eastAsia="仿宋_GB2312"/>
          <w:color w:val="auto"/>
          <w:sz w:val="32"/>
          <w:szCs w:val="32"/>
          <w:highlight w:val="none"/>
        </w:rPr>
        <w:t>万元以上通用设备</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台（套），单价</w:t>
      </w:r>
      <w:r>
        <w:rPr>
          <w:rFonts w:ascii="仿宋_GB2312" w:eastAsia="仿宋_GB2312"/>
          <w:color w:val="auto"/>
          <w:sz w:val="32"/>
          <w:szCs w:val="32"/>
          <w:highlight w:val="none"/>
        </w:rPr>
        <w:t>100</w:t>
      </w:r>
      <w:r>
        <w:rPr>
          <w:rFonts w:hint="eastAsia" w:ascii="仿宋_GB2312" w:eastAsia="仿宋_GB2312"/>
          <w:color w:val="auto"/>
          <w:sz w:val="32"/>
          <w:szCs w:val="32"/>
          <w:highlight w:val="none"/>
        </w:rPr>
        <w:t>万元以上专用设备</w:t>
      </w:r>
      <w:r>
        <w:rPr>
          <w:rFonts w:hint="eastAsia" w:ascii="仿宋_GB2312" w:eastAsia="仿宋_GB2312"/>
          <w:color w:val="auto"/>
          <w:sz w:val="32"/>
          <w:szCs w:val="32"/>
          <w:highlight w:val="none"/>
          <w:lang w:val="en-US" w:eastAsia="zh-CN"/>
        </w:rPr>
        <w:t>0</w:t>
      </w:r>
      <w:r>
        <w:rPr>
          <w:rFonts w:hint="eastAsia" w:ascii="仿宋_GB2312" w:eastAsia="仿宋_GB2312"/>
          <w:color w:val="auto"/>
          <w:sz w:val="32"/>
          <w:szCs w:val="32"/>
          <w:highlight w:val="none"/>
        </w:rPr>
        <w:t>台（套）。</w:t>
      </w:r>
    </w:p>
    <w:p>
      <w:pPr>
        <w:autoSpaceDE w:val="0"/>
        <w:autoSpaceDN w:val="0"/>
        <w:adjustRightInd w:val="0"/>
        <w:spacing w:line="600" w:lineRule="exact"/>
        <w:ind w:firstLine="643" w:firstLineChars="200"/>
        <w:jc w:val="left"/>
        <w:outlineLvl w:val="2"/>
        <w:rPr>
          <w:rFonts w:hint="eastAsia" w:ascii="仿宋" w:hAnsi="仿宋" w:eastAsia="仿宋"/>
          <w:b/>
          <w:color w:val="auto"/>
          <w:sz w:val="32"/>
          <w:szCs w:val="32"/>
          <w:highlight w:val="none"/>
          <w:lang w:eastAsia="zh-CN"/>
        </w:rPr>
      </w:pPr>
      <w:r>
        <w:rPr>
          <w:rFonts w:hint="eastAsia" w:ascii="仿宋" w:hAnsi="仿宋" w:eastAsia="仿宋"/>
          <w:b/>
          <w:color w:val="auto"/>
          <w:sz w:val="32"/>
          <w:szCs w:val="32"/>
          <w:highlight w:val="none"/>
        </w:rPr>
        <w:t>（四）预算绩效管理情况</w:t>
      </w:r>
    </w:p>
    <w:p>
      <w:pPr>
        <w:spacing w:line="58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rPr>
        <w:t>根据预算绩效管理要求，本单位在</w:t>
      </w:r>
      <w:r>
        <w:rPr>
          <w:rFonts w:hint="eastAsia" w:ascii="仿宋_GB2312" w:hAnsi="仿宋_GB2312" w:eastAsia="仿宋_GB2312" w:cs="仿宋_GB2312"/>
          <w:color w:val="auto"/>
          <w:sz w:val="32"/>
          <w:szCs w:val="32"/>
          <w:highlight w:val="none"/>
          <w:lang w:val="en-US" w:eastAsia="zh-CN"/>
        </w:rPr>
        <w:t>2021年度</w:t>
      </w:r>
      <w:r>
        <w:rPr>
          <w:rFonts w:hint="eastAsia" w:ascii="仿宋_GB2312" w:hAnsi="仿宋_GB2312" w:eastAsia="仿宋_GB2312" w:cs="仿宋_GB2312"/>
          <w:color w:val="auto"/>
          <w:sz w:val="32"/>
          <w:szCs w:val="32"/>
          <w:highlight w:val="none"/>
        </w:rPr>
        <w:t>预算编制阶段，</w:t>
      </w:r>
      <w:r>
        <w:rPr>
          <w:rFonts w:hint="eastAsia" w:ascii="仿宋_GB2312" w:hAnsi="仿宋_GB2312" w:eastAsia="仿宋_GB2312" w:cs="仿宋_GB2312"/>
          <w:color w:val="auto"/>
          <w:sz w:val="32"/>
          <w:szCs w:val="32"/>
          <w:highlight w:val="none"/>
          <w:lang w:eastAsia="zh-CN"/>
        </w:rPr>
        <w:t>没有</w:t>
      </w:r>
      <w:r>
        <w:rPr>
          <w:rFonts w:hint="eastAsia" w:ascii="仿宋_GB2312" w:hAnsi="仿宋_GB2312" w:eastAsia="仿宋_GB2312" w:cs="仿宋_GB2312"/>
          <w:color w:val="auto"/>
          <w:sz w:val="32"/>
          <w:szCs w:val="32"/>
          <w:highlight w:val="none"/>
          <w:lang w:val="en-US" w:eastAsia="zh-CN"/>
        </w:rPr>
        <w:t>100万元以上项目，</w:t>
      </w:r>
      <w:r>
        <w:rPr>
          <w:rFonts w:hint="eastAsia" w:ascii="仿宋_GB2312" w:hAnsi="仿宋_GB2312" w:eastAsia="仿宋_GB2312" w:cs="仿宋_GB2312"/>
          <w:color w:val="auto"/>
          <w:sz w:val="32"/>
          <w:szCs w:val="32"/>
          <w:highlight w:val="none"/>
          <w:lang w:eastAsia="zh-CN"/>
        </w:rPr>
        <w:t>未对</w:t>
      </w:r>
      <w:r>
        <w:rPr>
          <w:rFonts w:hint="eastAsia" w:ascii="仿宋_GB2312" w:hAnsi="仿宋_GB2312" w:eastAsia="仿宋_GB2312" w:cs="仿宋_GB2312"/>
          <w:color w:val="auto"/>
          <w:sz w:val="32"/>
          <w:szCs w:val="32"/>
          <w:highlight w:val="none"/>
          <w:lang w:val="en-US" w:eastAsia="zh-CN"/>
        </w:rPr>
        <w:t>项目</w:t>
      </w:r>
      <w:r>
        <w:rPr>
          <w:rFonts w:hint="eastAsia" w:ascii="仿宋_GB2312" w:hAnsi="仿宋_GB2312" w:eastAsia="仿宋_GB2312" w:cs="仿宋_GB2312"/>
          <w:color w:val="auto"/>
          <w:sz w:val="32"/>
          <w:szCs w:val="32"/>
          <w:highlight w:val="none"/>
        </w:rPr>
        <w:t>开展</w:t>
      </w:r>
      <w:r>
        <w:rPr>
          <w:rFonts w:hint="eastAsia" w:ascii="仿宋_GB2312" w:hAnsi="仿宋_GB2312" w:eastAsia="仿宋_GB2312" w:cs="仿宋_GB2312"/>
          <w:color w:val="auto"/>
          <w:sz w:val="32"/>
          <w:szCs w:val="32"/>
          <w:highlight w:val="none"/>
          <w:lang w:eastAsia="zh-CN"/>
        </w:rPr>
        <w:t>预</w:t>
      </w:r>
      <w:r>
        <w:rPr>
          <w:rFonts w:hint="eastAsia" w:ascii="仿宋_GB2312" w:hAnsi="仿宋_GB2312" w:eastAsia="仿宋_GB2312" w:cs="仿宋_GB2312"/>
          <w:color w:val="auto"/>
          <w:sz w:val="32"/>
          <w:szCs w:val="32"/>
          <w:highlight w:val="none"/>
        </w:rPr>
        <w:t>算事前绩效评估，</w:t>
      </w:r>
      <w:r>
        <w:rPr>
          <w:rFonts w:hint="eastAsia" w:ascii="仿宋_GB2312" w:hAnsi="仿宋_GB2312" w:eastAsia="仿宋_GB2312" w:cs="仿宋_GB2312"/>
          <w:color w:val="auto"/>
          <w:sz w:val="32"/>
          <w:szCs w:val="32"/>
          <w:highlight w:val="none"/>
          <w:lang w:val="en-US" w:eastAsia="zh-CN"/>
        </w:rPr>
        <w:t>未</w:t>
      </w:r>
      <w:r>
        <w:rPr>
          <w:rFonts w:hint="eastAsia" w:ascii="仿宋_GB2312" w:hAnsi="仿宋_GB2312" w:eastAsia="仿宋_GB2312" w:cs="仿宋_GB2312"/>
          <w:color w:val="auto"/>
          <w:sz w:val="32"/>
          <w:szCs w:val="32"/>
          <w:highlight w:val="none"/>
        </w:rPr>
        <w:t>对项目编制绩效目标，</w:t>
      </w:r>
      <w:r>
        <w:rPr>
          <w:rFonts w:hint="eastAsia" w:ascii="仿宋_GB2312" w:hAnsi="仿宋_GB2312" w:eastAsia="仿宋_GB2312" w:cs="仿宋_GB2312"/>
          <w:color w:val="auto"/>
          <w:sz w:val="32"/>
          <w:szCs w:val="32"/>
          <w:highlight w:val="none"/>
          <w:lang w:eastAsia="zh-CN"/>
        </w:rPr>
        <w:t>未开展绩效监控，未开展</w:t>
      </w:r>
      <w:r>
        <w:rPr>
          <w:rFonts w:hint="eastAsia" w:ascii="仿宋_GB2312" w:hAnsi="仿宋_GB2312" w:eastAsia="仿宋_GB2312" w:cs="仿宋_GB2312"/>
          <w:color w:val="auto"/>
          <w:sz w:val="32"/>
          <w:szCs w:val="32"/>
          <w:highlight w:val="none"/>
        </w:rPr>
        <w:t>绩效自评。</w:t>
      </w:r>
    </w:p>
    <w:p>
      <w:pPr>
        <w:pStyle w:val="6"/>
        <w:rPr>
          <w:highlight w:val="yellow"/>
        </w:rPr>
      </w:pPr>
    </w:p>
    <w:p>
      <w:pPr>
        <w:widowControl/>
        <w:jc w:val="left"/>
        <w:rPr>
          <w:rFonts w:ascii="仿宋_GB2312" w:eastAsia="仿宋_GB2312"/>
          <w:b/>
          <w:color w:val="auto"/>
          <w:sz w:val="32"/>
          <w:szCs w:val="32"/>
          <w:highlight w:val="none"/>
        </w:rPr>
      </w:pPr>
      <w:r>
        <w:rPr>
          <w:rFonts w:ascii="仿宋_GB2312" w:eastAsia="仿宋_GB2312"/>
          <w:b/>
          <w:color w:val="auto"/>
          <w:sz w:val="32"/>
          <w:szCs w:val="32"/>
          <w:highlight w:val="none"/>
        </w:rPr>
        <w:br w:type="page"/>
      </w:r>
    </w:p>
    <w:p>
      <w:pPr>
        <w:numPr>
          <w:ilvl w:val="0"/>
          <w:numId w:val="3"/>
        </w:numPr>
        <w:spacing w:line="600" w:lineRule="exact"/>
        <w:ind w:firstLine="660" w:firstLineChars="150"/>
        <w:jc w:val="center"/>
        <w:outlineLvl w:val="0"/>
        <w:rPr>
          <w:rStyle w:val="26"/>
          <w:rFonts w:ascii="黑体" w:hAnsi="黑体" w:eastAsia="黑体"/>
          <w:b w:val="0"/>
          <w:color w:val="auto"/>
          <w:highlight w:val="none"/>
        </w:rPr>
      </w:pPr>
      <w:bookmarkStart w:id="49" w:name="_Toc15396613"/>
      <w:bookmarkStart w:id="50" w:name="_Toc15377225"/>
      <w:r>
        <w:rPr>
          <w:rFonts w:hint="eastAsia" w:ascii="黑体" w:hAnsi="黑体" w:eastAsia="黑体"/>
          <w:color w:val="auto"/>
          <w:sz w:val="44"/>
          <w:szCs w:val="44"/>
          <w:highlight w:val="none"/>
        </w:rPr>
        <w:t>名</w:t>
      </w:r>
      <w:r>
        <w:rPr>
          <w:rStyle w:val="26"/>
          <w:rFonts w:hint="eastAsia" w:ascii="黑体" w:hAnsi="黑体" w:eastAsia="黑体"/>
          <w:b w:val="0"/>
          <w:color w:val="auto"/>
          <w:highlight w:val="none"/>
        </w:rPr>
        <w:t>词解释</w:t>
      </w:r>
      <w:bookmarkEnd w:id="49"/>
      <w:bookmarkEnd w:id="50"/>
    </w:p>
    <w:p>
      <w:pPr>
        <w:spacing w:line="600" w:lineRule="exact"/>
        <w:jc w:val="left"/>
        <w:rPr>
          <w:rFonts w:ascii="宋体"/>
          <w:b/>
          <w:color w:val="auto"/>
          <w:sz w:val="44"/>
          <w:szCs w:val="44"/>
          <w:highlight w:val="none"/>
        </w:rPr>
      </w:pPr>
    </w:p>
    <w:p>
      <w:pPr>
        <w:pStyle w:val="24"/>
        <w:spacing w:line="560" w:lineRule="exact"/>
        <w:ind w:firstLine="640" w:firstLineChars="200"/>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1.财政拨款收入：指单位从同级财政部门取得的财政预算资金。</w:t>
      </w:r>
    </w:p>
    <w:p>
      <w:pPr>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2.一般公共服务</w:t>
      </w:r>
      <w:r>
        <w:rPr>
          <w:rFonts w:hint="default" w:ascii="Times New Roman" w:hAnsi="Times New Roman" w:eastAsia="仿宋_GB2312" w:cs="Times New Roman"/>
          <w:color w:val="auto"/>
          <w:sz w:val="32"/>
          <w:szCs w:val="32"/>
          <w:lang w:eastAsia="zh-CN"/>
        </w:rPr>
        <w:t>支出</w:t>
      </w:r>
      <w:r>
        <w:rPr>
          <w:rFonts w:hint="default" w:ascii="Times New Roman" w:hAnsi="Times New Roman" w:eastAsia="仿宋_GB2312" w:cs="Times New Roman"/>
          <w:color w:val="auto"/>
          <w:sz w:val="32"/>
          <w:szCs w:val="32"/>
        </w:rPr>
        <w:t>（类）</w:t>
      </w:r>
      <w:r>
        <w:rPr>
          <w:rFonts w:hint="default" w:ascii="Times New Roman" w:hAnsi="Times New Roman" w:eastAsia="仿宋_GB2312" w:cs="Times New Roman"/>
          <w:color w:val="auto"/>
          <w:sz w:val="32"/>
          <w:szCs w:val="32"/>
          <w:lang w:eastAsia="zh-CN"/>
        </w:rPr>
        <w:t>统战</w:t>
      </w:r>
      <w:r>
        <w:rPr>
          <w:rFonts w:hint="default" w:ascii="Times New Roman" w:hAnsi="Times New Roman" w:eastAsia="仿宋_GB2312" w:cs="Times New Roman"/>
          <w:color w:val="auto"/>
          <w:sz w:val="32"/>
          <w:szCs w:val="32"/>
        </w:rPr>
        <w:t>事务（款）宗教</w:t>
      </w:r>
      <w:r>
        <w:rPr>
          <w:rFonts w:hint="default" w:ascii="Times New Roman" w:hAnsi="Times New Roman" w:eastAsia="仿宋_GB2312" w:cs="Times New Roman"/>
          <w:color w:val="auto"/>
          <w:sz w:val="32"/>
          <w:szCs w:val="32"/>
          <w:lang w:eastAsia="zh-CN"/>
        </w:rPr>
        <w:t>事务</w:t>
      </w:r>
      <w:r>
        <w:rPr>
          <w:rFonts w:hint="default" w:ascii="Times New Roman" w:hAnsi="Times New Roman" w:eastAsia="仿宋_GB2312" w:cs="Times New Roman"/>
          <w:color w:val="auto"/>
          <w:sz w:val="32"/>
          <w:szCs w:val="32"/>
        </w:rPr>
        <w:t>（项）</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反映用于</w:t>
      </w:r>
      <w:r>
        <w:rPr>
          <w:rFonts w:hint="default" w:ascii="Times New Roman" w:hAnsi="Times New Roman" w:eastAsia="仿宋_GB2312" w:cs="Times New Roman"/>
          <w:color w:val="auto"/>
          <w:sz w:val="32"/>
          <w:szCs w:val="32"/>
          <w:lang w:eastAsia="zh-CN"/>
        </w:rPr>
        <w:t>宗教</w:t>
      </w:r>
      <w:r>
        <w:rPr>
          <w:rFonts w:hint="default" w:ascii="Times New Roman" w:hAnsi="Times New Roman" w:eastAsia="仿宋_GB2312" w:cs="Times New Roman"/>
          <w:color w:val="auto"/>
          <w:sz w:val="32"/>
          <w:szCs w:val="32"/>
        </w:rPr>
        <w:t>事务管理方面的专项支出。</w:t>
      </w:r>
    </w:p>
    <w:p>
      <w:pPr>
        <w:ind w:firstLine="640" w:firstLineChars="20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rPr>
        <w:t>一般公共服务</w:t>
      </w:r>
      <w:r>
        <w:rPr>
          <w:rFonts w:hint="default" w:ascii="Times New Roman" w:hAnsi="Times New Roman" w:eastAsia="仿宋_GB2312" w:cs="Times New Roman"/>
          <w:color w:val="auto"/>
          <w:sz w:val="32"/>
          <w:szCs w:val="32"/>
          <w:lang w:eastAsia="zh-CN"/>
        </w:rPr>
        <w:t>支出</w:t>
      </w:r>
      <w:r>
        <w:rPr>
          <w:rFonts w:hint="default" w:ascii="Times New Roman" w:hAnsi="Times New Roman" w:eastAsia="仿宋_GB2312" w:cs="Times New Roman"/>
          <w:color w:val="auto"/>
          <w:sz w:val="32"/>
          <w:szCs w:val="32"/>
        </w:rPr>
        <w:t>（类）</w:t>
      </w:r>
      <w:r>
        <w:rPr>
          <w:rFonts w:hint="default" w:ascii="Times New Roman" w:hAnsi="Times New Roman" w:eastAsia="仿宋_GB2312" w:cs="Times New Roman"/>
          <w:color w:val="auto"/>
          <w:sz w:val="32"/>
          <w:szCs w:val="32"/>
          <w:lang w:eastAsia="zh-CN"/>
        </w:rPr>
        <w:t>统战</w:t>
      </w:r>
      <w:r>
        <w:rPr>
          <w:rFonts w:hint="default" w:ascii="Times New Roman" w:hAnsi="Times New Roman" w:eastAsia="仿宋_GB2312" w:cs="Times New Roman"/>
          <w:color w:val="auto"/>
          <w:sz w:val="32"/>
          <w:szCs w:val="32"/>
        </w:rPr>
        <w:t>事务（款）事业运行（项）</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反映</w:t>
      </w:r>
      <w:r>
        <w:rPr>
          <w:rFonts w:hint="eastAsia" w:eastAsia="仿宋_GB2312" w:cs="Times New Roman"/>
          <w:color w:val="auto"/>
          <w:sz w:val="32"/>
          <w:szCs w:val="32"/>
          <w:lang w:eastAsia="zh-CN"/>
        </w:rPr>
        <w:t>事业</w:t>
      </w:r>
      <w:r>
        <w:rPr>
          <w:rFonts w:hint="default" w:ascii="Times New Roman" w:hAnsi="Times New Roman" w:eastAsia="仿宋_GB2312" w:cs="Times New Roman"/>
          <w:color w:val="auto"/>
          <w:sz w:val="32"/>
          <w:szCs w:val="32"/>
        </w:rPr>
        <w:t>单位</w:t>
      </w:r>
      <w:r>
        <w:rPr>
          <w:rFonts w:hint="eastAsia" w:eastAsia="仿宋_GB2312" w:cs="Times New Roman"/>
          <w:color w:val="auto"/>
          <w:sz w:val="32"/>
          <w:szCs w:val="32"/>
          <w:lang w:eastAsia="zh-CN"/>
        </w:rPr>
        <w:t>基本支出</w:t>
      </w:r>
      <w:r>
        <w:rPr>
          <w:rFonts w:hint="default" w:ascii="Times New Roman" w:hAnsi="Times New Roman" w:eastAsia="仿宋_GB2312" w:cs="Times New Roman"/>
          <w:color w:val="auto"/>
          <w:sz w:val="32"/>
          <w:szCs w:val="32"/>
        </w:rPr>
        <w:t>。</w:t>
      </w:r>
    </w:p>
    <w:p>
      <w:pPr>
        <w:ind w:firstLine="640" w:firstLineChars="200"/>
        <w:rPr>
          <w:rFonts w:hint="default" w:ascii="Times New Roman" w:hAnsi="Times New Roman" w:eastAsia="仿宋_GB2312" w:cs="Times New Roman"/>
          <w:b w:val="0"/>
          <w:bCs w:val="0"/>
          <w:color w:val="auto"/>
          <w:sz w:val="32"/>
          <w:szCs w:val="32"/>
        </w:rPr>
      </w:pPr>
      <w:r>
        <w:rPr>
          <w:rFonts w:hint="eastAsia" w:eastAsia="仿宋_GB2312" w:cs="Times New Roman"/>
          <w:color w:val="auto"/>
          <w:sz w:val="32"/>
          <w:szCs w:val="32"/>
          <w:lang w:val="en-US" w:eastAsia="zh-CN"/>
        </w:rPr>
        <w:t>4</w:t>
      </w:r>
      <w:r>
        <w:rPr>
          <w:rFonts w:hint="default"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rPr>
        <w:t>社会保障和就业支出（类）</w:t>
      </w:r>
      <w:r>
        <w:rPr>
          <w:rStyle w:val="16"/>
          <w:rFonts w:hint="default" w:ascii="Times New Roman" w:hAnsi="Times New Roman" w:eastAsia="仿宋_GB2312" w:cs="Times New Roman"/>
          <w:b w:val="0"/>
          <w:bCs w:val="0"/>
          <w:color w:val="auto"/>
          <w:sz w:val="32"/>
          <w:szCs w:val="32"/>
          <w:lang w:eastAsia="zh-CN"/>
        </w:rPr>
        <w:t>行政事业单位</w:t>
      </w:r>
      <w:r>
        <w:rPr>
          <w:rStyle w:val="16"/>
          <w:rFonts w:hint="default" w:ascii="Times New Roman" w:hAnsi="Times New Roman" w:eastAsia="仿宋_GB2312" w:cs="Times New Roman"/>
          <w:b w:val="0"/>
          <w:bCs w:val="0"/>
          <w:color w:val="auto"/>
          <w:sz w:val="32"/>
          <w:szCs w:val="32"/>
          <w:lang w:val="en-US" w:eastAsia="zh-CN"/>
        </w:rPr>
        <w:t>养老支出</w:t>
      </w:r>
      <w:r>
        <w:rPr>
          <w:rFonts w:hint="default" w:ascii="Times New Roman" w:hAnsi="Times New Roman" w:eastAsia="仿宋_GB2312" w:cs="Times New Roman"/>
          <w:b w:val="0"/>
          <w:bCs w:val="0"/>
          <w:color w:val="auto"/>
          <w:sz w:val="32"/>
          <w:szCs w:val="32"/>
        </w:rPr>
        <w:t>（款）机关事业单位基本养老保险缴费支出（项）</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反映机关事业单位实施养老保险制度由单位缴纳的基本养老保险费支出。</w:t>
      </w:r>
    </w:p>
    <w:p>
      <w:pPr>
        <w:ind w:firstLine="640" w:firstLineChars="200"/>
        <w:rPr>
          <w:rFonts w:hint="default" w:ascii="Times New Roman" w:hAnsi="Times New Roman" w:eastAsia="仿宋_GB2312" w:cs="Times New Roman"/>
          <w:b w:val="0"/>
          <w:bCs w:val="0"/>
          <w:color w:val="auto"/>
          <w:sz w:val="32"/>
          <w:szCs w:val="32"/>
        </w:rPr>
      </w:pPr>
      <w:r>
        <w:rPr>
          <w:rFonts w:hint="eastAsia" w:eastAsia="仿宋_GB2312" w:cs="Times New Roman"/>
          <w:b w:val="0"/>
          <w:bCs w:val="0"/>
          <w:color w:val="auto"/>
          <w:sz w:val="32"/>
          <w:szCs w:val="32"/>
          <w:lang w:val="en-US" w:eastAsia="zh-CN"/>
        </w:rPr>
        <w:t>5.</w:t>
      </w:r>
      <w:r>
        <w:rPr>
          <w:rFonts w:hint="default" w:ascii="Times New Roman" w:hAnsi="Times New Roman" w:eastAsia="仿宋_GB2312" w:cs="Times New Roman"/>
          <w:b w:val="0"/>
          <w:bCs w:val="0"/>
          <w:color w:val="auto"/>
          <w:sz w:val="32"/>
          <w:szCs w:val="32"/>
        </w:rPr>
        <w:t>社会保障和就业支出（类）</w:t>
      </w:r>
      <w:r>
        <w:rPr>
          <w:rStyle w:val="16"/>
          <w:rFonts w:hint="default" w:ascii="Times New Roman" w:hAnsi="Times New Roman" w:eastAsia="仿宋_GB2312" w:cs="Times New Roman"/>
          <w:b w:val="0"/>
          <w:bCs w:val="0"/>
          <w:color w:val="auto"/>
          <w:sz w:val="32"/>
          <w:szCs w:val="32"/>
          <w:lang w:eastAsia="zh-CN"/>
        </w:rPr>
        <w:t>行政事业单位</w:t>
      </w:r>
      <w:r>
        <w:rPr>
          <w:rStyle w:val="16"/>
          <w:rFonts w:hint="default" w:ascii="Times New Roman" w:hAnsi="Times New Roman" w:eastAsia="仿宋_GB2312" w:cs="Times New Roman"/>
          <w:b w:val="0"/>
          <w:bCs w:val="0"/>
          <w:color w:val="auto"/>
          <w:sz w:val="32"/>
          <w:szCs w:val="32"/>
          <w:lang w:val="en-US" w:eastAsia="zh-CN"/>
        </w:rPr>
        <w:t>养老支出</w:t>
      </w:r>
      <w:r>
        <w:rPr>
          <w:rFonts w:hint="default" w:ascii="Times New Roman" w:hAnsi="Times New Roman" w:eastAsia="仿宋_GB2312" w:cs="Times New Roman"/>
          <w:b w:val="0"/>
          <w:bCs w:val="0"/>
          <w:color w:val="auto"/>
          <w:sz w:val="32"/>
          <w:szCs w:val="32"/>
        </w:rPr>
        <w:t>（款）事业单位离退休（项）</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反映实行归口管理的事业单位开支的离退休经费。</w:t>
      </w:r>
    </w:p>
    <w:p>
      <w:pPr>
        <w:ind w:firstLine="640" w:firstLineChars="200"/>
        <w:rPr>
          <w:rFonts w:hint="default" w:ascii="Times New Roman" w:hAnsi="Times New Roman" w:eastAsia="仿宋_GB2312" w:cs="Times New Roman"/>
          <w:b w:val="0"/>
          <w:bCs w:val="0"/>
          <w:color w:val="auto"/>
          <w:sz w:val="32"/>
          <w:szCs w:val="32"/>
          <w:lang w:eastAsia="zh-CN"/>
        </w:rPr>
      </w:pPr>
      <w:r>
        <w:rPr>
          <w:rFonts w:hint="eastAsia" w:eastAsia="仿宋_GB2312" w:cs="Times New Roman"/>
          <w:b w:val="0"/>
          <w:bCs w:val="0"/>
          <w:color w:val="auto"/>
          <w:sz w:val="32"/>
          <w:szCs w:val="32"/>
          <w:lang w:val="en-US" w:eastAsia="zh-CN"/>
        </w:rPr>
        <w:t>6</w:t>
      </w:r>
      <w:r>
        <w:rPr>
          <w:rFonts w:hint="default" w:ascii="Times New Roman" w:hAnsi="Times New Roman" w:eastAsia="仿宋_GB2312" w:cs="Times New Roman"/>
          <w:b w:val="0"/>
          <w:bCs w:val="0"/>
          <w:color w:val="auto"/>
          <w:sz w:val="32"/>
          <w:szCs w:val="32"/>
          <w:lang w:val="en-US" w:eastAsia="zh-CN"/>
        </w:rPr>
        <w:t>.</w:t>
      </w:r>
      <w:r>
        <w:rPr>
          <w:rFonts w:hint="default" w:ascii="Times New Roman" w:hAnsi="Times New Roman" w:eastAsia="仿宋_GB2312" w:cs="Times New Roman"/>
          <w:b w:val="0"/>
          <w:bCs w:val="0"/>
          <w:color w:val="auto"/>
          <w:sz w:val="32"/>
          <w:szCs w:val="32"/>
        </w:rPr>
        <w:t>社会保障和就业支出（类）</w:t>
      </w:r>
      <w:r>
        <w:rPr>
          <w:rStyle w:val="16"/>
          <w:rFonts w:hint="default" w:ascii="Times New Roman" w:hAnsi="Times New Roman" w:eastAsia="仿宋_GB2312" w:cs="Times New Roman"/>
          <w:b w:val="0"/>
          <w:bCs w:val="0"/>
          <w:color w:val="auto"/>
          <w:sz w:val="32"/>
          <w:szCs w:val="32"/>
          <w:lang w:eastAsia="zh-CN"/>
        </w:rPr>
        <w:t>行政事业单位</w:t>
      </w:r>
      <w:r>
        <w:rPr>
          <w:rStyle w:val="16"/>
          <w:rFonts w:hint="default" w:ascii="Times New Roman" w:hAnsi="Times New Roman" w:eastAsia="仿宋_GB2312" w:cs="Times New Roman"/>
          <w:b w:val="0"/>
          <w:bCs w:val="0"/>
          <w:color w:val="auto"/>
          <w:sz w:val="32"/>
          <w:szCs w:val="32"/>
          <w:lang w:val="en-US" w:eastAsia="zh-CN"/>
        </w:rPr>
        <w:t>养老支出</w:t>
      </w:r>
      <w:r>
        <w:rPr>
          <w:rFonts w:hint="default" w:ascii="Times New Roman" w:hAnsi="Times New Roman" w:eastAsia="仿宋_GB2312" w:cs="Times New Roman"/>
          <w:b w:val="0"/>
          <w:bCs w:val="0"/>
          <w:color w:val="auto"/>
          <w:sz w:val="32"/>
          <w:szCs w:val="32"/>
        </w:rPr>
        <w:t>（款）机关事业单位职业年金缴费支出（项）</w:t>
      </w:r>
      <w:r>
        <w:rPr>
          <w:rFonts w:hint="default" w:ascii="Times New Roman" w:hAnsi="Times New Roman" w:eastAsia="仿宋_GB2312" w:cs="Times New Roman"/>
          <w:b w:val="0"/>
          <w:bCs w:val="0"/>
          <w:color w:val="auto"/>
          <w:sz w:val="32"/>
          <w:szCs w:val="32"/>
          <w:lang w:eastAsia="zh-CN"/>
        </w:rPr>
        <w:t>：</w:t>
      </w:r>
      <w:r>
        <w:rPr>
          <w:rFonts w:hint="default" w:ascii="Times New Roman" w:hAnsi="Times New Roman" w:eastAsia="仿宋_GB2312" w:cs="Times New Roman"/>
          <w:b w:val="0"/>
          <w:bCs w:val="0"/>
          <w:color w:val="auto"/>
          <w:sz w:val="32"/>
          <w:szCs w:val="32"/>
        </w:rPr>
        <w:t>反映机关事业单位实施养老保险制度由单位</w:t>
      </w:r>
      <w:r>
        <w:rPr>
          <w:rFonts w:hint="default" w:ascii="Times New Roman" w:hAnsi="Times New Roman" w:eastAsia="仿宋_GB2312" w:cs="Times New Roman"/>
          <w:b w:val="0"/>
          <w:bCs w:val="0"/>
          <w:color w:val="auto"/>
          <w:sz w:val="32"/>
          <w:szCs w:val="32"/>
          <w:lang w:eastAsia="zh-CN"/>
        </w:rPr>
        <w:t>实际</w:t>
      </w:r>
      <w:r>
        <w:rPr>
          <w:rFonts w:hint="default" w:ascii="Times New Roman" w:hAnsi="Times New Roman" w:eastAsia="仿宋_GB2312" w:cs="Times New Roman"/>
          <w:b w:val="0"/>
          <w:bCs w:val="0"/>
          <w:color w:val="auto"/>
          <w:sz w:val="32"/>
          <w:szCs w:val="32"/>
        </w:rPr>
        <w:t>缴纳的职业年金支出。</w:t>
      </w:r>
    </w:p>
    <w:p>
      <w:pPr>
        <w:ind w:firstLine="640" w:firstLineChars="200"/>
        <w:rPr>
          <w:rFonts w:hint="eastAsia" w:eastAsia="仿宋_GB2312" w:cs="Times New Roman"/>
          <w:color w:val="auto"/>
          <w:sz w:val="32"/>
          <w:szCs w:val="32"/>
          <w:lang w:val="en-US" w:eastAsia="zh-CN"/>
        </w:rPr>
      </w:pPr>
      <w:r>
        <w:rPr>
          <w:rFonts w:hint="eastAsia" w:eastAsia="仿宋_GB2312" w:cs="Times New Roman"/>
          <w:color w:val="auto"/>
          <w:sz w:val="32"/>
          <w:szCs w:val="32"/>
          <w:lang w:val="en-US" w:eastAsia="zh-CN"/>
        </w:rPr>
        <w:t>7.</w:t>
      </w:r>
      <w:r>
        <w:rPr>
          <w:rFonts w:hint="default" w:ascii="Times New Roman" w:hAnsi="Times New Roman" w:eastAsia="仿宋_GB2312" w:cs="Times New Roman"/>
          <w:color w:val="auto"/>
          <w:sz w:val="32"/>
          <w:szCs w:val="32"/>
        </w:rPr>
        <w:t>社会保障和就业支出（类）其他社会保障和就业支出（款）其他社会保障和就业支出（项）</w:t>
      </w:r>
      <w:r>
        <w:rPr>
          <w:rFonts w:hint="default" w:ascii="Times New Roman" w:hAnsi="Times New Roman" w:eastAsia="仿宋_GB2312" w:cs="Times New Roman"/>
          <w:color w:val="auto"/>
          <w:sz w:val="32"/>
          <w:szCs w:val="32"/>
          <w:lang w:eastAsia="zh-CN"/>
        </w:rPr>
        <w:t>：反映其他用于</w:t>
      </w:r>
      <w:r>
        <w:rPr>
          <w:rFonts w:hint="default" w:ascii="Times New Roman" w:hAnsi="Times New Roman" w:eastAsia="仿宋_GB2312" w:cs="Times New Roman"/>
          <w:color w:val="auto"/>
          <w:sz w:val="32"/>
          <w:szCs w:val="32"/>
        </w:rPr>
        <w:t>社会保障和就业</w:t>
      </w:r>
      <w:r>
        <w:rPr>
          <w:rFonts w:hint="default" w:ascii="Times New Roman" w:hAnsi="Times New Roman" w:eastAsia="仿宋_GB2312" w:cs="Times New Roman"/>
          <w:color w:val="auto"/>
          <w:sz w:val="32"/>
          <w:szCs w:val="32"/>
          <w:lang w:eastAsia="zh-CN"/>
        </w:rPr>
        <w:t>方面的支出。</w:t>
      </w:r>
    </w:p>
    <w:p>
      <w:pPr>
        <w:ind w:firstLine="640" w:firstLineChars="200"/>
        <w:rPr>
          <w:rFonts w:hint="default" w:ascii="Times New Roman" w:hAnsi="Times New Roman" w:eastAsia="仿宋_GB2312" w:cs="Times New Roman"/>
          <w:color w:val="auto"/>
          <w:sz w:val="32"/>
          <w:szCs w:val="32"/>
        </w:rPr>
      </w:pPr>
      <w:r>
        <w:rPr>
          <w:rFonts w:hint="eastAsia" w:eastAsia="仿宋_GB2312" w:cs="Times New Roman"/>
          <w:color w:val="auto"/>
          <w:sz w:val="32"/>
          <w:szCs w:val="32"/>
          <w:lang w:val="en-US" w:eastAsia="zh-CN"/>
        </w:rPr>
        <w:t>8</w:t>
      </w:r>
      <w:r>
        <w:rPr>
          <w:rFonts w:hint="default" w:ascii="Times New Roman" w:hAnsi="Times New Roman" w:eastAsia="仿宋_GB2312" w:cs="Times New Roman"/>
          <w:color w:val="auto"/>
          <w:sz w:val="32"/>
          <w:szCs w:val="32"/>
          <w:lang w:val="en-US" w:eastAsia="zh-CN"/>
        </w:rPr>
        <w:t>.卫生健康</w:t>
      </w:r>
      <w:r>
        <w:rPr>
          <w:rFonts w:hint="default" w:ascii="Times New Roman" w:hAnsi="Times New Roman" w:eastAsia="仿宋_GB2312" w:cs="Times New Roman"/>
          <w:color w:val="auto"/>
          <w:sz w:val="32"/>
          <w:szCs w:val="32"/>
        </w:rPr>
        <w:t>支出（类）行政事业单位医疗（款）事业单位医疗（项）</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反映财政部门集中安排的事业单位基本医疗保险缴费经费，未参加医疗保险的事业单位的公费医疗经费，按国家规定享受离休人员待遇的医疗经费。</w:t>
      </w:r>
    </w:p>
    <w:p>
      <w:pPr>
        <w:spacing w:line="580" w:lineRule="exact"/>
        <w:ind w:firstLine="640" w:firstLineChars="200"/>
        <w:rPr>
          <w:rFonts w:hint="default" w:ascii="Times New Roman" w:hAnsi="Times New Roman" w:eastAsia="仿宋_GB2312" w:cs="Times New Roman"/>
          <w:color w:val="auto"/>
          <w:sz w:val="32"/>
          <w:szCs w:val="32"/>
          <w:lang w:eastAsia="zh-CN"/>
        </w:rPr>
      </w:pPr>
      <w:r>
        <w:rPr>
          <w:rFonts w:hint="eastAsia" w:eastAsia="仿宋_GB2312" w:cs="Times New Roman"/>
          <w:color w:val="auto"/>
          <w:sz w:val="32"/>
          <w:szCs w:val="32"/>
          <w:lang w:val="en-US" w:eastAsia="zh-CN"/>
        </w:rPr>
        <w:t>9</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住房保障支出（类）住房改革支出（款）住房公积金（项）</w:t>
      </w:r>
      <w:r>
        <w:rPr>
          <w:rFonts w:hint="default" w:ascii="Times New Roman" w:hAnsi="Times New Roman" w:eastAsia="仿宋_GB2312" w:cs="Times New Roman"/>
          <w:color w:val="auto"/>
          <w:sz w:val="32"/>
          <w:szCs w:val="32"/>
          <w:lang w:eastAsia="zh-CN"/>
        </w:rPr>
        <w:t>：反映行政事业单位按人力资源和社会保障部、财政部规定的基本工资和津贴补贴以及规定比例为职工缴纳的住房公积金。</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10</w:t>
      </w:r>
      <w:r>
        <w:rPr>
          <w:rFonts w:ascii="仿宋_GB2312" w:eastAsia="仿宋_GB2312"/>
          <w:color w:val="auto"/>
          <w:sz w:val="32"/>
          <w:szCs w:val="32"/>
          <w:highlight w:val="none"/>
        </w:rPr>
        <w:t>.</w:t>
      </w:r>
      <w:r>
        <w:rPr>
          <w:rFonts w:hint="eastAsia" w:ascii="仿宋_GB2312" w:eastAsia="仿宋_GB2312"/>
          <w:color w:val="auto"/>
          <w:sz w:val="32"/>
          <w:szCs w:val="32"/>
          <w:highlight w:val="none"/>
        </w:rPr>
        <w:t>基本支出：指为保障机构正常运转、完成日常工作任务而发生的人员支出和公用支出。</w:t>
      </w:r>
    </w:p>
    <w:p>
      <w:pPr>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11</w:t>
      </w:r>
      <w:r>
        <w:rPr>
          <w:rFonts w:ascii="仿宋_GB2312" w:eastAsia="仿宋_GB2312"/>
          <w:color w:val="auto"/>
          <w:sz w:val="32"/>
          <w:szCs w:val="32"/>
          <w:highlight w:val="none"/>
        </w:rPr>
        <w:t>.</w:t>
      </w:r>
      <w:r>
        <w:rPr>
          <w:rFonts w:hint="eastAsia" w:ascii="仿宋_GB2312" w:eastAsia="仿宋_GB2312"/>
          <w:color w:val="auto"/>
          <w:sz w:val="32"/>
          <w:szCs w:val="32"/>
          <w:highlight w:val="none"/>
        </w:rPr>
        <w:t>项目支出：指在基本支出之外为完成特定行政任务和事业发展目标所发生的支出。</w:t>
      </w:r>
      <w:r>
        <w:rPr>
          <w:rFonts w:ascii="仿宋_GB2312" w:eastAsia="仿宋_GB2312"/>
          <w:color w:val="auto"/>
          <w:sz w:val="32"/>
          <w:szCs w:val="32"/>
          <w:highlight w:val="none"/>
        </w:rPr>
        <w:t xml:space="preserve"> </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12</w:t>
      </w:r>
      <w:r>
        <w:rPr>
          <w:rFonts w:ascii="仿宋_GB2312" w:eastAsia="仿宋_GB2312"/>
          <w:color w:val="auto"/>
          <w:sz w:val="32"/>
          <w:szCs w:val="32"/>
          <w:highlight w:val="none"/>
        </w:rPr>
        <w:t>.</w:t>
      </w:r>
      <w:r>
        <w:rPr>
          <w:rFonts w:hint="eastAsia" w:ascii="仿宋_GB2312" w:eastAsia="仿宋_GB2312"/>
          <w:color w:val="auto"/>
          <w:sz w:val="32"/>
          <w:szCs w:val="32"/>
          <w:highlight w:val="none"/>
        </w:rPr>
        <w:t>“三公”经费：指</w:t>
      </w:r>
      <w:r>
        <w:rPr>
          <w:rFonts w:hint="eastAsia" w:ascii="仿宋_GB2312" w:eastAsia="仿宋_GB2312"/>
          <w:color w:val="auto"/>
          <w:sz w:val="32"/>
          <w:szCs w:val="32"/>
          <w:highlight w:val="none"/>
          <w:lang w:eastAsia="zh-CN"/>
        </w:rPr>
        <w:t>单位</w:t>
      </w:r>
      <w:r>
        <w:rPr>
          <w:rFonts w:hint="eastAsia" w:ascii="仿宋_GB2312" w:eastAsia="仿宋_GB2312"/>
          <w:color w:val="auto"/>
          <w:sz w:val="32"/>
          <w:szCs w:val="32"/>
          <w:highlight w:val="none"/>
        </w:rPr>
        <w:t>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Style w:val="24"/>
        <w:spacing w:line="560" w:lineRule="exact"/>
        <w:ind w:firstLine="640" w:firstLineChars="200"/>
        <w:rPr>
          <w:rFonts w:ascii="仿宋_GB2312" w:eastAsia="仿宋_GB2312"/>
          <w:color w:val="auto"/>
          <w:sz w:val="32"/>
          <w:szCs w:val="32"/>
          <w:highlight w:val="none"/>
        </w:rPr>
      </w:pPr>
      <w:r>
        <w:rPr>
          <w:rFonts w:hint="eastAsia" w:ascii="仿宋_GB2312" w:eastAsia="仿宋_GB2312"/>
          <w:color w:val="auto"/>
          <w:sz w:val="32"/>
          <w:szCs w:val="32"/>
          <w:highlight w:val="none"/>
          <w:lang w:val="en-US" w:eastAsia="zh-CN"/>
        </w:rPr>
        <w:t>13</w:t>
      </w:r>
      <w:r>
        <w:rPr>
          <w:rFonts w:ascii="仿宋_GB2312" w:eastAsia="仿宋_GB2312"/>
          <w:color w:val="auto"/>
          <w:sz w:val="32"/>
          <w:szCs w:val="32"/>
          <w:highlight w:val="none"/>
        </w:rPr>
        <w:t>.</w:t>
      </w:r>
      <w:r>
        <w:rPr>
          <w:rFonts w:hint="eastAsia" w:ascii="仿宋_GB2312" w:eastAsia="仿宋_GB2312"/>
          <w:color w:val="auto"/>
          <w:sz w:val="32"/>
          <w:szCs w:val="32"/>
          <w:highlight w:val="none"/>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26"/>
          <w:rFonts w:ascii="黑体" w:hAnsi="黑体" w:eastAsia="黑体"/>
          <w:b w:val="0"/>
          <w:color w:val="auto"/>
          <w:highlight w:val="none"/>
        </w:rPr>
      </w:pPr>
      <w:bookmarkStart w:id="51" w:name="_Toc15377226"/>
      <w:r>
        <w:rPr>
          <w:rFonts w:ascii="宋体"/>
          <w:b/>
          <w:color w:val="auto"/>
          <w:sz w:val="44"/>
          <w:szCs w:val="44"/>
          <w:highlight w:val="none"/>
        </w:rPr>
        <w:br w:type="page"/>
      </w:r>
      <w:bookmarkStart w:id="52" w:name="_Toc15396614"/>
      <w:r>
        <w:rPr>
          <w:rFonts w:hint="eastAsia" w:ascii="黑体" w:hAnsi="黑体" w:eastAsia="黑体"/>
          <w:color w:val="auto"/>
          <w:sz w:val="44"/>
          <w:szCs w:val="44"/>
          <w:highlight w:val="none"/>
        </w:rPr>
        <w:t>第</w:t>
      </w:r>
      <w:r>
        <w:rPr>
          <w:rStyle w:val="26"/>
          <w:rFonts w:hint="eastAsia" w:ascii="黑体" w:hAnsi="黑体" w:eastAsia="黑体"/>
          <w:b w:val="0"/>
          <w:color w:val="auto"/>
          <w:highlight w:val="none"/>
        </w:rPr>
        <w:t>四部分 附件</w:t>
      </w:r>
      <w:bookmarkEnd w:id="52"/>
    </w:p>
    <w:tbl>
      <w:tblPr>
        <w:tblStyle w:val="14"/>
        <w:tblpPr w:leftFromText="180" w:rightFromText="180" w:vertAnchor="text" w:horzAnchor="page" w:tblpX="1281" w:tblpY="660"/>
        <w:tblOverlap w:val="never"/>
        <w:tblW w:w="981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977"/>
        <w:gridCol w:w="1142"/>
        <w:gridCol w:w="1635"/>
        <w:gridCol w:w="1189"/>
        <w:gridCol w:w="1224"/>
        <w:gridCol w:w="2410"/>
        <w:gridCol w:w="23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9577" w:type="dxa"/>
            <w:gridSpan w:val="6"/>
            <w:tcBorders>
              <w:top w:val="nil"/>
              <w:left w:val="nil"/>
              <w:bottom w:val="nil"/>
              <w:right w:val="nil"/>
            </w:tcBorders>
            <w:shd w:val="clear" w:color="auto" w:fill="auto"/>
            <w:vAlign w:val="center"/>
          </w:tcPr>
          <w:p>
            <w:pPr>
              <w:keepNext w:val="0"/>
              <w:keepLines w:val="0"/>
              <w:widowControl/>
              <w:suppressLineNumbers w:val="0"/>
              <w:spacing w:beforeAutospacing="0"/>
              <w:jc w:val="both"/>
              <w:textAlignment w:val="center"/>
              <w:rPr>
                <w:rFonts w:hint="eastAsia" w:ascii="宋体" w:hAnsi="宋体" w:eastAsia="宋体" w:cs="宋体"/>
                <w:b/>
                <w:i w:val="0"/>
                <w:color w:val="auto"/>
                <w:sz w:val="32"/>
                <w:szCs w:val="32"/>
                <w:u w:val="none"/>
              </w:rPr>
            </w:pPr>
            <w:bookmarkStart w:id="53" w:name="_Toc15396618"/>
            <w:r>
              <w:rPr>
                <w:rFonts w:hint="eastAsia" w:ascii="宋体" w:hAnsi="宋体" w:eastAsia="宋体" w:cs="宋体"/>
                <w:b/>
                <w:i w:val="0"/>
                <w:color w:val="auto"/>
                <w:sz w:val="32"/>
                <w:szCs w:val="32"/>
                <w:u w:val="none"/>
                <w:lang w:val="en-US" w:eastAsia="zh-CN"/>
              </w:rPr>
              <w:t>2021年100万元以上（含）特定目标类部门预算项目绩效目标自评</w:t>
            </w:r>
          </w:p>
        </w:tc>
        <w:tc>
          <w:tcPr>
            <w:tcW w:w="234" w:type="dxa"/>
            <w:tcBorders>
              <w:top w:val="nil"/>
              <w:left w:val="nil"/>
              <w:bottom w:val="nil"/>
              <w:right w:val="nil"/>
            </w:tcBorders>
            <w:shd w:val="clear" w:color="auto" w:fill="auto"/>
            <w:vAlign w:val="center"/>
          </w:tcPr>
          <w:p>
            <w:pPr>
              <w:keepNext w:val="0"/>
              <w:keepLines w:val="0"/>
              <w:widowControl/>
              <w:suppressLineNumbers w:val="0"/>
              <w:jc w:val="center"/>
              <w:textAlignment w:val="center"/>
              <w:rPr>
                <w:rFonts w:hint="eastAsia" w:ascii="宋体" w:hAnsi="宋体" w:eastAsia="宋体" w:cs="宋体"/>
                <w:b/>
                <w:i w:val="0"/>
                <w:color w:val="auto"/>
                <w:kern w:val="0"/>
                <w:sz w:val="32"/>
                <w:szCs w:val="32"/>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34" w:type="dxa"/>
          <w:trHeight w:val="254" w:hRule="atLeast"/>
        </w:trPr>
        <w:tc>
          <w:tcPr>
            <w:tcW w:w="31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主管部门及代码</w:t>
            </w:r>
          </w:p>
        </w:tc>
        <w:tc>
          <w:tcPr>
            <w:tcW w:w="28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i w:val="0"/>
                <w:color w:val="auto"/>
                <w:sz w:val="24"/>
                <w:szCs w:val="24"/>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实施单位</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234" w:type="dxa"/>
          <w:trHeight w:val="341" w:hRule="atLeast"/>
        </w:trPr>
        <w:tc>
          <w:tcPr>
            <w:tcW w:w="31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项目预算</w:t>
            </w:r>
            <w:r>
              <w:rPr>
                <w:rFonts w:hint="eastAsia" w:ascii="宋体" w:hAnsi="宋体" w:eastAsia="宋体" w:cs="宋体"/>
                <w:i w:val="0"/>
                <w:color w:val="auto"/>
                <w:kern w:val="0"/>
                <w:sz w:val="24"/>
                <w:szCs w:val="24"/>
                <w:u w:val="none"/>
                <w:lang w:val="en-US" w:eastAsia="zh-CN" w:bidi="ar"/>
              </w:rPr>
              <w:br w:type="textWrapping"/>
            </w:r>
            <w:r>
              <w:rPr>
                <w:rFonts w:hint="eastAsia" w:ascii="宋体" w:hAnsi="宋体" w:eastAsia="宋体" w:cs="宋体"/>
                <w:i w:val="0"/>
                <w:color w:val="auto"/>
                <w:kern w:val="0"/>
                <w:sz w:val="24"/>
                <w:szCs w:val="24"/>
                <w:u w:val="none"/>
                <w:lang w:val="en-US" w:eastAsia="zh-CN" w:bidi="ar"/>
              </w:rPr>
              <w:t>执行情况</w:t>
            </w:r>
            <w:r>
              <w:rPr>
                <w:rFonts w:hint="eastAsia" w:ascii="宋体" w:hAnsi="宋体" w:eastAsia="宋体" w:cs="宋体"/>
                <w:i w:val="0"/>
                <w:color w:val="auto"/>
                <w:kern w:val="0"/>
                <w:sz w:val="24"/>
                <w:szCs w:val="24"/>
                <w:u w:val="none"/>
                <w:lang w:val="en-US" w:eastAsia="zh-CN" w:bidi="ar"/>
              </w:rPr>
              <w:br w:type="textWrapping"/>
            </w:r>
            <w:r>
              <w:rPr>
                <w:rFonts w:hint="eastAsia" w:ascii="宋体" w:hAnsi="宋体" w:eastAsia="宋体" w:cs="宋体"/>
                <w:i w:val="0"/>
                <w:color w:val="auto"/>
                <w:kern w:val="0"/>
                <w:sz w:val="24"/>
                <w:szCs w:val="24"/>
                <w:u w:val="none"/>
                <w:lang w:val="en-US" w:eastAsia="zh-CN" w:bidi="ar"/>
              </w:rPr>
              <w:t>（万元）</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 xml:space="preserve"> 预算数：</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 xml:space="preserve"> 执行数：</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right"/>
              <w:textAlignment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555"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财政拨款</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其中：</w:t>
            </w:r>
          </w:p>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财政拨款</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both"/>
              <w:textAlignment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341" w:hRule="atLeast"/>
        </w:trPr>
        <w:tc>
          <w:tcPr>
            <w:tcW w:w="31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其他资金</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其他资金</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217" w:hRule="atLeast"/>
        </w:trPr>
        <w:tc>
          <w:tcPr>
            <w:tcW w:w="197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kern w:val="0"/>
                <w:sz w:val="24"/>
                <w:szCs w:val="24"/>
                <w:u w:val="none"/>
                <w:lang w:val="en-US" w:eastAsia="zh-CN" w:bidi="ar"/>
              </w:rPr>
            </w:pPr>
            <w:r>
              <w:rPr>
                <w:rFonts w:hint="eastAsia" w:ascii="宋体" w:hAnsi="宋体" w:eastAsia="宋体" w:cs="宋体"/>
                <w:i w:val="0"/>
                <w:color w:val="auto"/>
                <w:kern w:val="0"/>
                <w:sz w:val="24"/>
                <w:szCs w:val="24"/>
                <w:u w:val="none"/>
                <w:lang w:val="en-US" w:eastAsia="zh-CN" w:bidi="ar"/>
              </w:rPr>
              <w:t>年度总体目标</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完成情况</w:t>
            </w: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预期目标</w:t>
            </w:r>
          </w:p>
        </w:tc>
        <w:tc>
          <w:tcPr>
            <w:tcW w:w="363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宋体" w:hAnsi="宋体" w:eastAsia="宋体" w:cs="宋体"/>
                <w:i w:val="0"/>
                <w:color w:val="auto"/>
                <w:sz w:val="24"/>
                <w:szCs w:val="24"/>
                <w:u w:val="none"/>
              </w:rPr>
            </w:pPr>
            <w:r>
              <w:rPr>
                <w:rFonts w:hint="eastAsia" w:ascii="宋体" w:hAnsi="宋体" w:eastAsia="宋体" w:cs="宋体"/>
                <w:i w:val="0"/>
                <w:color w:val="auto"/>
                <w:kern w:val="0"/>
                <w:sz w:val="24"/>
                <w:szCs w:val="24"/>
                <w:u w:val="none"/>
                <w:lang w:val="en-US" w:eastAsia="zh-CN" w:bidi="ar"/>
              </w:rPr>
              <w:t>目标实际完成情况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797" w:hRule="atLeast"/>
        </w:trPr>
        <w:tc>
          <w:tcPr>
            <w:tcW w:w="197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宋体" w:hAnsi="宋体" w:eastAsia="宋体" w:cs="宋体"/>
                <w:i w:val="0"/>
                <w:color w:val="auto"/>
                <w:sz w:val="24"/>
                <w:szCs w:val="24"/>
                <w:u w:val="none"/>
              </w:rPr>
            </w:pPr>
          </w:p>
        </w:tc>
        <w:tc>
          <w:tcPr>
            <w:tcW w:w="3966" w:type="dxa"/>
            <w:gridSpan w:val="3"/>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sz w:val="24"/>
                <w:szCs w:val="24"/>
                <w:u w:val="none"/>
              </w:rPr>
            </w:pPr>
          </w:p>
        </w:tc>
        <w:tc>
          <w:tcPr>
            <w:tcW w:w="3634" w:type="dxa"/>
            <w:gridSpan w:val="2"/>
            <w:tcBorders>
              <w:top w:val="single" w:color="000000" w:sz="4" w:space="0"/>
              <w:left w:val="single" w:color="000000" w:sz="4" w:space="0"/>
              <w:bottom w:val="single" w:color="000000" w:sz="4" w:space="0"/>
              <w:right w:val="single" w:color="000000" w:sz="4" w:space="0"/>
            </w:tcBorders>
            <w:shd w:val="clear" w:color="auto" w:fill="auto"/>
            <w:vAlign w:val="top"/>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top"/>
              <w:rPr>
                <w:rFonts w:hint="eastAsia" w:ascii="宋体" w:hAnsi="宋体" w:eastAsia="宋体" w:cs="宋体"/>
                <w:i w:val="0"/>
                <w:color w:val="auto"/>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693" w:hRule="atLeast"/>
        </w:trPr>
        <w:tc>
          <w:tcPr>
            <w:tcW w:w="1977"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年度绩效指标完成情况</w:t>
            </w:r>
          </w:p>
        </w:tc>
        <w:tc>
          <w:tcPr>
            <w:tcW w:w="1142" w:type="dxa"/>
            <w:tcBorders>
              <w:top w:val="single" w:color="000000" w:sz="4" w:space="0"/>
              <w:left w:val="nil"/>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一级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二级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三级</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预期指标值</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center"/>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实际完成指标值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完成</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数量指标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质量指标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15"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时效指标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成本指标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效益</w:t>
            </w:r>
            <w:r>
              <w:rPr>
                <w:rFonts w:hint="eastAsia" w:ascii="仿宋_GB2312" w:hAnsi="仿宋_GB2312" w:eastAsia="仿宋_GB2312" w:cs="仿宋_GB2312"/>
                <w:i w:val="0"/>
                <w:color w:val="auto"/>
                <w:kern w:val="0"/>
                <w:sz w:val="28"/>
                <w:szCs w:val="28"/>
                <w:u w:val="none"/>
                <w:lang w:val="en-US" w:eastAsia="zh-CN" w:bidi="ar"/>
              </w:rPr>
              <w:br w:type="textWrapping"/>
            </w:r>
            <w:r>
              <w:rPr>
                <w:rFonts w:hint="eastAsia" w:ascii="仿宋_GB2312" w:hAnsi="仿宋_GB2312" w:eastAsia="仿宋_GB2312" w:cs="仿宋_GB2312"/>
                <w:i w:val="0"/>
                <w:color w:val="auto"/>
                <w:kern w:val="0"/>
                <w:sz w:val="28"/>
                <w:szCs w:val="28"/>
                <w:u w:val="none"/>
                <w:lang w:val="en-US" w:eastAsia="zh-CN" w:bidi="ar"/>
              </w:rPr>
              <w:t>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经济效益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社会效益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577"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ind w:left="463" w:leftChars="87" w:hanging="280" w:hangingChars="100"/>
              <w:jc w:val="left"/>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生态效益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480" w:hRule="atLeast"/>
        </w:trPr>
        <w:tc>
          <w:tcPr>
            <w:tcW w:w="1977" w:type="dxa"/>
            <w:vMerge w:val="continue"/>
            <w:tcBorders>
              <w:left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可持续影响 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234" w:type="dxa"/>
          <w:trHeight w:val="530" w:hRule="atLeast"/>
        </w:trPr>
        <w:tc>
          <w:tcPr>
            <w:tcW w:w="1977"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仿宋_GB2312" w:hAnsi="仿宋_GB2312" w:eastAsia="仿宋_GB2312" w:cs="仿宋_GB2312"/>
                <w:i w:val="0"/>
                <w:color w:val="auto"/>
                <w:sz w:val="28"/>
                <w:szCs w:val="28"/>
                <w:u w:val="none"/>
              </w:rPr>
            </w:pPr>
          </w:p>
        </w:tc>
        <w:tc>
          <w:tcPr>
            <w:tcW w:w="1142"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满意</w:t>
            </w:r>
            <w:r>
              <w:rPr>
                <w:rFonts w:hint="eastAsia" w:ascii="仿宋_GB2312" w:hAnsi="仿宋_GB2312" w:eastAsia="仿宋_GB2312" w:cs="仿宋_GB2312"/>
                <w:i w:val="0"/>
                <w:color w:val="auto"/>
                <w:kern w:val="0"/>
                <w:sz w:val="28"/>
                <w:szCs w:val="28"/>
                <w:u w:val="none"/>
                <w:lang w:val="en-US" w:eastAsia="zh-CN" w:bidi="ar"/>
              </w:rPr>
              <w:br w:type="textWrapping"/>
            </w:r>
            <w:r>
              <w:rPr>
                <w:rFonts w:hint="eastAsia" w:ascii="仿宋_GB2312" w:hAnsi="仿宋_GB2312" w:eastAsia="仿宋_GB2312" w:cs="仿宋_GB2312"/>
                <w:i w:val="0"/>
                <w:color w:val="auto"/>
                <w:kern w:val="0"/>
                <w:sz w:val="28"/>
                <w:szCs w:val="28"/>
                <w:u w:val="none"/>
                <w:lang w:val="en-US" w:eastAsia="zh-CN" w:bidi="ar"/>
              </w:rPr>
              <w:t>度指标</w:t>
            </w:r>
          </w:p>
        </w:tc>
        <w:tc>
          <w:tcPr>
            <w:tcW w:w="1635"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kern w:val="0"/>
                <w:sz w:val="28"/>
                <w:szCs w:val="28"/>
                <w:u w:val="none"/>
                <w:lang w:val="en-US" w:eastAsia="zh-CN" w:bidi="ar"/>
              </w:rPr>
            </w:pPr>
            <w:r>
              <w:rPr>
                <w:rFonts w:hint="eastAsia" w:ascii="仿宋_GB2312" w:hAnsi="仿宋_GB2312" w:eastAsia="仿宋_GB2312" w:cs="仿宋_GB2312"/>
                <w:i w:val="0"/>
                <w:color w:val="auto"/>
                <w:kern w:val="0"/>
                <w:sz w:val="28"/>
                <w:szCs w:val="28"/>
                <w:u w:val="none"/>
                <w:lang w:val="en-US" w:eastAsia="zh-CN" w:bidi="ar"/>
              </w:rPr>
              <w:t>满意度</w:t>
            </w:r>
          </w:p>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r>
              <w:rPr>
                <w:rFonts w:hint="eastAsia" w:ascii="仿宋_GB2312" w:hAnsi="仿宋_GB2312" w:eastAsia="仿宋_GB2312" w:cs="仿宋_GB2312"/>
                <w:i w:val="0"/>
                <w:color w:val="auto"/>
                <w:kern w:val="0"/>
                <w:sz w:val="28"/>
                <w:szCs w:val="28"/>
                <w:u w:val="none"/>
                <w:lang w:val="en-US" w:eastAsia="zh-CN" w:bidi="ar"/>
              </w:rPr>
              <w:t>指标</w:t>
            </w:r>
          </w:p>
        </w:tc>
        <w:tc>
          <w:tcPr>
            <w:tcW w:w="1189"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1224"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bottom"/>
          </w:tcPr>
          <w:p>
            <w:pPr>
              <w:keepNext w:val="0"/>
              <w:keepLines w:val="0"/>
              <w:pageBreakBefore w:val="0"/>
              <w:widowControl/>
              <w:suppressLineNumbers w:val="0"/>
              <w:kinsoku/>
              <w:wordWrap/>
              <w:overflowPunct/>
              <w:topLinePunct w:val="0"/>
              <w:autoSpaceDE/>
              <w:autoSpaceDN/>
              <w:bidi w:val="0"/>
              <w:adjustRightInd/>
              <w:snapToGrid/>
              <w:spacing w:line="320" w:lineRule="exact"/>
              <w:jc w:val="center"/>
              <w:textAlignment w:val="bottom"/>
              <w:rPr>
                <w:rFonts w:hint="eastAsia" w:ascii="仿宋_GB2312" w:hAnsi="仿宋_GB2312" w:eastAsia="仿宋_GB2312" w:cs="仿宋_GB2312"/>
                <w:i w:val="0"/>
                <w:color w:val="auto"/>
                <w:sz w:val="28"/>
                <w:szCs w:val="28"/>
                <w:u w:val="none"/>
              </w:rPr>
            </w:pPr>
          </w:p>
        </w:tc>
      </w:tr>
    </w:tbl>
    <w:p>
      <w:pPr>
        <w:spacing w:line="600" w:lineRule="exact"/>
        <w:jc w:val="center"/>
        <w:outlineLvl w:val="0"/>
        <w:rPr>
          <w:rFonts w:hint="eastAsia" w:ascii="黑体" w:hAnsi="黑体" w:eastAsia="黑体"/>
          <w:color w:val="auto"/>
          <w:sz w:val="44"/>
          <w:szCs w:val="44"/>
          <w:highlight w:val="none"/>
        </w:rPr>
      </w:pPr>
    </w:p>
    <w:p>
      <w:pPr>
        <w:widowControl/>
        <w:adjustRightInd w:val="0"/>
        <w:snapToGrid w:val="0"/>
        <w:spacing w:line="580" w:lineRule="exact"/>
        <w:contextualSpacing/>
        <w:jc w:val="left"/>
      </w:pPr>
      <w:r>
        <w:rPr>
          <w:rFonts w:hint="eastAsia" w:ascii="仿宋_GB2312" w:hAnsi="宋体" w:eastAsia="仿宋_GB2312" w:cs="宋体"/>
          <w:color w:val="000000"/>
          <w:kern w:val="0"/>
          <w:sz w:val="32"/>
          <w:szCs w:val="32"/>
          <w:shd w:val="clear" w:color="auto" w:fill="FFFFFF"/>
          <w:lang w:val="en-US" w:eastAsia="zh-CN"/>
        </w:rPr>
        <w:t>注：此表无数据</w:t>
      </w:r>
    </w:p>
    <w:p>
      <w:pPr>
        <w:spacing w:line="600" w:lineRule="exact"/>
        <w:jc w:val="center"/>
        <w:outlineLvl w:val="0"/>
        <w:rPr>
          <w:rFonts w:hint="eastAsia" w:ascii="黑体" w:hAnsi="黑体" w:eastAsia="黑体"/>
          <w:color w:val="auto"/>
          <w:sz w:val="44"/>
          <w:szCs w:val="44"/>
          <w:highlight w:val="none"/>
        </w:rPr>
      </w:pPr>
    </w:p>
    <w:p>
      <w:pPr>
        <w:rPr>
          <w:rFonts w:hint="eastAsia" w:ascii="黑体" w:hAnsi="黑体" w:eastAsia="黑体"/>
          <w:color w:val="auto"/>
          <w:sz w:val="44"/>
          <w:szCs w:val="44"/>
          <w:highlight w:val="none"/>
        </w:rPr>
      </w:pPr>
      <w:r>
        <w:rPr>
          <w:rFonts w:hint="eastAsia" w:ascii="黑体" w:hAnsi="黑体" w:eastAsia="黑体"/>
          <w:color w:val="auto"/>
          <w:sz w:val="44"/>
          <w:szCs w:val="44"/>
          <w:highlight w:val="none"/>
        </w:rPr>
        <w:br w:type="page"/>
      </w:r>
    </w:p>
    <w:p>
      <w:pPr>
        <w:pStyle w:val="12"/>
        <w:rPr>
          <w:rFonts w:hint="eastAsia"/>
        </w:rPr>
      </w:pPr>
    </w:p>
    <w:p>
      <w:pPr>
        <w:spacing w:line="600" w:lineRule="exact"/>
        <w:jc w:val="center"/>
        <w:outlineLvl w:val="0"/>
        <w:rPr>
          <w:rFonts w:hint="eastAsia" w:ascii="仿宋" w:hAnsi="仿宋" w:eastAsia="仿宋"/>
          <w:b w:val="0"/>
          <w:color w:val="auto"/>
          <w:highlight w:val="none"/>
        </w:rPr>
      </w:pPr>
      <w:r>
        <w:rPr>
          <w:rFonts w:hint="eastAsia" w:ascii="黑体" w:hAnsi="黑体" w:eastAsia="黑体"/>
          <w:color w:val="auto"/>
          <w:sz w:val="44"/>
          <w:szCs w:val="44"/>
          <w:highlight w:val="none"/>
        </w:rPr>
        <w:t>第</w:t>
      </w:r>
      <w:r>
        <w:rPr>
          <w:rStyle w:val="26"/>
          <w:rFonts w:hint="eastAsia" w:ascii="黑体" w:hAnsi="黑体" w:eastAsia="黑体"/>
          <w:b w:val="0"/>
          <w:color w:val="auto"/>
          <w:highlight w:val="none"/>
        </w:rPr>
        <w:t>五部分 附表</w:t>
      </w:r>
      <w:bookmarkEnd w:id="51"/>
      <w:bookmarkEnd w:id="53"/>
      <w:bookmarkStart w:id="54" w:name="_Toc15396619"/>
    </w:p>
    <w:p>
      <w:pPr>
        <w:pStyle w:val="4"/>
        <w:rPr>
          <w:rFonts w:ascii="仿宋" w:hAnsi="仿宋" w:eastAsia="仿宋"/>
          <w:color w:val="auto"/>
          <w:highlight w:val="none"/>
        </w:rPr>
      </w:pPr>
      <w:r>
        <w:rPr>
          <w:rFonts w:hint="eastAsia" w:ascii="仿宋" w:hAnsi="仿宋" w:eastAsia="仿宋"/>
          <w:b w:val="0"/>
          <w:color w:val="auto"/>
          <w:highlight w:val="none"/>
        </w:rPr>
        <w:t>一、收</w:t>
      </w:r>
      <w:r>
        <w:rPr>
          <w:rStyle w:val="27"/>
          <w:rFonts w:hint="eastAsia" w:ascii="仿宋" w:hAnsi="仿宋" w:eastAsia="仿宋"/>
          <w:b w:val="0"/>
          <w:bCs w:val="0"/>
          <w:color w:val="auto"/>
          <w:highlight w:val="none"/>
        </w:rPr>
        <w:t>入支出决算总表</w:t>
      </w:r>
      <w:bookmarkEnd w:id="54"/>
    </w:p>
    <w:p>
      <w:pPr>
        <w:pStyle w:val="4"/>
        <w:rPr>
          <w:rFonts w:ascii="仿宋" w:hAnsi="仿宋" w:eastAsia="仿宋"/>
          <w:color w:val="auto"/>
          <w:highlight w:val="none"/>
        </w:rPr>
      </w:pPr>
      <w:bookmarkStart w:id="55" w:name="_Toc15396620"/>
      <w:r>
        <w:rPr>
          <w:rFonts w:hint="eastAsia" w:ascii="仿宋" w:hAnsi="仿宋" w:eastAsia="仿宋"/>
          <w:b w:val="0"/>
          <w:color w:val="auto"/>
          <w:highlight w:val="none"/>
        </w:rPr>
        <w:t>二、收</w:t>
      </w:r>
      <w:r>
        <w:rPr>
          <w:rStyle w:val="27"/>
          <w:rFonts w:hint="eastAsia" w:ascii="仿宋" w:hAnsi="仿宋" w:eastAsia="仿宋"/>
          <w:b w:val="0"/>
          <w:bCs w:val="0"/>
          <w:color w:val="auto"/>
          <w:highlight w:val="none"/>
        </w:rPr>
        <w:t>入决算表</w:t>
      </w:r>
      <w:bookmarkEnd w:id="55"/>
    </w:p>
    <w:p>
      <w:pPr>
        <w:pStyle w:val="4"/>
        <w:rPr>
          <w:rFonts w:ascii="仿宋" w:hAnsi="仿宋" w:eastAsia="仿宋"/>
          <w:color w:val="auto"/>
          <w:highlight w:val="none"/>
        </w:rPr>
      </w:pPr>
      <w:bookmarkStart w:id="56" w:name="_Toc15396621"/>
      <w:r>
        <w:rPr>
          <w:rStyle w:val="27"/>
          <w:rFonts w:hint="eastAsia" w:ascii="仿宋" w:hAnsi="仿宋" w:eastAsia="仿宋"/>
          <w:b w:val="0"/>
          <w:bCs w:val="0"/>
          <w:color w:val="auto"/>
          <w:highlight w:val="none"/>
        </w:rPr>
        <w:t>三、</w:t>
      </w:r>
      <w:r>
        <w:rPr>
          <w:rFonts w:hint="eastAsia" w:ascii="仿宋" w:hAnsi="仿宋" w:eastAsia="仿宋"/>
          <w:b w:val="0"/>
          <w:color w:val="auto"/>
          <w:highlight w:val="none"/>
        </w:rPr>
        <w:t>支</w:t>
      </w:r>
      <w:r>
        <w:rPr>
          <w:rStyle w:val="27"/>
          <w:rFonts w:hint="eastAsia" w:ascii="仿宋" w:hAnsi="仿宋" w:eastAsia="仿宋"/>
          <w:b w:val="0"/>
          <w:bCs w:val="0"/>
          <w:color w:val="auto"/>
          <w:highlight w:val="none"/>
        </w:rPr>
        <w:t>出决算表</w:t>
      </w:r>
      <w:bookmarkEnd w:id="56"/>
    </w:p>
    <w:p>
      <w:pPr>
        <w:pStyle w:val="4"/>
        <w:rPr>
          <w:rFonts w:ascii="仿宋" w:hAnsi="仿宋" w:eastAsia="仿宋"/>
          <w:b w:val="0"/>
          <w:color w:val="auto"/>
          <w:highlight w:val="none"/>
        </w:rPr>
      </w:pPr>
      <w:bookmarkStart w:id="57" w:name="_Toc15396622"/>
      <w:r>
        <w:rPr>
          <w:rStyle w:val="27"/>
          <w:rFonts w:hint="eastAsia" w:ascii="仿宋" w:hAnsi="仿宋" w:eastAsia="仿宋"/>
          <w:b w:val="0"/>
          <w:bCs w:val="0"/>
          <w:color w:val="auto"/>
          <w:highlight w:val="none"/>
        </w:rPr>
        <w:t>四、</w:t>
      </w:r>
      <w:r>
        <w:rPr>
          <w:rFonts w:hint="eastAsia" w:ascii="仿宋" w:hAnsi="仿宋" w:eastAsia="仿宋"/>
          <w:b w:val="0"/>
          <w:color w:val="auto"/>
          <w:highlight w:val="none"/>
        </w:rPr>
        <w:t>财</w:t>
      </w:r>
      <w:r>
        <w:rPr>
          <w:rStyle w:val="27"/>
          <w:rFonts w:hint="eastAsia" w:ascii="仿宋" w:hAnsi="仿宋" w:eastAsia="仿宋"/>
          <w:b w:val="0"/>
          <w:bCs w:val="0"/>
          <w:color w:val="auto"/>
          <w:highlight w:val="none"/>
        </w:rPr>
        <w:t>政拨款收入支出决算总表</w:t>
      </w:r>
      <w:bookmarkEnd w:id="57"/>
    </w:p>
    <w:p>
      <w:pPr>
        <w:pStyle w:val="4"/>
        <w:rPr>
          <w:rStyle w:val="27"/>
          <w:rFonts w:ascii="仿宋" w:hAnsi="仿宋" w:eastAsia="仿宋"/>
          <w:b w:val="0"/>
          <w:bCs w:val="0"/>
          <w:color w:val="auto"/>
          <w:highlight w:val="none"/>
        </w:rPr>
      </w:pPr>
      <w:bookmarkStart w:id="58" w:name="_Toc15396623"/>
      <w:r>
        <w:rPr>
          <w:rStyle w:val="27"/>
          <w:rFonts w:hint="eastAsia" w:ascii="仿宋" w:hAnsi="仿宋" w:eastAsia="仿宋"/>
          <w:b w:val="0"/>
          <w:bCs w:val="0"/>
          <w:color w:val="auto"/>
          <w:highlight w:val="none"/>
        </w:rPr>
        <w:t>五、</w:t>
      </w:r>
      <w:r>
        <w:rPr>
          <w:rFonts w:hint="eastAsia" w:ascii="仿宋" w:hAnsi="仿宋" w:eastAsia="仿宋"/>
          <w:b w:val="0"/>
          <w:color w:val="auto"/>
          <w:highlight w:val="none"/>
        </w:rPr>
        <w:t>财</w:t>
      </w:r>
      <w:r>
        <w:rPr>
          <w:rStyle w:val="27"/>
          <w:rFonts w:hint="eastAsia" w:ascii="仿宋" w:hAnsi="仿宋" w:eastAsia="仿宋"/>
          <w:b w:val="0"/>
          <w:bCs w:val="0"/>
          <w:color w:val="auto"/>
          <w:highlight w:val="none"/>
        </w:rPr>
        <w:t>政拨款支出决算明细表</w:t>
      </w:r>
      <w:bookmarkEnd w:id="58"/>
      <w:bookmarkStart w:id="59" w:name="_Toc15396624"/>
    </w:p>
    <w:p>
      <w:pPr>
        <w:pStyle w:val="4"/>
        <w:rPr>
          <w:rFonts w:ascii="仿宋" w:hAnsi="仿宋" w:eastAsia="仿宋"/>
          <w:color w:val="auto"/>
          <w:highlight w:val="none"/>
        </w:rPr>
      </w:pPr>
      <w:r>
        <w:rPr>
          <w:rStyle w:val="27"/>
          <w:rFonts w:hint="eastAsia" w:ascii="仿宋" w:hAnsi="仿宋" w:eastAsia="仿宋"/>
          <w:b w:val="0"/>
          <w:bCs w:val="0"/>
          <w:color w:val="auto"/>
          <w:highlight w:val="none"/>
        </w:rPr>
        <w:t>六、</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般公共预算财政拨款支出决算表</w:t>
      </w:r>
      <w:bookmarkEnd w:id="59"/>
    </w:p>
    <w:p>
      <w:pPr>
        <w:pStyle w:val="4"/>
        <w:rPr>
          <w:rFonts w:ascii="仿宋" w:hAnsi="仿宋" w:eastAsia="仿宋"/>
          <w:color w:val="auto"/>
          <w:highlight w:val="none"/>
        </w:rPr>
      </w:pPr>
      <w:bookmarkStart w:id="60" w:name="_Toc15396625"/>
      <w:r>
        <w:rPr>
          <w:rStyle w:val="27"/>
          <w:rFonts w:hint="eastAsia" w:ascii="仿宋" w:hAnsi="仿宋" w:eastAsia="仿宋"/>
          <w:b w:val="0"/>
          <w:bCs w:val="0"/>
          <w:color w:val="auto"/>
          <w:highlight w:val="none"/>
        </w:rPr>
        <w:t>七、</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般公共预算财政拨款支出决算明细表</w:t>
      </w:r>
      <w:bookmarkEnd w:id="60"/>
    </w:p>
    <w:p>
      <w:pPr>
        <w:pStyle w:val="4"/>
        <w:rPr>
          <w:rFonts w:ascii="仿宋" w:hAnsi="仿宋" w:eastAsia="仿宋"/>
          <w:color w:val="auto"/>
          <w:highlight w:val="none"/>
        </w:rPr>
      </w:pPr>
      <w:bookmarkStart w:id="61" w:name="_Toc15396626"/>
      <w:r>
        <w:rPr>
          <w:rStyle w:val="27"/>
          <w:rFonts w:hint="eastAsia" w:ascii="仿宋" w:hAnsi="仿宋" w:eastAsia="仿宋"/>
          <w:b w:val="0"/>
          <w:bCs w:val="0"/>
          <w:color w:val="auto"/>
          <w:highlight w:val="none"/>
        </w:rPr>
        <w:t>八、</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般公共预算财政拨款基本支出决算表</w:t>
      </w:r>
      <w:bookmarkEnd w:id="61"/>
    </w:p>
    <w:p>
      <w:pPr>
        <w:pStyle w:val="4"/>
        <w:rPr>
          <w:rFonts w:ascii="仿宋" w:hAnsi="仿宋" w:eastAsia="仿宋"/>
          <w:color w:val="auto"/>
          <w:highlight w:val="none"/>
        </w:rPr>
      </w:pPr>
      <w:bookmarkStart w:id="62" w:name="_Toc15396627"/>
      <w:r>
        <w:rPr>
          <w:rStyle w:val="27"/>
          <w:rFonts w:hint="eastAsia" w:ascii="仿宋" w:hAnsi="仿宋" w:eastAsia="仿宋"/>
          <w:b w:val="0"/>
          <w:bCs w:val="0"/>
          <w:color w:val="auto"/>
          <w:highlight w:val="none"/>
        </w:rPr>
        <w:t>九、</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般公共预算财政拨款项目支出决算表</w:t>
      </w:r>
      <w:bookmarkEnd w:id="62"/>
    </w:p>
    <w:p>
      <w:pPr>
        <w:pStyle w:val="4"/>
        <w:rPr>
          <w:rFonts w:ascii="仿宋" w:hAnsi="仿宋" w:eastAsia="仿宋"/>
          <w:color w:val="auto"/>
          <w:highlight w:val="none"/>
        </w:rPr>
      </w:pPr>
      <w:bookmarkStart w:id="63" w:name="_Toc15396628"/>
      <w:r>
        <w:rPr>
          <w:rStyle w:val="27"/>
          <w:rFonts w:hint="eastAsia" w:ascii="仿宋" w:hAnsi="仿宋" w:eastAsia="仿宋"/>
          <w:b w:val="0"/>
          <w:bCs w:val="0"/>
          <w:color w:val="auto"/>
          <w:highlight w:val="none"/>
        </w:rPr>
        <w:t>十、</w:t>
      </w:r>
      <w:r>
        <w:rPr>
          <w:rFonts w:hint="eastAsia" w:ascii="仿宋" w:hAnsi="仿宋" w:eastAsia="仿宋"/>
          <w:b w:val="0"/>
          <w:color w:val="auto"/>
          <w:highlight w:val="none"/>
        </w:rPr>
        <w:t>一</w:t>
      </w:r>
      <w:r>
        <w:rPr>
          <w:rStyle w:val="27"/>
          <w:rFonts w:hint="eastAsia" w:ascii="仿宋" w:hAnsi="仿宋" w:eastAsia="仿宋"/>
          <w:b w:val="0"/>
          <w:bCs w:val="0"/>
          <w:color w:val="auto"/>
          <w:highlight w:val="none"/>
        </w:rPr>
        <w:t>般公共预算财政拨款“三公”经费支出决算表</w:t>
      </w:r>
      <w:bookmarkEnd w:id="63"/>
    </w:p>
    <w:p>
      <w:pPr>
        <w:pStyle w:val="4"/>
        <w:rPr>
          <w:rFonts w:ascii="仿宋" w:hAnsi="仿宋" w:eastAsia="仿宋"/>
          <w:color w:val="auto"/>
          <w:highlight w:val="none"/>
        </w:rPr>
      </w:pPr>
      <w:bookmarkStart w:id="64" w:name="_Toc15396629"/>
      <w:r>
        <w:rPr>
          <w:rStyle w:val="27"/>
          <w:rFonts w:hint="eastAsia" w:ascii="仿宋" w:hAnsi="仿宋" w:eastAsia="仿宋"/>
          <w:b w:val="0"/>
          <w:bCs w:val="0"/>
          <w:color w:val="auto"/>
          <w:highlight w:val="none"/>
        </w:rPr>
        <w:t>十一、</w:t>
      </w:r>
      <w:r>
        <w:rPr>
          <w:rFonts w:hint="eastAsia" w:ascii="仿宋" w:hAnsi="仿宋" w:eastAsia="仿宋"/>
          <w:b w:val="0"/>
          <w:color w:val="auto"/>
          <w:highlight w:val="none"/>
        </w:rPr>
        <w:t>政</w:t>
      </w:r>
      <w:r>
        <w:rPr>
          <w:rStyle w:val="27"/>
          <w:rFonts w:hint="eastAsia" w:ascii="仿宋" w:hAnsi="仿宋" w:eastAsia="仿宋"/>
          <w:b w:val="0"/>
          <w:bCs w:val="0"/>
          <w:color w:val="auto"/>
          <w:highlight w:val="none"/>
        </w:rPr>
        <w:t>府性基金预算财政拨款收入支出决算表</w:t>
      </w:r>
      <w:bookmarkEnd w:id="64"/>
    </w:p>
    <w:p>
      <w:pPr>
        <w:pStyle w:val="4"/>
        <w:rPr>
          <w:rFonts w:ascii="仿宋" w:hAnsi="仿宋" w:eastAsia="仿宋"/>
          <w:color w:val="auto"/>
          <w:highlight w:val="none"/>
        </w:rPr>
      </w:pPr>
      <w:bookmarkStart w:id="65" w:name="_Toc15396630"/>
      <w:r>
        <w:rPr>
          <w:rStyle w:val="27"/>
          <w:rFonts w:hint="eastAsia" w:ascii="仿宋" w:hAnsi="仿宋" w:eastAsia="仿宋"/>
          <w:b w:val="0"/>
          <w:bCs w:val="0"/>
          <w:color w:val="auto"/>
          <w:highlight w:val="none"/>
        </w:rPr>
        <w:t>十二、</w:t>
      </w:r>
      <w:r>
        <w:rPr>
          <w:rFonts w:hint="eastAsia" w:ascii="仿宋" w:hAnsi="仿宋" w:eastAsia="仿宋"/>
          <w:b w:val="0"/>
          <w:color w:val="auto"/>
          <w:highlight w:val="none"/>
        </w:rPr>
        <w:t>政</w:t>
      </w:r>
      <w:r>
        <w:rPr>
          <w:rStyle w:val="27"/>
          <w:rFonts w:hint="eastAsia" w:ascii="仿宋" w:hAnsi="仿宋" w:eastAsia="仿宋"/>
          <w:b w:val="0"/>
          <w:bCs w:val="0"/>
          <w:color w:val="auto"/>
          <w:highlight w:val="none"/>
        </w:rPr>
        <w:t>府性基金预算财政拨款“三公”经费支出决算表</w:t>
      </w:r>
      <w:bookmarkEnd w:id="65"/>
    </w:p>
    <w:p>
      <w:pPr>
        <w:pStyle w:val="4"/>
        <w:rPr>
          <w:rStyle w:val="27"/>
          <w:rFonts w:hint="eastAsia" w:ascii="仿宋" w:hAnsi="仿宋" w:eastAsia="仿宋"/>
          <w:b w:val="0"/>
          <w:bCs w:val="0"/>
          <w:color w:val="auto"/>
          <w:highlight w:val="none"/>
        </w:rPr>
      </w:pPr>
      <w:bookmarkStart w:id="66" w:name="_Toc15396631"/>
      <w:r>
        <w:rPr>
          <w:rStyle w:val="27"/>
          <w:rFonts w:hint="eastAsia" w:ascii="仿宋" w:hAnsi="仿宋" w:eastAsia="仿宋"/>
          <w:b w:val="0"/>
          <w:bCs w:val="0"/>
          <w:color w:val="auto"/>
          <w:highlight w:val="none"/>
        </w:rPr>
        <w:t>十三、</w:t>
      </w:r>
      <w:r>
        <w:rPr>
          <w:rFonts w:hint="eastAsia" w:ascii="仿宋" w:hAnsi="仿宋" w:eastAsia="仿宋"/>
          <w:b w:val="0"/>
          <w:color w:val="auto"/>
          <w:highlight w:val="none"/>
        </w:rPr>
        <w:t>国</w:t>
      </w:r>
      <w:r>
        <w:rPr>
          <w:rStyle w:val="27"/>
          <w:rFonts w:hint="eastAsia" w:ascii="仿宋" w:hAnsi="仿宋" w:eastAsia="仿宋"/>
          <w:b w:val="0"/>
          <w:bCs w:val="0"/>
          <w:color w:val="auto"/>
          <w:highlight w:val="none"/>
        </w:rPr>
        <w:t>有资本经营预算</w:t>
      </w:r>
      <w:r>
        <w:rPr>
          <w:rStyle w:val="27"/>
          <w:rFonts w:hint="eastAsia" w:ascii="仿宋" w:hAnsi="仿宋" w:eastAsia="仿宋"/>
          <w:b w:val="0"/>
          <w:bCs w:val="0"/>
          <w:color w:val="auto"/>
          <w:highlight w:val="none"/>
          <w:lang w:eastAsia="zh-CN"/>
        </w:rPr>
        <w:t>财政拨款收入</w:t>
      </w:r>
      <w:r>
        <w:rPr>
          <w:rStyle w:val="27"/>
          <w:rFonts w:hint="eastAsia" w:ascii="仿宋" w:hAnsi="仿宋" w:eastAsia="仿宋"/>
          <w:b w:val="0"/>
          <w:bCs w:val="0"/>
          <w:color w:val="auto"/>
          <w:highlight w:val="none"/>
        </w:rPr>
        <w:t>支出决算表</w:t>
      </w:r>
      <w:bookmarkEnd w:id="66"/>
    </w:p>
    <w:p>
      <w:pPr>
        <w:rPr>
          <w:rFonts w:hint="eastAsia" w:eastAsia="仿宋"/>
          <w:color w:val="auto"/>
          <w:highlight w:val="none"/>
          <w:lang w:eastAsia="zh-CN"/>
        </w:rPr>
      </w:pPr>
      <w:r>
        <w:rPr>
          <w:rStyle w:val="27"/>
          <w:rFonts w:hint="eastAsia" w:ascii="仿宋" w:hAnsi="仿宋" w:eastAsia="仿宋"/>
          <w:b w:val="0"/>
          <w:bCs w:val="0"/>
          <w:color w:val="auto"/>
          <w:highlight w:val="none"/>
          <w:lang w:eastAsia="zh-CN"/>
        </w:rPr>
        <w:t>十四、国有资本经营预算财政拨款支出决算表</w:t>
      </w: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Arial">
    <w:panose1 w:val="020B0604020202020204"/>
    <w:charset w:val="86"/>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pPr>
          <w:pStyle w:val="9"/>
          <w:jc w:val="center"/>
        </w:pPr>
        <w:r>
          <w:fldChar w:fldCharType="begin"/>
        </w:r>
        <w:r>
          <w:instrText xml:space="preserve">PAGE   \* MERGEFORMAT</w:instrText>
        </w:r>
        <w:r>
          <w:fldChar w:fldCharType="separate"/>
        </w:r>
        <w:r>
          <w:rPr>
            <w:lang w:val="zh-CN"/>
          </w:rPr>
          <w:t>8</w:t>
        </w:r>
        <w:r>
          <w:fldChar w:fldCharType="end"/>
        </w:r>
      </w:p>
    </w:sdtContent>
  </w:sdt>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652CEC"/>
    <w:multiLevelType w:val="singleLevel"/>
    <w:tmpl w:val="CF652CEC"/>
    <w:lvl w:ilvl="0" w:tentative="0">
      <w:start w:val="9"/>
      <w:numFmt w:val="chineseCounting"/>
      <w:suff w:val="nothing"/>
      <w:lvlText w:val="%1、"/>
      <w:lvlJc w:val="left"/>
      <w:rPr>
        <w:rFonts w:hint="eastAsia"/>
      </w:rPr>
    </w:lvl>
  </w:abstractNum>
  <w:abstractNum w:abstractNumId="1">
    <w:nsid w:val="E2FA047D"/>
    <w:multiLevelType w:val="singleLevel"/>
    <w:tmpl w:val="E2FA047D"/>
    <w:lvl w:ilvl="0" w:tentative="0">
      <w:start w:val="3"/>
      <w:numFmt w:val="chineseCounting"/>
      <w:suff w:val="space"/>
      <w:lvlText w:val="第%1部分"/>
      <w:lvlJc w:val="left"/>
      <w:rPr>
        <w:rFonts w:hint="eastAsia" w:ascii="黑体" w:hAnsi="黑体" w:eastAsia="黑体" w:cs="黑体"/>
        <w:sz w:val="44"/>
        <w:szCs w:val="44"/>
      </w:rPr>
    </w:lvl>
  </w:abstractNum>
  <w:abstractNum w:abstractNumId="2">
    <w:nsid w:val="1272550B"/>
    <w:multiLevelType w:val="multilevel"/>
    <w:tmpl w:val="1272550B"/>
    <w:lvl w:ilvl="0" w:tentative="0">
      <w:start w:val="1"/>
      <w:numFmt w:val="japaneseCounting"/>
      <w:lvlText w:val="%1、"/>
      <w:lvlJc w:val="left"/>
      <w:pPr>
        <w:ind w:left="1360" w:hanging="720"/>
      </w:pPr>
      <w:rPr>
        <w:rFonts w:hint="default"/>
        <w:b w:val="0"/>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M2ZjhiM2IxMjQ1OTAwNDQ4YTgwZmY1YWQ5MDk5YTQifQ=="/>
  </w:docVars>
  <w:rsids>
    <w:rsidRoot w:val="00F1361C"/>
    <w:rsid w:val="000222C6"/>
    <w:rsid w:val="0002549F"/>
    <w:rsid w:val="000468DB"/>
    <w:rsid w:val="0006487A"/>
    <w:rsid w:val="00065F8F"/>
    <w:rsid w:val="00070A43"/>
    <w:rsid w:val="000768F2"/>
    <w:rsid w:val="0009184B"/>
    <w:rsid w:val="00094236"/>
    <w:rsid w:val="0009593C"/>
    <w:rsid w:val="00097322"/>
    <w:rsid w:val="000A6A92"/>
    <w:rsid w:val="000B047F"/>
    <w:rsid w:val="000B5923"/>
    <w:rsid w:val="000B5A48"/>
    <w:rsid w:val="000B6FF3"/>
    <w:rsid w:val="000C3467"/>
    <w:rsid w:val="000C3CA6"/>
    <w:rsid w:val="000D1267"/>
    <w:rsid w:val="000D1D50"/>
    <w:rsid w:val="000D5782"/>
    <w:rsid w:val="000E6613"/>
    <w:rsid w:val="000E7119"/>
    <w:rsid w:val="00114E9B"/>
    <w:rsid w:val="00142216"/>
    <w:rsid w:val="00144D6A"/>
    <w:rsid w:val="0014729F"/>
    <w:rsid w:val="00157BAB"/>
    <w:rsid w:val="001654D1"/>
    <w:rsid w:val="00174518"/>
    <w:rsid w:val="0018106D"/>
    <w:rsid w:val="001877A7"/>
    <w:rsid w:val="00191536"/>
    <w:rsid w:val="00196687"/>
    <w:rsid w:val="001C0962"/>
    <w:rsid w:val="001D7531"/>
    <w:rsid w:val="001E737D"/>
    <w:rsid w:val="001F0592"/>
    <w:rsid w:val="001F7506"/>
    <w:rsid w:val="002006CD"/>
    <w:rsid w:val="00202B36"/>
    <w:rsid w:val="00204B7A"/>
    <w:rsid w:val="00204CDE"/>
    <w:rsid w:val="0021101A"/>
    <w:rsid w:val="00220536"/>
    <w:rsid w:val="00235629"/>
    <w:rsid w:val="00260C38"/>
    <w:rsid w:val="002616C0"/>
    <w:rsid w:val="00265372"/>
    <w:rsid w:val="002662AA"/>
    <w:rsid w:val="00280496"/>
    <w:rsid w:val="00294DC9"/>
    <w:rsid w:val="00295495"/>
    <w:rsid w:val="002A31DE"/>
    <w:rsid w:val="002B2613"/>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664BB"/>
    <w:rsid w:val="00566FFA"/>
    <w:rsid w:val="0057481D"/>
    <w:rsid w:val="0058486E"/>
    <w:rsid w:val="00585B33"/>
    <w:rsid w:val="0059014D"/>
    <w:rsid w:val="005B5C64"/>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81A31"/>
    <w:rsid w:val="00683E73"/>
    <w:rsid w:val="006A3141"/>
    <w:rsid w:val="006A5E34"/>
    <w:rsid w:val="006B2422"/>
    <w:rsid w:val="006B2B9A"/>
    <w:rsid w:val="006C1937"/>
    <w:rsid w:val="006F020C"/>
    <w:rsid w:val="007127B7"/>
    <w:rsid w:val="0071798E"/>
    <w:rsid w:val="007416B6"/>
    <w:rsid w:val="00746F48"/>
    <w:rsid w:val="0075404D"/>
    <w:rsid w:val="0076182A"/>
    <w:rsid w:val="00767B7E"/>
    <w:rsid w:val="007770C3"/>
    <w:rsid w:val="00784D24"/>
    <w:rsid w:val="00785FBA"/>
    <w:rsid w:val="00786E4A"/>
    <w:rsid w:val="007875EB"/>
    <w:rsid w:val="0079426B"/>
    <w:rsid w:val="007D1682"/>
    <w:rsid w:val="007D312A"/>
    <w:rsid w:val="007D3F19"/>
    <w:rsid w:val="007E23B0"/>
    <w:rsid w:val="007E23E5"/>
    <w:rsid w:val="007F1991"/>
    <w:rsid w:val="007F2C2F"/>
    <w:rsid w:val="007F55FC"/>
    <w:rsid w:val="007F5665"/>
    <w:rsid w:val="00800112"/>
    <w:rsid w:val="00813348"/>
    <w:rsid w:val="008253BB"/>
    <w:rsid w:val="0083706E"/>
    <w:rsid w:val="008408F6"/>
    <w:rsid w:val="008423A5"/>
    <w:rsid w:val="00850625"/>
    <w:rsid w:val="00853718"/>
    <w:rsid w:val="00855221"/>
    <w:rsid w:val="00860645"/>
    <w:rsid w:val="00871F71"/>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6945"/>
    <w:rsid w:val="00951248"/>
    <w:rsid w:val="0095152F"/>
    <w:rsid w:val="00954C49"/>
    <w:rsid w:val="00955E37"/>
    <w:rsid w:val="0097099F"/>
    <w:rsid w:val="00971997"/>
    <w:rsid w:val="00971FFC"/>
    <w:rsid w:val="0098660A"/>
    <w:rsid w:val="009931C3"/>
    <w:rsid w:val="009B2C43"/>
    <w:rsid w:val="009B4EAE"/>
    <w:rsid w:val="009B7573"/>
    <w:rsid w:val="009C22F4"/>
    <w:rsid w:val="009C2A4B"/>
    <w:rsid w:val="009C2E98"/>
    <w:rsid w:val="009D3447"/>
    <w:rsid w:val="009D4711"/>
    <w:rsid w:val="009F1185"/>
    <w:rsid w:val="009F18CD"/>
    <w:rsid w:val="009F2A13"/>
    <w:rsid w:val="009F7527"/>
    <w:rsid w:val="00A04EB0"/>
    <w:rsid w:val="00A13CC1"/>
    <w:rsid w:val="00A16847"/>
    <w:rsid w:val="00A237D8"/>
    <w:rsid w:val="00A268C4"/>
    <w:rsid w:val="00A307CD"/>
    <w:rsid w:val="00A331C8"/>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B4DF0"/>
    <w:rsid w:val="00BC289F"/>
    <w:rsid w:val="00BC2D50"/>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114F0"/>
    <w:rsid w:val="00D20620"/>
    <w:rsid w:val="00D254F7"/>
    <w:rsid w:val="00D26091"/>
    <w:rsid w:val="00D2685C"/>
    <w:rsid w:val="00D34E7C"/>
    <w:rsid w:val="00D35489"/>
    <w:rsid w:val="00D36AFE"/>
    <w:rsid w:val="00D51276"/>
    <w:rsid w:val="00D7035F"/>
    <w:rsid w:val="00DA634F"/>
    <w:rsid w:val="00DA65AC"/>
    <w:rsid w:val="00DB1913"/>
    <w:rsid w:val="00DC410D"/>
    <w:rsid w:val="00DC5A81"/>
    <w:rsid w:val="00DC68CA"/>
    <w:rsid w:val="00DC7CBA"/>
    <w:rsid w:val="00DD73B7"/>
    <w:rsid w:val="00DF28BC"/>
    <w:rsid w:val="00DF34B9"/>
    <w:rsid w:val="00E01053"/>
    <w:rsid w:val="00E07ACF"/>
    <w:rsid w:val="00E331A1"/>
    <w:rsid w:val="00E33202"/>
    <w:rsid w:val="00E336A9"/>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602DF"/>
    <w:rsid w:val="00F754A1"/>
    <w:rsid w:val="00F81FD9"/>
    <w:rsid w:val="00F841AA"/>
    <w:rsid w:val="00F84A94"/>
    <w:rsid w:val="00F87E96"/>
    <w:rsid w:val="00FA23E8"/>
    <w:rsid w:val="00FD3CC1"/>
    <w:rsid w:val="00FF1E02"/>
    <w:rsid w:val="00FF30B4"/>
    <w:rsid w:val="020C008E"/>
    <w:rsid w:val="02E513CE"/>
    <w:rsid w:val="05681A7F"/>
    <w:rsid w:val="05CA098C"/>
    <w:rsid w:val="0A2032A3"/>
    <w:rsid w:val="0B8A37D8"/>
    <w:rsid w:val="0C42479D"/>
    <w:rsid w:val="10C055FF"/>
    <w:rsid w:val="10DC1574"/>
    <w:rsid w:val="118107EC"/>
    <w:rsid w:val="11DD6519"/>
    <w:rsid w:val="129B16E6"/>
    <w:rsid w:val="13826402"/>
    <w:rsid w:val="143D67CD"/>
    <w:rsid w:val="14D26F15"/>
    <w:rsid w:val="16BB723D"/>
    <w:rsid w:val="17667DE9"/>
    <w:rsid w:val="179D4304"/>
    <w:rsid w:val="17C52D61"/>
    <w:rsid w:val="18015F3F"/>
    <w:rsid w:val="190B6E9A"/>
    <w:rsid w:val="1AF5570C"/>
    <w:rsid w:val="1B542D7A"/>
    <w:rsid w:val="1BE8440E"/>
    <w:rsid w:val="1CA84EDC"/>
    <w:rsid w:val="1CEA7911"/>
    <w:rsid w:val="1D155CEE"/>
    <w:rsid w:val="1D4110DC"/>
    <w:rsid w:val="1D4F06B8"/>
    <w:rsid w:val="1DE14920"/>
    <w:rsid w:val="1FA15E62"/>
    <w:rsid w:val="20F57F95"/>
    <w:rsid w:val="2190727D"/>
    <w:rsid w:val="21C978F2"/>
    <w:rsid w:val="229C3523"/>
    <w:rsid w:val="22C5455D"/>
    <w:rsid w:val="240371BF"/>
    <w:rsid w:val="25AB3597"/>
    <w:rsid w:val="25C741E6"/>
    <w:rsid w:val="26435B47"/>
    <w:rsid w:val="27842671"/>
    <w:rsid w:val="284F5C96"/>
    <w:rsid w:val="28ED3EC6"/>
    <w:rsid w:val="29FD04D3"/>
    <w:rsid w:val="2A3F37A7"/>
    <w:rsid w:val="2ABE7A3E"/>
    <w:rsid w:val="2BD1187D"/>
    <w:rsid w:val="2BF17DB9"/>
    <w:rsid w:val="2C5B7892"/>
    <w:rsid w:val="2C934D84"/>
    <w:rsid w:val="2EE5473F"/>
    <w:rsid w:val="2EFA178C"/>
    <w:rsid w:val="30B46D73"/>
    <w:rsid w:val="319F7F4E"/>
    <w:rsid w:val="322A181E"/>
    <w:rsid w:val="329168D6"/>
    <w:rsid w:val="333D442B"/>
    <w:rsid w:val="34F565DC"/>
    <w:rsid w:val="3568484B"/>
    <w:rsid w:val="35D935A1"/>
    <w:rsid w:val="36C95F72"/>
    <w:rsid w:val="36F96D38"/>
    <w:rsid w:val="39AE70AB"/>
    <w:rsid w:val="39D54694"/>
    <w:rsid w:val="3AF51E94"/>
    <w:rsid w:val="3AFD3FC9"/>
    <w:rsid w:val="3B345984"/>
    <w:rsid w:val="3C0C0783"/>
    <w:rsid w:val="3EF142B8"/>
    <w:rsid w:val="3F9F3A96"/>
    <w:rsid w:val="41EE6648"/>
    <w:rsid w:val="43560B8E"/>
    <w:rsid w:val="43C165B0"/>
    <w:rsid w:val="462A5752"/>
    <w:rsid w:val="470A6C7E"/>
    <w:rsid w:val="4867383D"/>
    <w:rsid w:val="487F2F43"/>
    <w:rsid w:val="493C27E9"/>
    <w:rsid w:val="496F39ED"/>
    <w:rsid w:val="49FF41D3"/>
    <w:rsid w:val="4AE178D7"/>
    <w:rsid w:val="4BE068DB"/>
    <w:rsid w:val="4BF6002B"/>
    <w:rsid w:val="4C3F30B1"/>
    <w:rsid w:val="4D0D3E35"/>
    <w:rsid w:val="4ECE2238"/>
    <w:rsid w:val="50610B72"/>
    <w:rsid w:val="51DB4B86"/>
    <w:rsid w:val="54DC45ED"/>
    <w:rsid w:val="55333C3E"/>
    <w:rsid w:val="55756EA2"/>
    <w:rsid w:val="57AF6667"/>
    <w:rsid w:val="590638BB"/>
    <w:rsid w:val="5C327A41"/>
    <w:rsid w:val="5D511CC7"/>
    <w:rsid w:val="5D7F6ADB"/>
    <w:rsid w:val="5E5E4943"/>
    <w:rsid w:val="5EB36A3D"/>
    <w:rsid w:val="5FD570F3"/>
    <w:rsid w:val="5FF05A6E"/>
    <w:rsid w:val="60F4333C"/>
    <w:rsid w:val="6106728E"/>
    <w:rsid w:val="62DD22DA"/>
    <w:rsid w:val="63FD6E99"/>
    <w:rsid w:val="64CA39A1"/>
    <w:rsid w:val="64D616D7"/>
    <w:rsid w:val="64FD3107"/>
    <w:rsid w:val="655A5E64"/>
    <w:rsid w:val="65F067C8"/>
    <w:rsid w:val="66306733"/>
    <w:rsid w:val="66A6332B"/>
    <w:rsid w:val="67327842"/>
    <w:rsid w:val="67CF0ECE"/>
    <w:rsid w:val="68396F4F"/>
    <w:rsid w:val="68EA5751"/>
    <w:rsid w:val="6AC02C0D"/>
    <w:rsid w:val="6AE122F1"/>
    <w:rsid w:val="6B543355"/>
    <w:rsid w:val="6C4A05C8"/>
    <w:rsid w:val="6CDB245E"/>
    <w:rsid w:val="6D594C53"/>
    <w:rsid w:val="70046868"/>
    <w:rsid w:val="703B0F88"/>
    <w:rsid w:val="70E76A1A"/>
    <w:rsid w:val="72734D90"/>
    <w:rsid w:val="734B3290"/>
    <w:rsid w:val="74416441"/>
    <w:rsid w:val="77442F93"/>
    <w:rsid w:val="78177BE5"/>
    <w:rsid w:val="79E7B28D"/>
    <w:rsid w:val="7A5D4C09"/>
    <w:rsid w:val="7AE30381"/>
    <w:rsid w:val="7B1B5C3E"/>
    <w:rsid w:val="7BAE6AB2"/>
    <w:rsid w:val="7C5B1FE3"/>
    <w:rsid w:val="7E835FD4"/>
    <w:rsid w:val="7EED169F"/>
    <w:rsid w:val="7F9F20EE"/>
    <w:rsid w:val="9E3A10E2"/>
    <w:rsid w:val="F2E1F9D4"/>
    <w:rsid w:val="F788081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qFormat="1" w:unhideWhenUsed="0" w:uiPriority="0" w:semiHidden="0"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6"/>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0"/>
    <w:unhideWhenUsed/>
    <w:qFormat/>
    <w:uiPriority w:val="9"/>
    <w:pPr>
      <w:keepNext/>
      <w:keepLines/>
      <w:spacing w:before="260" w:after="260" w:line="416" w:lineRule="auto"/>
      <w:outlineLvl w:val="2"/>
    </w:pPr>
    <w:rPr>
      <w:b/>
      <w:bCs/>
      <w:sz w:val="32"/>
      <w:szCs w:val="32"/>
    </w:rPr>
  </w:style>
  <w:style w:type="character" w:default="1" w:styleId="15">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1"/>
    <w:next w:val="1"/>
    <w:qFormat/>
    <w:uiPriority w:val="99"/>
    <w:pPr>
      <w:spacing w:after="120"/>
      <w:ind w:firstLine="880" w:firstLineChars="200"/>
    </w:pPr>
    <w:rPr>
      <w:rFonts w:eastAsia="仿宋_GB2312"/>
      <w:szCs w:val="28"/>
    </w:rPr>
  </w:style>
  <w:style w:type="paragraph" w:styleId="6">
    <w:name w:val="Body Text"/>
    <w:basedOn w:val="1"/>
    <w:link w:val="23"/>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9"/>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2">
    <w:name w:val="table of figures"/>
    <w:basedOn w:val="1"/>
    <w:next w:val="1"/>
    <w:qFormat/>
    <w:uiPriority w:val="0"/>
    <w:pPr>
      <w:jc w:val="left"/>
    </w:pPr>
    <w:rPr>
      <w:rFonts w:ascii="Calibri" w:hAnsi="Calibri"/>
      <w:kern w:val="0"/>
      <w:szCs w:val="21"/>
    </w:rPr>
  </w:style>
  <w:style w:type="paragraph" w:styleId="13">
    <w:name w:val="toc 2"/>
    <w:basedOn w:val="1"/>
    <w:next w:val="1"/>
    <w:unhideWhenUsed/>
    <w:qFormat/>
    <w:uiPriority w:val="39"/>
    <w:pPr>
      <w:tabs>
        <w:tab w:val="right" w:leader="dot" w:pos="8296"/>
      </w:tabs>
      <w:ind w:left="420" w:leftChars="200"/>
    </w:pPr>
  </w:style>
  <w:style w:type="character" w:styleId="16">
    <w:name w:val="Strong"/>
    <w:basedOn w:val="15"/>
    <w:qFormat/>
    <w:uiPriority w:val="99"/>
    <w:rPr>
      <w:b/>
    </w:rPr>
  </w:style>
  <w:style w:type="character" w:styleId="17">
    <w:name w:val="Hyperlink"/>
    <w:basedOn w:val="15"/>
    <w:unhideWhenUsed/>
    <w:qFormat/>
    <w:uiPriority w:val="99"/>
    <w:rPr>
      <w:color w:val="0000FF" w:themeColor="hyperlink"/>
      <w:u w:val="single"/>
      <w14:textFill>
        <w14:solidFill>
          <w14:schemeClr w14:val="hlink"/>
        </w14:solidFill>
      </w14:textFill>
    </w:rPr>
  </w:style>
  <w:style w:type="character" w:customStyle="1" w:styleId="18">
    <w:name w:val="Header Char"/>
    <w:basedOn w:val="15"/>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5"/>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5"/>
    <w:semiHidden/>
    <w:qFormat/>
    <w:uiPriority w:val="99"/>
    <w:rPr>
      <w:rFonts w:ascii="Times New Roman" w:hAnsi="Times New Roman"/>
      <w:szCs w:val="24"/>
    </w:rPr>
  </w:style>
  <w:style w:type="character" w:customStyle="1" w:styleId="23">
    <w:name w:val="正文文本 Char"/>
    <w:link w:val="6"/>
    <w:qFormat/>
    <w:locked/>
    <w:uiPriority w:val="99"/>
    <w:rPr>
      <w:rFonts w:ascii="仿宋_GB2312" w:hAnsi="Times New Roman" w:eastAsia="仿宋_GB2312"/>
      <w:sz w:val="24"/>
    </w:rPr>
  </w:style>
  <w:style w:type="paragraph" w:customStyle="1" w:styleId="24">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25">
    <w:name w:val="List Paragraph"/>
    <w:basedOn w:val="1"/>
    <w:qFormat/>
    <w:uiPriority w:val="34"/>
    <w:pPr>
      <w:ind w:firstLine="420" w:firstLineChars="200"/>
    </w:pPr>
  </w:style>
  <w:style w:type="character" w:customStyle="1" w:styleId="26">
    <w:name w:val="标题 1 Char"/>
    <w:basedOn w:val="15"/>
    <w:link w:val="3"/>
    <w:qFormat/>
    <w:uiPriority w:val="9"/>
    <w:rPr>
      <w:rFonts w:ascii="Times New Roman" w:hAnsi="Times New Roman"/>
      <w:b/>
      <w:bCs/>
      <w:kern w:val="44"/>
      <w:sz w:val="44"/>
      <w:szCs w:val="44"/>
    </w:rPr>
  </w:style>
  <w:style w:type="character" w:customStyle="1" w:styleId="27">
    <w:name w:val="标题 2 Char"/>
    <w:basedOn w:val="15"/>
    <w:link w:val="4"/>
    <w:qFormat/>
    <w:uiPriority w:val="9"/>
    <w:rPr>
      <w:rFonts w:asciiTheme="majorHAnsi" w:hAnsiTheme="majorHAnsi" w:eastAsiaTheme="majorEastAsia" w:cstheme="majorBidi"/>
      <w:b/>
      <w:bCs/>
      <w:kern w:val="2"/>
      <w:sz w:val="32"/>
      <w:szCs w:val="32"/>
    </w:rPr>
  </w:style>
  <w:style w:type="paragraph" w:customStyle="1" w:styleId="28">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9">
    <w:name w:val="批注框文本 Char"/>
    <w:basedOn w:val="15"/>
    <w:link w:val="8"/>
    <w:semiHidden/>
    <w:qFormat/>
    <w:uiPriority w:val="99"/>
    <w:rPr>
      <w:rFonts w:ascii="Times New Roman" w:hAnsi="Times New Roman"/>
      <w:kern w:val="2"/>
      <w:sz w:val="18"/>
      <w:szCs w:val="18"/>
    </w:rPr>
  </w:style>
  <w:style w:type="character" w:customStyle="1" w:styleId="30">
    <w:name w:val="标题 3 Char"/>
    <w:basedOn w:val="15"/>
    <w:link w:val="5"/>
    <w:qFormat/>
    <w:uiPriority w:val="9"/>
    <w:rPr>
      <w:rFonts w:ascii="Times New Roman" w:hAnsi="Times New Roman"/>
      <w:b/>
      <w:bCs/>
      <w:kern w:val="2"/>
      <w:sz w:val="32"/>
      <w:szCs w:val="32"/>
    </w:rPr>
  </w:style>
  <w:style w:type="paragraph" w:customStyle="1" w:styleId="31">
    <w:name w:val="TOC Heading"/>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2">
    <w:name w:val="NormalCharacter"/>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E:\2022&#24180;&#24230;\&#39044;&#31639;&#20915;&#31639;\2021&#24180;&#20915;&#31639;&#20844;&#24320;\&#22825;&#20027;&#25945;-2021&#24180;&#20915;&#31639;&#20844;&#24320;&#65288;&#35843;&#25972;&#20844;&#24320;&#22270;&#34920;1-7&#65292;&#25554;&#20837;&#22270;&#29255;&#30456;&#24212;&#20301;&#32622;&#65289;20220825.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000" b="0" i="0" u="none" strike="noStrike" kern="1200" baseline="0">
                <a:solidFill>
                  <a:srgbClr val="000000">
                    <a:alpha val="100000"/>
                  </a:srgbClr>
                </a:solidFill>
                <a:latin typeface="Arial" panose="020B0604020202020204" charset="-122"/>
                <a:ea typeface="Arial" panose="020B0604020202020204" charset="-122"/>
                <a:cs typeface="Arial" panose="020B0604020202020204" charset="-122"/>
              </a:defRPr>
            </a:pPr>
            <a:r>
              <a:t>单位：万元</a:t>
            </a:r>
            <a:endParaRPr sz="1000" b="0" i="0" u="none" strike="noStrike" baseline="0">
              <a:solidFill>
                <a:srgbClr val="000000">
                  <a:alpha val="100000"/>
                </a:srgbClr>
              </a:solidFill>
              <a:latin typeface="Arial" panose="020B0604020202020204" charset="-122"/>
              <a:ea typeface="Arial" panose="020B0604020202020204" charset="-122"/>
              <a:cs typeface="Arial" panose="020B0604020202020204" charset="-122"/>
            </a:endParaRPr>
          </a:p>
        </c:rich>
      </c:tx>
      <c:layout>
        <c:manualLayout>
          <c:xMode val="edge"/>
          <c:yMode val="edge"/>
          <c:x val="0.705429352580927"/>
          <c:y val="0.129767864281865"/>
        </c:manualLayout>
      </c:layout>
      <c:overlay val="0"/>
      <c:spPr>
        <a:noFill/>
        <a:ln w="3175">
          <a:noFill/>
        </a:ln>
      </c:spPr>
    </c:title>
    <c:autoTitleDeleted val="0"/>
    <c:plotArea>
      <c:layout/>
      <c:barChart>
        <c:barDir val="col"/>
        <c:grouping val="stacked"/>
        <c:varyColors val="0"/>
        <c:ser>
          <c:idx val="0"/>
          <c:order val="0"/>
          <c:spPr>
            <a:solidFill>
              <a:srgbClr val="5B9BD5">
                <a:alpha val="100000"/>
              </a:srgbClr>
            </a:solidFill>
            <a:ln w="3175">
              <a:noFill/>
            </a:ln>
          </c:spPr>
          <c:invertIfNegative val="0"/>
          <c:dLbls>
            <c:dLbl>
              <c:idx val="0"/>
              <c:layout>
                <c:manualLayout>
                  <c:x val="-0.00141769809469245"/>
                  <c:y val="-0.338203109456272"/>
                </c:manualLayout>
              </c:layout>
              <c:numFmt formatCode="General" sourceLinked="1"/>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171673819742489"/>
                  <c:y val="-0.309012875536481"/>
                </c:manualLayout>
              </c:layout>
              <c:numFmt formatCode="General" sourceLinked="1"/>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00302590008673555"/>
                  <c:y val="-0.0759814453228478"/>
                </c:manualLayout>
              </c:layout>
              <c:numFmt formatCode="General" sourceLinked="1"/>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numFmt formatCode="General" sourceLinked="1"/>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'[天主教-2021年决算公开（调整公开图表1-7，插入图片相应位置）20220825.xls]图1'!$A$2:$C$2</c:f>
              <c:strCache>
                <c:ptCount val="3"/>
                <c:pt idx="0">
                  <c:v>2021年</c:v>
                </c:pt>
                <c:pt idx="1">
                  <c:v>2020年</c:v>
                </c:pt>
                <c:pt idx="2">
                  <c:v>增加额</c:v>
                </c:pt>
              </c:strCache>
            </c:strRef>
          </c:cat>
          <c:val>
            <c:numRef>
              <c:f>'[天主教-2021年决算公开（调整公开图表1-7，插入图片相应位置）20220825.xls]图1'!$A$3:$C$3</c:f>
              <c:numCache>
                <c:formatCode>#,##0.00</c:formatCode>
                <c:ptCount val="3"/>
                <c:pt idx="0">
                  <c:v>180.09</c:v>
                </c:pt>
                <c:pt idx="1" c:formatCode="General">
                  <c:v>128.88</c:v>
                </c:pt>
                <c:pt idx="2" c:formatCode="General">
                  <c:v>51.21</c:v>
                </c:pt>
              </c:numCache>
            </c:numRef>
          </c:val>
        </c:ser>
        <c:dLbls>
          <c:showLegendKey val="0"/>
          <c:showVal val="0"/>
          <c:showCatName val="0"/>
          <c:showSerName val="0"/>
          <c:showPercent val="0"/>
          <c:showBubbleSize val="0"/>
        </c:dLbls>
        <c:gapWidth val="219"/>
        <c:overlap val="100"/>
        <c:axId val="790928501"/>
        <c:axId val="469243089"/>
      </c:barChart>
      <c:catAx>
        <c:axId val="790928501"/>
        <c:scaling>
          <c:orientation val="minMax"/>
        </c:scaling>
        <c:delete val="0"/>
        <c:axPos val="b"/>
        <c:majorTickMark val="none"/>
        <c:minorTickMark val="none"/>
        <c:tickLblPos val="nextTo"/>
        <c:spPr>
          <a:noFill/>
          <a:ln w="9525" cap="flat" cmpd="sng" algn="ctr">
            <a:solidFill>
              <a:schemeClr val="tx1">
                <a:lumMod val="15000"/>
                <a:lumOff val="85000"/>
              </a:schemeClr>
            </a:solidFill>
            <a:prstDash val="solid"/>
            <a:round/>
          </a:ln>
          <a:effectLst/>
        </c:spPr>
        <c:txPr>
          <a:bodyPr rot="0" spcFirstLastPara="0" vertOverflow="ellipsis" vert="horz" wrap="square"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crossAx val="469243089"/>
        <c:crosses val="autoZero"/>
        <c:auto val="1"/>
        <c:lblAlgn val="ctr"/>
        <c:lblOffset val="100"/>
        <c:noMultiLvlLbl val="0"/>
      </c:catAx>
      <c:valAx>
        <c:axId val="469243089"/>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0.00" sourceLinked="1"/>
        <c:majorTickMark val="none"/>
        <c:minorTickMark val="none"/>
        <c:tickLblPos val="nextTo"/>
        <c:spPr>
          <a:ln w="3175" cap="flat" cmpd="sng" algn="ctr">
            <a:noFill/>
            <a:prstDash val="solid"/>
            <a:round/>
          </a:ln>
        </c:spPr>
        <c:txPr>
          <a:bodyPr rot="0" spcFirstLastPara="0" vertOverflow="ellipsis" vert="horz" wrap="square"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crossAx val="790928501"/>
        <c:crosses val="autoZero"/>
        <c:crossBetween val="between"/>
      </c:valAx>
      <c:spPr>
        <a:noFill/>
        <a:ln w="3175">
          <a:noFill/>
        </a:ln>
      </c:spPr>
    </c:plotArea>
    <c:plotVisOnly val="1"/>
    <c:dispBlanksAs val="gap"/>
    <c:showDLblsOverMax val="0"/>
  </c:chart>
  <c:spPr>
    <a:solidFill>
      <a:sysClr val="window" lastClr="CCE8CF"/>
    </a:solidFill>
    <a:ln w="9525" cap="flat" cmpd="sng" algn="ctr">
      <a:solidFill>
        <a:schemeClr val="tx1">
          <a:lumMod val="15000"/>
          <a:lumOff val="85000"/>
        </a:schemeClr>
      </a:solidFill>
      <a:prstDash val="solid"/>
      <a:round/>
    </a:ln>
    <a:effectLst/>
  </c:spPr>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26"/>
    </mc:Choice>
    <mc:Fallback>
      <c:style val="26"/>
    </mc:Fallback>
  </mc:AlternateContent>
  <c:chart>
    <c:title>
      <c:tx>
        <c:rich>
          <a:bodyPr rot="0" spcFirstLastPara="0" vertOverflow="ellipsis" vert="horz" wrap="square" anchor="ctr" anchorCtr="1"/>
          <a:lstStyle/>
          <a:p>
            <a:pPr defTabSz="914400">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r>
              <a:t>单位：万元、％</a:t>
            </a:r>
            <a:endParaRPr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endParaRPr>
          </a:p>
        </c:rich>
      </c:tx>
      <c:layout>
        <c:manualLayout>
          <c:xMode val="edge"/>
          <c:yMode val="edge"/>
          <c:x val="0.685960695126542"/>
          <c:y val="0.0662190202739537"/>
        </c:manualLayout>
      </c:layout>
      <c:overlay val="0"/>
    </c:title>
    <c:autoTitleDeleted val="0"/>
    <c:view3D>
      <c:rotX val="30"/>
      <c:rotY val="0"/>
      <c:depthPercent val="100"/>
      <c:rAngAx val="0"/>
      <c:perspective val="0"/>
    </c:view3D>
    <c:floor>
      <c:thickness val="0"/>
    </c:floor>
    <c:sideWall>
      <c:thickness val="0"/>
    </c:sideWall>
    <c:backWall>
      <c:thickness val="0"/>
    </c:backWall>
    <c:plotArea>
      <c:layout>
        <c:manualLayout>
          <c:layoutTarget val="inner"/>
          <c:xMode val="edge"/>
          <c:yMode val="edge"/>
          <c:x val="0.064453125"/>
          <c:y val="0.152180361910412"/>
          <c:w val="0.839693509615385"/>
          <c:h val="0.800800949273213"/>
        </c:manualLayout>
      </c:layout>
      <c:pie3DChart>
        <c:varyColors val="1"/>
        <c:ser>
          <c:idx val="0"/>
          <c:order val="0"/>
          <c:explosion val="0"/>
          <c:dPt>
            <c:idx val="0"/>
            <c:bubble3D val="0"/>
            <c:explosion val="0"/>
          </c:dPt>
          <c:dPt>
            <c:idx val="1"/>
            <c:bubble3D val="0"/>
            <c:explosion val="0"/>
          </c:dPt>
          <c:dPt>
            <c:idx val="2"/>
            <c:bubble3D val="0"/>
            <c:explosion val="0"/>
          </c:dPt>
          <c:dPt>
            <c:idx val="3"/>
            <c:bubble3D val="0"/>
          </c:dPt>
          <c:dLbls>
            <c:dLbl>
              <c:idx val="0"/>
              <c:layout>
                <c:manualLayout>
                  <c:x val="-0.0933046248006878"/>
                  <c:y val="-0.188658295853722"/>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1"/>
              <c:layout>
                <c:manualLayout>
                  <c:x val="-0.0291920896251605"/>
                  <c:y val="-0.097299709395622"/>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2"/>
              <c:layout>
                <c:manualLayout>
                  <c:x val="0.109465294110963"/>
                  <c:y val="-0.0369885297001192"/>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numFmt formatCode="0.00%" sourceLinked="0"/>
            <c:spPr>
              <a:noFill/>
              <a:ln w="3175">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rgbClr val="000000">
                          <a:alpha val="100000"/>
                        </a:srgbClr>
                      </a:solidFill>
                      <a:prstDash val="solid"/>
                      <a:round/>
                    </a:ln>
                  </c:spPr>
                </c15:leaderLines>
              </c:ext>
            </c:extLst>
          </c:dLbls>
          <c:cat>
            <c:strRef>
              <c:f>'[天主教-2021年决算公开（调整公开图表1-7，插入图片相应位置）20220825.xls]图2'!$A$7:$A$10</c:f>
              <c:strCache>
                <c:ptCount val="4"/>
                <c:pt idx="0">
                  <c:v>一般公共预算财政拨款收入</c:v>
                </c:pt>
                <c:pt idx="1">
                  <c:v>上级补助收入</c:v>
                </c:pt>
                <c:pt idx="2">
                  <c:v>事业收入</c:v>
                </c:pt>
                <c:pt idx="3">
                  <c:v>其他收入</c:v>
                </c:pt>
              </c:strCache>
            </c:strRef>
          </c:cat>
          <c:val>
            <c:numRef>
              <c:f>'[天主教-2021年决算公开（调整公开图表1-7，插入图片相应位置）20220825.xls]图2'!$B$7:$B$10</c:f>
              <c:numCache>
                <c:formatCode>#,##0.00</c:formatCode>
                <c:ptCount val="4"/>
                <c:pt idx="0">
                  <c:v>180.09</c:v>
                </c:pt>
                <c:pt idx="1">
                  <c:v>0</c:v>
                </c:pt>
                <c:pt idx="2">
                  <c:v>0</c:v>
                </c:pt>
                <c:pt idx="3">
                  <c:v>0</c:v>
                </c:pt>
              </c:numCache>
            </c:numRef>
          </c:val>
        </c:ser>
        <c:dLbls>
          <c:showLegendKey val="0"/>
          <c:showVal val="0"/>
          <c:showCatName val="0"/>
          <c:showSerName val="0"/>
          <c:showPercent val="0"/>
          <c:showBubbleSize val="0"/>
        </c:dLbls>
      </c:pie3DChart>
      <c:spPr>
        <a:noFill/>
        <a:ln w="3175">
          <a:noFill/>
        </a:ln>
      </c:spPr>
    </c:plotArea>
    <c:legend>
      <c:legendPos val="r"/>
      <c:layout>
        <c:manualLayout>
          <c:xMode val="edge"/>
          <c:yMode val="edge"/>
          <c:x val="0.0731634615384615"/>
          <c:y val="0.838742954612875"/>
          <c:w val="0.367965378768073"/>
          <c:h val="0.119257352931141"/>
        </c:manualLayout>
      </c:layout>
      <c:overlay val="0"/>
      <c:txPr>
        <a:bodyPr rot="0" spcFirstLastPara="0" vertOverflow="ellipsis" vert="horz" wrap="square" anchor="ctr" anchorCtr="1"/>
        <a:lstStyle/>
        <a:p>
          <a:pPr>
            <a:defRPr lang="zh-CN" sz="920"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r>
              <a:t>单位：万元、％</a:t>
            </a:r>
            <a:endParaRPr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endParaRPr>
          </a:p>
        </c:rich>
      </c:tx>
      <c:layout>
        <c:manualLayout>
          <c:xMode val="edge"/>
          <c:yMode val="edge"/>
          <c:x val="0.424063215502318"/>
          <c:y val="0.105297930315962"/>
        </c:manualLayout>
      </c:layout>
      <c:overlay val="0"/>
    </c:title>
    <c:autoTitleDeleted val="0"/>
    <c:view3D>
      <c:rotX val="40"/>
      <c:rotY val="0"/>
      <c:depthPercent val="100"/>
      <c:rAngAx val="0"/>
      <c:perspective val="0"/>
    </c:view3D>
    <c:floor>
      <c:thickness val="0"/>
    </c:floor>
    <c:sideWall>
      <c:thickness val="0"/>
    </c:sideWall>
    <c:backWall>
      <c:thickness val="0"/>
    </c:backWall>
    <c:plotArea>
      <c:layout/>
      <c:pie3DChart>
        <c:varyColors val="1"/>
        <c:ser>
          <c:idx val="0"/>
          <c:order val="0"/>
          <c:tx>
            <c:strRef>
              <c:f>'[天主教-2021年决算公开（调整公开图表1-7，插入图片相应位置）20220825.xls]图3'!$B$2</c:f>
              <c:strCache>
                <c:ptCount val="1"/>
                <c:pt idx="0">
                  <c:v>金额</c:v>
                </c:pt>
              </c:strCache>
            </c:strRef>
          </c:tx>
          <c:explosion val="0"/>
          <c:dPt>
            <c:idx val="0"/>
            <c:bubble3D val="0"/>
            <c:explosion val="0"/>
            <c:spPr>
              <a:solidFill>
                <a:srgbClr val="5B9BD5">
                  <a:alpha val="100000"/>
                </a:srgbClr>
              </a:solidFill>
              <a:ln w="19050">
                <a:solidFill>
                  <a:srgbClr val="FFFFFF">
                    <a:alpha val="100000"/>
                  </a:srgbClr>
                </a:solidFill>
                <a:prstDash val="solid"/>
              </a:ln>
            </c:spPr>
          </c:dPt>
          <c:dPt>
            <c:idx val="1"/>
            <c:bubble3D val="0"/>
            <c:explosion val="5"/>
            <c:spPr>
              <a:solidFill>
                <a:srgbClr val="ED7D31">
                  <a:alpha val="100000"/>
                </a:srgbClr>
              </a:solidFill>
              <a:ln w="19050">
                <a:solidFill>
                  <a:srgbClr val="FFFFFF">
                    <a:alpha val="100000"/>
                  </a:srgbClr>
                </a:solidFill>
                <a:prstDash val="solid"/>
              </a:ln>
            </c:spPr>
          </c:dPt>
          <c:dLbls>
            <c:numFmt formatCode="0.00%" sourceLinked="0"/>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outEnd"/>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rgbClr val="969696">
                          <a:alpha val="100000"/>
                        </a:srgbClr>
                      </a:solidFill>
                      <a:prstDash val="solid"/>
                      <a:round/>
                    </a:ln>
                  </c:spPr>
                </c15:leaderLines>
              </c:ext>
            </c:extLst>
          </c:dLbls>
          <c:cat>
            <c:strRef>
              <c:f>'[天主教-2021年决算公开（调整公开图表1-7，插入图片相应位置）20220825.xls]图3'!$A$3:$A$4</c:f>
              <c:strCache>
                <c:ptCount val="2"/>
                <c:pt idx="0">
                  <c:v>基本支出</c:v>
                </c:pt>
                <c:pt idx="1">
                  <c:v>项目支出</c:v>
                </c:pt>
              </c:strCache>
            </c:strRef>
          </c:cat>
          <c:val>
            <c:numRef>
              <c:f>'[天主教-2021年决算公开（调整公开图表1-7，插入图片相应位置）20220825.xls]图3'!$B$3:$B$4</c:f>
              <c:numCache>
                <c:formatCode>#,##0.00</c:formatCode>
                <c:ptCount val="2"/>
                <c:pt idx="0">
                  <c:v>95.75</c:v>
                </c:pt>
                <c:pt idx="1">
                  <c:v>84.34</c:v>
                </c:pt>
              </c:numCache>
            </c:numRef>
          </c:val>
        </c:ser>
        <c:dLbls>
          <c:showLegendKey val="0"/>
          <c:showVal val="0"/>
          <c:showCatName val="0"/>
          <c:showSerName val="0"/>
          <c:showPercent val="0"/>
          <c:showBubbleSize val="0"/>
        </c:dLbls>
      </c:pie3DChart>
      <c:spPr>
        <a:noFill/>
        <a:ln w="3175">
          <a:noFill/>
        </a:ln>
      </c:spPr>
    </c:plotArea>
    <c:legend>
      <c:legendPos val="r"/>
      <c:legendEntry>
        <c:idx val="0"/>
        <c:txPr>
          <a:bodyPr rot="0" spcFirstLastPara="0" vertOverflow="ellipsis" vert="horz" wrap="square" anchor="ctr" anchorCtr="1"/>
          <a:lstStyle/>
          <a:p>
            <a:pPr>
              <a:defRPr lang="zh-CN" sz="755"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Entry>
      <c:legendEntry>
        <c:idx val="1"/>
        <c:txPr>
          <a:bodyPr rot="0" spcFirstLastPara="0" vertOverflow="ellipsis" vert="horz" wrap="square" anchor="ctr" anchorCtr="1"/>
          <a:lstStyle/>
          <a:p>
            <a:pPr>
              <a:defRPr lang="zh-CN" sz="755"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Entry>
      <c:layout>
        <c:manualLayout>
          <c:xMode val="edge"/>
          <c:yMode val="edge"/>
          <c:x val="0.843"/>
          <c:y val="0.47025"/>
          <c:w val="0.13725"/>
          <c:h val="0.15325"/>
        </c:manualLayout>
      </c:layout>
      <c:overlay val="0"/>
      <c:spPr>
        <a:noFill/>
        <a:ln w="3175">
          <a:noFill/>
        </a:ln>
      </c:spPr>
      <c:txPr>
        <a:bodyPr rot="0" spcFirstLastPara="0" vertOverflow="ellipsis" vert="horz" wrap="square" anchor="ctr" anchorCtr="1"/>
        <a:lstStyle/>
        <a:p>
          <a:pPr>
            <a:defRPr lang="zh-CN" sz="755" b="0" i="0" u="none" strike="noStrike" kern="1200" baseline="0">
              <a:solidFill>
                <a:srgbClr val="000000"/>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noFill/>
    <a:ln w="12700" cap="flat" cmpd="sng" algn="ctr">
      <a:solidFill>
        <a:schemeClr val="accent2"/>
      </a:solidFill>
      <a:prstDash val="solid"/>
      <a:miter lim="800000"/>
    </a:ln>
    <a:effectLst/>
  </c:spPr>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r>
              <a:rPr>
                <a:solidFill>
                  <a:srgbClr val="333333">
                    <a:alpha val="100000"/>
                  </a:srgbClr>
                </a:solidFill>
                <a:uFillTx/>
                <a:latin typeface="仿宋" panose="02010609060101010101" pitchFamily="3" charset="-122"/>
                <a:ea typeface="仿宋" panose="02010609060101010101" pitchFamily="3" charset="-122"/>
              </a:rPr>
              <a:t>单位：万元</a:t>
            </a:r>
            <a:endParaRPr sz="1400" b="0" i="0" baseline="0">
              <a:solidFill>
                <a:srgbClr val="333333">
                  <a:alpha val="100000"/>
                </a:srgbClr>
              </a:solidFill>
              <a:uFillTx/>
              <a:latin typeface="仿宋" panose="02010609060101010101" pitchFamily="3" charset="-122"/>
              <a:ea typeface="仿宋" panose="02010609060101010101" pitchFamily="3" charset="-122"/>
              <a:cs typeface="宋体" panose="02010600030101010101" charset="-122"/>
            </a:endParaRPr>
          </a:p>
        </c:rich>
      </c:tx>
      <c:layout>
        <c:manualLayout>
          <c:xMode val="edge"/>
          <c:yMode val="edge"/>
          <c:x val="0.633520674046179"/>
          <c:y val="0.0812255484573862"/>
        </c:manualLayout>
      </c:layout>
      <c:overlay val="0"/>
      <c:spPr>
        <a:noFill/>
        <a:ln w="3175">
          <a:noFill/>
        </a:ln>
      </c:spPr>
    </c:title>
    <c:autoTitleDeleted val="0"/>
    <c:plotArea>
      <c:layout>
        <c:manualLayout>
          <c:layoutTarget val="inner"/>
          <c:xMode val="edge"/>
          <c:yMode val="edge"/>
          <c:x val="0.0872595683002311"/>
          <c:y val="0.198518518518519"/>
          <c:w val="0.882889685431112"/>
          <c:h val="0.696016331291922"/>
        </c:manualLayout>
      </c:layout>
      <c:barChart>
        <c:barDir val="col"/>
        <c:grouping val="stacked"/>
        <c:varyColors val="0"/>
        <c:ser>
          <c:idx val="0"/>
          <c:order val="0"/>
          <c:spPr>
            <a:solidFill>
              <a:srgbClr val="5B9BD5">
                <a:alpha val="100000"/>
              </a:srgbClr>
            </a:solidFill>
            <a:ln w="3175">
              <a:noFill/>
            </a:ln>
          </c:spPr>
          <c:invertIfNegative val="0"/>
          <c:dLbls>
            <c:dLbl>
              <c:idx val="0"/>
              <c:layout>
                <c:manualLayout>
                  <c:x val="0.029239236886434"/>
                  <c:y val="-0.341810703540106"/>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155619540094802"/>
                  <c:y val="-0.316737404775623"/>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0149420993649608"/>
                  <c:y val="-0.128205128205128"/>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numFmt formatCode="General" sourceLinked="1"/>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'[天主教-2021年决算公开（调整公开图表1-7，插入图片相应位置）20220825.xls]图4'!$A$2:$C$2</c:f>
              <c:strCache>
                <c:ptCount val="3"/>
                <c:pt idx="0">
                  <c:v>2021年</c:v>
                </c:pt>
                <c:pt idx="1">
                  <c:v>2020年</c:v>
                </c:pt>
                <c:pt idx="2">
                  <c:v>增加额</c:v>
                </c:pt>
              </c:strCache>
            </c:strRef>
          </c:cat>
          <c:val>
            <c:numRef>
              <c:f>'[天主教-2021年决算公开（调整公开图表1-7，插入图片相应位置）20220825.xls]图4'!$A$3:$C$3</c:f>
              <c:numCache>
                <c:formatCode>#,##0.00</c:formatCode>
                <c:ptCount val="3"/>
                <c:pt idx="0">
                  <c:v>180.09</c:v>
                </c:pt>
                <c:pt idx="1" c:formatCode="General">
                  <c:v>128.88</c:v>
                </c:pt>
                <c:pt idx="2" c:formatCode="General">
                  <c:v>51.21</c:v>
                </c:pt>
              </c:numCache>
            </c:numRef>
          </c:val>
        </c:ser>
        <c:dLbls>
          <c:showLegendKey val="0"/>
          <c:showVal val="0"/>
          <c:showCatName val="0"/>
          <c:showSerName val="0"/>
          <c:showPercent val="0"/>
          <c:showBubbleSize val="0"/>
        </c:dLbls>
        <c:gapWidth val="55"/>
        <c:overlap val="100"/>
        <c:axId val="785225461"/>
        <c:axId val="757591453"/>
      </c:barChart>
      <c:catAx>
        <c:axId val="785225461"/>
        <c:scaling>
          <c:orientation val="minMax"/>
        </c:scaling>
        <c:delete val="0"/>
        <c:axPos val="b"/>
        <c:majorTickMark val="none"/>
        <c:minorTickMark val="none"/>
        <c:tickLblPos val="nextTo"/>
        <c:spPr>
          <a:noFill/>
          <a:ln w="9525" cap="flat" cmpd="sng" algn="ctr">
            <a:solidFill>
              <a:schemeClr val="tx1">
                <a:lumMod val="15000"/>
                <a:lumOff val="85000"/>
              </a:schemeClr>
            </a:solidFill>
            <a:prstDash val="solid"/>
            <a:round/>
          </a:ln>
          <a:effectLst/>
        </c:spPr>
        <c:txPr>
          <a:bodyPr rot="0" spcFirstLastPara="0" vertOverflow="ellipsis" vert="horz" wrap="square"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crossAx val="757591453"/>
        <c:crosses val="autoZero"/>
        <c:auto val="1"/>
        <c:lblAlgn val="ctr"/>
        <c:lblOffset val="100"/>
        <c:noMultiLvlLbl val="0"/>
      </c:catAx>
      <c:valAx>
        <c:axId val="757591453"/>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0.00" sourceLinked="1"/>
        <c:majorTickMark val="none"/>
        <c:minorTickMark val="none"/>
        <c:tickLblPos val="nextTo"/>
        <c:spPr>
          <a:ln w="3175" cap="flat" cmpd="sng" algn="ctr">
            <a:noFill/>
            <a:prstDash val="solid"/>
            <a:round/>
          </a:ln>
        </c:spPr>
        <c:txPr>
          <a:bodyPr rot="0" spcFirstLastPara="0" vertOverflow="ellipsis" vert="horz" wrap="square"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crossAx val="785225461"/>
        <c:crosses val="autoZero"/>
        <c:crossBetween val="between"/>
      </c:valAx>
      <c:spPr>
        <a:pattFill prst="pct5">
          <a:fgClr>
            <a:srgbClr val="5B9BD5">
              <a:alpha val="100000"/>
            </a:srgbClr>
          </a:fgClr>
          <a:bgClr>
            <a:srgbClr val="FFFFFF">
              <a:alpha val="100000"/>
            </a:srgbClr>
          </a:bgClr>
        </a:pattFill>
        <a:ln w="3175">
          <a:noFill/>
        </a:ln>
      </c:spPr>
    </c:plotArea>
    <c:plotVisOnly val="1"/>
    <c:dispBlanksAs val="gap"/>
    <c:showDLblsOverMax val="0"/>
  </c:chart>
  <c:spPr>
    <a:noFill/>
    <a:ln w="9525" cap="flat" cmpd="sng" algn="ctr">
      <a:solidFill>
        <a:schemeClr val="tx1">
          <a:lumMod val="15000"/>
          <a:lumOff val="85000"/>
        </a:schemeClr>
      </a:solidFill>
      <a:prstDash val="solid"/>
      <a:round/>
    </a:ln>
    <a:effectLst/>
  </c:spPr>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0772677892449756"/>
          <c:y val="0.0510322430990489"/>
          <c:w val="0.89082020640956"/>
          <c:h val="0.827418232428671"/>
        </c:manualLayout>
      </c:layout>
      <c:barChart>
        <c:barDir val="col"/>
        <c:grouping val="stacked"/>
        <c:varyColors val="0"/>
        <c:ser>
          <c:idx val="0"/>
          <c:order val="0"/>
          <c:invertIfNegative val="0"/>
          <c:dPt>
            <c:idx val="1"/>
            <c:invertIfNegative val="0"/>
            <c:bubble3D val="0"/>
            <c:explosion val="0"/>
            <c:spPr>
              <a:solidFill>
                <a:schemeClr val="accent2">
                  <a:lumMod val="75000"/>
                </a:schemeClr>
              </a:solidFill>
            </c:spPr>
          </c:dPt>
          <c:dPt>
            <c:idx val="2"/>
            <c:invertIfNegative val="0"/>
            <c:bubble3D val="0"/>
            <c:explosion val="0"/>
            <c:spPr>
              <a:solidFill>
                <a:srgbClr val="92D050"/>
              </a:solidFill>
            </c:spPr>
          </c:dPt>
          <c:dLbls>
            <c:dLbl>
              <c:idx val="0"/>
              <c:layout>
                <c:manualLayout>
                  <c:x val="0.0222222222222222"/>
                  <c:y val="-0.347222222222222"/>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194444444444444"/>
                  <c:y val="-0.361111111111111"/>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0.0166666666666667"/>
                  <c:y val="-0.111111111111111"/>
                </c:manualLayout>
              </c:layout>
              <c:numFmt formatCode="General" sourceLinked="1"/>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extLst>
                <c:ext xmlns:c15="http://schemas.microsoft.com/office/drawing/2012/chart" uri="{CE6537A1-D6FC-4f65-9D91-7224C49458BB}">
                  <c15:layout/>
                </c:ext>
              </c:extLst>
            </c:dLbl>
            <c:numFmt formatCode="General" sourceLinked="1"/>
            <c:spPr>
              <a:noFill/>
              <a:ln w="3175">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ct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'[天主教-2021年决算公开（调整公开图表1-7，插入图片相应位置）20220825.xls]图5'!$D$2:$F$2</c:f>
              <c:strCache>
                <c:ptCount val="3"/>
                <c:pt idx="0">
                  <c:v>2021年</c:v>
                </c:pt>
                <c:pt idx="1">
                  <c:v>2020年</c:v>
                </c:pt>
                <c:pt idx="2">
                  <c:v>增加额</c:v>
                </c:pt>
              </c:strCache>
            </c:strRef>
          </c:cat>
          <c:val>
            <c:numRef>
              <c:f>'[天主教-2021年决算公开（调整公开图表1-7，插入图片相应位置）20220825.xls]图5'!$D$3:$F$3</c:f>
              <c:numCache>
                <c:formatCode>General</c:formatCode>
                <c:ptCount val="3"/>
                <c:pt idx="0">
                  <c:v>180.09</c:v>
                </c:pt>
                <c:pt idx="1">
                  <c:v>128.88</c:v>
                </c:pt>
                <c:pt idx="2">
                  <c:v>51.21</c:v>
                </c:pt>
              </c:numCache>
            </c:numRef>
          </c:val>
        </c:ser>
        <c:dLbls>
          <c:showLegendKey val="0"/>
          <c:showVal val="0"/>
          <c:showCatName val="0"/>
          <c:showSerName val="0"/>
          <c:showPercent val="0"/>
          <c:showBubbleSize val="0"/>
        </c:dLbls>
        <c:gapWidth val="150"/>
        <c:overlap val="100"/>
        <c:axId val="647691621"/>
        <c:axId val="211562844"/>
      </c:barChart>
      <c:catAx>
        <c:axId val="647691621"/>
        <c:scaling>
          <c:orientation val="minMax"/>
        </c:scaling>
        <c:delete val="0"/>
        <c:axPos val="b"/>
        <c:majorTickMark val="out"/>
        <c:minorTickMark val="none"/>
        <c:tickLblPos val="nextTo"/>
        <c:txPr>
          <a:bodyPr rot="0" spcFirstLastPara="0" vertOverflow="ellipsis" vert="horz" wrap="square"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crossAx val="211562844"/>
        <c:crosses val="autoZero"/>
        <c:auto val="1"/>
        <c:lblAlgn val="ctr"/>
        <c:lblOffset val="100"/>
        <c:noMultiLvlLbl val="0"/>
      </c:catAx>
      <c:valAx>
        <c:axId val="211562844"/>
        <c:scaling>
          <c:orientation val="minMax"/>
        </c:scaling>
        <c:delete val="0"/>
        <c:axPos val="l"/>
        <c:majorGridlines/>
        <c:numFmt formatCode="General" sourceLinked="1"/>
        <c:majorTickMark val="out"/>
        <c:minorTickMark val="none"/>
        <c:tickLblPos val="nextTo"/>
        <c:txPr>
          <a:bodyPr rot="0" spcFirstLastPara="0" vertOverflow="ellipsis" vert="horz" wrap="square"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crossAx val="647691621"/>
        <c:crosses val="autoZero"/>
        <c:crossBetween val="between"/>
      </c:valAx>
      <c:spPr>
        <a:solidFill>
          <a:srgbClr val="FFFFFF">
            <a:alpha val="100000"/>
          </a:srgbClr>
        </a:solidFill>
        <a:ln w="3175">
          <a:noFill/>
        </a:ln>
      </c:spPr>
    </c:plotArea>
    <c:plotVisOnly val="1"/>
    <c:dispBlanksAs val="gap"/>
    <c:showDLblsOverMax val="0"/>
  </c:chart>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0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r>
              <a:t>单位：万元、％</a:t>
            </a:r>
            <a:endParaRPr sz="1000" b="0" i="0" u="none" strike="noStrike" baseline="0">
              <a:solidFill>
                <a:srgbClr val="333333">
                  <a:alpha val="100000"/>
                </a:srgbClr>
              </a:solidFill>
              <a:latin typeface="宋体" panose="02010600030101010101" charset="-122"/>
              <a:ea typeface="宋体" panose="02010600030101010101" charset="-122"/>
              <a:cs typeface="宋体" panose="02010600030101010101" charset="-122"/>
            </a:endParaRPr>
          </a:p>
        </c:rich>
      </c:tx>
      <c:layout>
        <c:manualLayout>
          <c:xMode val="edge"/>
          <c:yMode val="edge"/>
          <c:x val="0.744178181631851"/>
          <c:y val="0.0782129037993962"/>
        </c:manualLayout>
      </c:layout>
      <c:overlay val="0"/>
    </c:title>
    <c:autoTitleDeleted val="0"/>
    <c:view3D>
      <c:rotX val="75"/>
      <c:rotY val="0"/>
      <c:depthPercent val="100"/>
      <c:rAngAx val="0"/>
      <c:perspective val="0"/>
    </c:view3D>
    <c:floor>
      <c:thickness val="0"/>
    </c:floor>
    <c:sideWall>
      <c:thickness val="0"/>
    </c:sideWall>
    <c:backWall>
      <c:thickness val="0"/>
    </c:backWall>
    <c:plotArea>
      <c:layout>
        <c:manualLayout>
          <c:layoutTarget val="inner"/>
          <c:xMode val="edge"/>
          <c:yMode val="edge"/>
          <c:x val="0.0757581875280395"/>
          <c:y val="0.172274573517465"/>
          <c:w val="0.650524899057873"/>
          <c:h val="0.721657189277011"/>
        </c:manualLayout>
      </c:layout>
      <c:pie3DChart>
        <c:varyColors val="1"/>
        <c:ser>
          <c:idx val="0"/>
          <c:order val="0"/>
          <c:tx>
            <c:strRef>
              <c:f>'[天主教-2021年决算公开（调整公开图表1-7，插入图片相应位置）20220825.xls]图6 '!$B$2</c:f>
              <c:strCache>
                <c:ptCount val="1"/>
                <c:pt idx="0">
                  <c:v>金额</c:v>
                </c:pt>
              </c:strCache>
            </c:strRef>
          </c:tx>
          <c:spPr>
            <a:ln>
              <a:solidFill>
                <a:schemeClr val="accent1"/>
              </a:solidFill>
            </a:ln>
          </c:spPr>
          <c:explosion val="0"/>
          <c:dPt>
            <c:idx val="0"/>
            <c:bubble3D val="0"/>
            <c:explosion val="0"/>
            <c:spPr>
              <a:solidFill>
                <a:srgbClr val="5B9BD5">
                  <a:alpha val="100000"/>
                </a:srgbClr>
              </a:solidFill>
              <a:ln w="19050">
                <a:solidFill>
                  <a:schemeClr val="accent1">
                    <a:alpha val="100000"/>
                  </a:schemeClr>
                </a:solidFill>
                <a:prstDash val="solid"/>
              </a:ln>
            </c:spPr>
          </c:dPt>
          <c:dPt>
            <c:idx val="1"/>
            <c:bubble3D val="0"/>
            <c:explosion val="0"/>
            <c:spPr>
              <a:solidFill>
                <a:srgbClr val="ED7D31">
                  <a:alpha val="100000"/>
                </a:srgbClr>
              </a:solidFill>
              <a:ln w="19050">
                <a:solidFill>
                  <a:schemeClr val="accent1">
                    <a:alpha val="100000"/>
                  </a:schemeClr>
                </a:solidFill>
                <a:prstDash val="solid"/>
              </a:ln>
            </c:spPr>
          </c:dPt>
          <c:dPt>
            <c:idx val="2"/>
            <c:bubble3D val="0"/>
            <c:explosion val="0"/>
            <c:spPr>
              <a:solidFill>
                <a:srgbClr val="A5A5A5">
                  <a:alpha val="100000"/>
                </a:srgbClr>
              </a:solidFill>
              <a:ln w="19050">
                <a:solidFill>
                  <a:schemeClr val="accent1">
                    <a:alpha val="100000"/>
                  </a:schemeClr>
                </a:solidFill>
                <a:prstDash val="solid"/>
              </a:ln>
            </c:spPr>
          </c:dPt>
          <c:dPt>
            <c:idx val="3"/>
            <c:bubble3D val="0"/>
            <c:explosion val="0"/>
            <c:spPr>
              <a:solidFill>
                <a:srgbClr val="FFC000">
                  <a:alpha val="100000"/>
                </a:srgbClr>
              </a:solidFill>
              <a:ln w="19050">
                <a:solidFill>
                  <a:schemeClr val="accent1">
                    <a:alpha val="100000"/>
                  </a:schemeClr>
                </a:solidFill>
                <a:prstDash val="solid"/>
              </a:ln>
            </c:spPr>
          </c:dPt>
          <c:dPt>
            <c:idx val="4"/>
            <c:bubble3D val="0"/>
            <c:explosion val="0"/>
            <c:spPr>
              <a:solidFill>
                <a:srgbClr val="4472C4">
                  <a:alpha val="100000"/>
                </a:srgbClr>
              </a:solidFill>
              <a:ln w="19050">
                <a:solidFill>
                  <a:schemeClr val="accent1">
                    <a:alpha val="100000"/>
                  </a:schemeClr>
                </a:solidFill>
                <a:prstDash val="solid"/>
              </a:ln>
            </c:spPr>
          </c:dPt>
          <c:dLbls>
            <c:dLbl>
              <c:idx val="0"/>
              <c:layout>
                <c:manualLayout>
                  <c:x val="0.0576192002436924"/>
                  <c:y val="-0.0514407860987092"/>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1"/>
              <c:layout>
                <c:manualLayout>
                  <c:x val="0.000658928640569552"/>
                  <c:y val="0.057848496245819"/>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2"/>
              <c:layout>
                <c:manualLayout>
                  <c:x val="-0.0235799013647908"/>
                  <c:y val="0.0732918200469269"/>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3"/>
              <c:layout>
                <c:manualLayout>
                  <c:x val="-0.0369880142885863"/>
                  <c:y val="-0.042102530748664"/>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4"/>
              <c:layout>
                <c:manualLayout>
                  <c:x val="0.0691708106970567"/>
                  <c:y val="0.0448029013458044"/>
                </c:manualLayout>
              </c:layout>
              <c:numFmt formatCode="0.00%" sourceLinked="0"/>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manualLayout>
                      <c:w val="0.230280331403927"/>
                      <c:h val="0.121242891957758"/>
                    </c:manualLayout>
                  </c15:layout>
                </c:ext>
              </c:extLst>
            </c:dLbl>
            <c:numFmt formatCode="0.00%" sourceLinked="0"/>
            <c:spPr>
              <a:noFill/>
              <a:ln w="3175">
                <a:noFill/>
              </a:ln>
              <a:effectLst/>
            </c:spPr>
            <c:txPr>
              <a:bodyPr rot="0" spcFirstLastPara="0" vertOverflow="ellipsis" vert="horz" wrap="square" lIns="38100" tIns="19050" rIns="38100" bIns="19050" anchor="ctr" anchorCtr="1"/>
              <a:lstStyle/>
              <a:p>
                <a:pPr>
                  <a:defRPr lang="zh-CN" sz="1000" b="0" i="0" u="none" strike="noStrike" kern="1200" baseline="0">
                    <a:solidFill>
                      <a:srgbClr val="000000">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showLeaderLines val="0"/>
            <c:extLst>
              <c:ext xmlns:c15="http://schemas.microsoft.com/office/drawing/2012/chart" uri="{CE6537A1-D6FC-4f65-9D91-7224C49458BB}">
                <c15:layout/>
                <c15:showLeaderLines val="0"/>
                <c15:leaderLines>
                  <c:spPr>
                    <a:ln w="9525" cap="flat" cmpd="sng" algn="ctr">
                      <a:solidFill>
                        <a:srgbClr val="000000">
                          <a:alpha val="100000"/>
                        </a:srgbClr>
                      </a:solidFill>
                      <a:prstDash val="solid"/>
                      <a:round/>
                    </a:ln>
                  </c:spPr>
                </c15:leaderLines>
              </c:ext>
            </c:extLst>
          </c:dLbls>
          <c:cat>
            <c:strRef>
              <c:f>'[天主教-2021年决算公开（调整公开图表1-7，插入图片相应位置）20220825.xls]图6 '!$A$3:$A$7</c:f>
              <c:strCache>
                <c:ptCount val="5"/>
                <c:pt idx="0">
                  <c:v>一般公共服务（类）</c:v>
                </c:pt>
                <c:pt idx="1">
                  <c:v>教育支出（类）</c:v>
                </c:pt>
                <c:pt idx="2">
                  <c:v>社会保障和就业（类）</c:v>
                </c:pt>
                <c:pt idx="3">
                  <c:v>卫生健康（类）</c:v>
                </c:pt>
                <c:pt idx="4">
                  <c:v>住房保障（类）</c:v>
                </c:pt>
              </c:strCache>
            </c:strRef>
          </c:cat>
          <c:val>
            <c:numRef>
              <c:f>'[天主教-2021年决算公开（调整公开图表1-7，插入图片相应位置）20220825.xls]图6 '!$B$3:$B$7</c:f>
              <c:numCache>
                <c:formatCode>#,##0.00</c:formatCode>
                <c:ptCount val="5"/>
                <c:pt idx="0">
                  <c:v>147.1</c:v>
                </c:pt>
                <c:pt idx="1">
                  <c:v>6.88</c:v>
                </c:pt>
                <c:pt idx="2">
                  <c:v>18.21</c:v>
                </c:pt>
                <c:pt idx="3">
                  <c:v>4</c:v>
                </c:pt>
                <c:pt idx="4">
                  <c:v>3.9</c:v>
                </c:pt>
              </c:numCache>
            </c:numRef>
          </c:val>
        </c:ser>
        <c:dLbls>
          <c:showLegendKey val="0"/>
          <c:showVal val="0"/>
          <c:showCatName val="0"/>
          <c:showSerName val="0"/>
          <c:showPercent val="0"/>
          <c:showBubbleSize val="0"/>
        </c:dLbls>
      </c:pie3DChart>
      <c:spPr>
        <a:noFill/>
        <a:ln w="3175">
          <a:noFill/>
        </a:ln>
      </c:spPr>
    </c:plotArea>
    <c:legend>
      <c:legendPos val="r"/>
      <c:layout>
        <c:manualLayout>
          <c:xMode val="edge"/>
          <c:yMode val="edge"/>
          <c:x val="0.735011455525607"/>
          <c:y val="0.157491820345033"/>
          <c:w val="0.202458424833431"/>
          <c:h val="0.370643108154703"/>
        </c:manualLayout>
      </c:layout>
      <c:overlay val="0"/>
      <c:spPr>
        <a:noFill/>
        <a:ln w="3175">
          <a:noFill/>
        </a:ln>
      </c:spPr>
      <c:txPr>
        <a:bodyPr rot="0" spcFirstLastPara="0" vertOverflow="ellipsis" vert="horz" wrap="square" anchor="ctr" anchorCtr="1"/>
        <a:lstStyle/>
        <a:p>
          <a:pPr>
            <a:defRPr lang="zh-CN" sz="755" b="0" i="0" u="none" strike="noStrike" kern="1200" baseline="0">
              <a:solidFill>
                <a:srgbClr val="333333"/>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noFill/>
    <a:ln w="9525" cap="flat" cmpd="sng" algn="ctr">
      <a:noFill/>
      <a:prstDash val="solid"/>
      <a:round/>
    </a:ln>
    <a:effectLst/>
  </c:spPr>
  <c:txPr>
    <a:bodyPr rot="0" wrap="square" anchor="ctr" anchorCtr="1"/>
    <a:lstStyle/>
    <a:p>
      <a:pPr>
        <a:defRPr lang="zh-CN" sz="10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0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r>
              <a:t>单位：万元、％</a:t>
            </a:r>
            <a:endParaRPr sz="1000" b="0" i="0" u="none" strike="noStrike" baseline="0">
              <a:solidFill>
                <a:srgbClr val="333333">
                  <a:alpha val="100000"/>
                </a:srgbClr>
              </a:solidFill>
              <a:latin typeface="宋体" panose="02010600030101010101" charset="-122"/>
              <a:ea typeface="宋体" panose="02010600030101010101" charset="-122"/>
              <a:cs typeface="宋体" panose="02010600030101010101" charset="-122"/>
            </a:endParaRPr>
          </a:p>
        </c:rich>
      </c:tx>
      <c:layout>
        <c:manualLayout>
          <c:xMode val="edge"/>
          <c:yMode val="edge"/>
          <c:x val="0.762049180437826"/>
          <c:y val="0.0903669570425251"/>
        </c:manualLayout>
      </c:layout>
      <c:overlay val="0"/>
    </c:title>
    <c:autoTitleDeleted val="0"/>
    <c:view3D>
      <c:rotX val="40"/>
      <c:rotY val="0"/>
      <c:depthPercent val="100"/>
      <c:rAngAx val="0"/>
      <c:perspective val="0"/>
    </c:view3D>
    <c:floor>
      <c:thickness val="0"/>
    </c:floor>
    <c:sideWall>
      <c:thickness val="0"/>
    </c:sideWall>
    <c:backWall>
      <c:thickness val="0"/>
    </c:backWall>
    <c:plotArea>
      <c:layout>
        <c:manualLayout>
          <c:layoutTarget val="inner"/>
          <c:xMode val="edge"/>
          <c:yMode val="edge"/>
          <c:x val="0.298961817972084"/>
          <c:y val="0.18171270718232"/>
          <c:w val="0.40553697081555"/>
          <c:h val="0.64744014732965"/>
        </c:manualLayout>
      </c:layout>
      <c:pie3DChart>
        <c:varyColors val="1"/>
        <c:ser>
          <c:idx val="0"/>
          <c:order val="0"/>
          <c:explosion val="0"/>
          <c:dPt>
            <c:idx val="0"/>
            <c:bubble3D val="0"/>
            <c:explosion val="0"/>
            <c:spPr>
              <a:solidFill>
                <a:srgbClr val="5B9BD5">
                  <a:alpha val="100000"/>
                </a:srgbClr>
              </a:solidFill>
              <a:ln w="19050">
                <a:solidFill>
                  <a:srgbClr val="FFFFFF">
                    <a:alpha val="100000"/>
                  </a:srgbClr>
                </a:solidFill>
                <a:prstDash val="solid"/>
              </a:ln>
            </c:spPr>
          </c:dPt>
          <c:dPt>
            <c:idx val="1"/>
            <c:bubble3D val="0"/>
            <c:explosion val="0"/>
            <c:spPr>
              <a:solidFill>
                <a:srgbClr val="ED7D31">
                  <a:alpha val="100000"/>
                </a:srgbClr>
              </a:solidFill>
              <a:ln w="19050">
                <a:solidFill>
                  <a:srgbClr val="FFFFFF">
                    <a:alpha val="100000"/>
                  </a:srgbClr>
                </a:solidFill>
                <a:prstDash val="solid"/>
              </a:ln>
            </c:spPr>
          </c:dPt>
          <c:dPt>
            <c:idx val="2"/>
            <c:bubble3D val="0"/>
            <c:explosion val="0"/>
            <c:spPr>
              <a:solidFill>
                <a:srgbClr val="A5A5A5">
                  <a:alpha val="100000"/>
                </a:srgbClr>
              </a:solidFill>
              <a:ln w="19050">
                <a:solidFill>
                  <a:srgbClr val="FFFFFF">
                    <a:alpha val="100000"/>
                  </a:srgbClr>
                </a:solidFill>
                <a:prstDash val="solid"/>
              </a:ln>
            </c:spPr>
          </c:dPt>
          <c:dLbls>
            <c:dLbl>
              <c:idx val="0"/>
              <c:layout>
                <c:manualLayout>
                  <c:x val="0.115757795900512"/>
                  <c:y val="-0.0221492854475355"/>
                </c:manualLayout>
              </c:layout>
              <c:numFmt formatCode="0.00%" sourceLinked="0"/>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1"/>
              <c:layout>
                <c:manualLayout>
                  <c:x val="-0.446481494500687"/>
                  <c:y val="-0.192716929922838"/>
                </c:manualLayout>
              </c:layout>
              <c:numFmt formatCode="0.00%" sourceLinked="0"/>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dLbl>
              <c:idx val="2"/>
              <c:layout>
                <c:manualLayout>
                  <c:x val="0.000233955130608583"/>
                  <c:y val="-0.0159213440003367"/>
                </c:manualLayout>
              </c:layout>
              <c:numFmt formatCode="0.00%" sourceLinked="0"/>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bestFit"/>
              <c:showLegendKey val="0"/>
              <c:showVal val="1"/>
              <c:showCatName val="1"/>
              <c:showSerName val="0"/>
              <c:showPercent val="1"/>
              <c:showBubbleSize val="0"/>
              <c:extLst>
                <c:ext xmlns:c15="http://schemas.microsoft.com/office/drawing/2012/chart" uri="{CE6537A1-D6FC-4f65-9D91-7224C49458BB}">
                  <c15:layout/>
                </c:ext>
              </c:extLst>
            </c:dLbl>
            <c:numFmt formatCode="0.00%" sourceLinked="0"/>
            <c:spPr>
              <a:noFill/>
              <a:ln w="3175">
                <a:noFill/>
              </a:ln>
              <a:effectLst/>
            </c:spPr>
            <c:txPr>
              <a:bodyPr rot="0" spcFirstLastPara="0" vertOverflow="ellipsis" vert="horz" wrap="square" lIns="38100" tIns="19050" rIns="38100" bIns="19050" anchor="ctr" anchorCtr="1"/>
              <a:lstStyle/>
              <a:p>
                <a:pPr>
                  <a:defRPr lang="zh-CN" sz="900" b="0" i="0" u="none" strike="noStrike" kern="1200" baseline="0">
                    <a:solidFill>
                      <a:srgbClr val="333333">
                        <a:alpha val="100000"/>
                      </a:srgbClr>
                    </a:solidFill>
                    <a:latin typeface="宋体" panose="02010600030101010101" charset="-122"/>
                    <a:ea typeface="宋体" panose="02010600030101010101" charset="-122"/>
                    <a:cs typeface="宋体" panose="02010600030101010101" charset="-122"/>
                  </a:defRPr>
                </a:pPr>
              </a:p>
            </c:txPr>
            <c:dLblPos val="outEnd"/>
            <c:showLegendKey val="0"/>
            <c:showVal val="1"/>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rgbClr val="969696">
                          <a:alpha val="100000"/>
                        </a:srgbClr>
                      </a:solidFill>
                      <a:prstDash val="solid"/>
                      <a:round/>
                    </a:ln>
                  </c:spPr>
                </c15:leaderLines>
              </c:ext>
            </c:extLst>
          </c:dLbls>
          <c:cat>
            <c:strRef>
              <c:f>'[天主教-2021年决算公开（调整公开图表1-7，插入图片相应位置）20220825.xls]图7'!$A$4:$A$6</c:f>
              <c:strCache>
                <c:ptCount val="3"/>
                <c:pt idx="0">
                  <c:v>因公出国（境）费用</c:v>
                </c:pt>
                <c:pt idx="1">
                  <c:v>公务用车购置及运行费</c:v>
                </c:pt>
                <c:pt idx="2">
                  <c:v>公务接待费</c:v>
                </c:pt>
              </c:strCache>
            </c:strRef>
          </c:cat>
          <c:val>
            <c:numRef>
              <c:f>'[天主教-2021年决算公开（调整公开图表1-7，插入图片相应位置）20220825.xls]图7'!$B$4:$B$6</c:f>
              <c:numCache>
                <c:formatCode>General</c:formatCode>
                <c:ptCount val="3"/>
                <c:pt idx="0">
                  <c:v>0</c:v>
                </c:pt>
                <c:pt idx="1" c:formatCode="#,##0.00">
                  <c:v>1.29</c:v>
                </c:pt>
                <c:pt idx="2" c:formatCode="#,##0.00">
                  <c:v>0.18</c:v>
                </c:pt>
              </c:numCache>
            </c:numRef>
          </c:val>
        </c:ser>
        <c:dLbls>
          <c:showLegendKey val="0"/>
          <c:showVal val="0"/>
          <c:showCatName val="0"/>
          <c:showSerName val="0"/>
          <c:showPercent val="0"/>
          <c:showBubbleSize val="0"/>
        </c:dLbls>
      </c:pie3DChart>
      <c:spPr>
        <a:noFill/>
        <a:ln w="3175">
          <a:noFill/>
        </a:ln>
      </c:spPr>
    </c:plotArea>
    <c:legend>
      <c:legendPos val="r"/>
      <c:layout>
        <c:manualLayout>
          <c:xMode val="edge"/>
          <c:yMode val="edge"/>
          <c:x val="0.136212914707004"/>
          <c:y val="0.795996497145823"/>
          <c:w val="0.6795"/>
          <c:h val="0.04325"/>
        </c:manualLayout>
      </c:layout>
      <c:overlay val="0"/>
      <c:spPr>
        <a:noFill/>
        <a:ln w="3175">
          <a:noFill/>
        </a:ln>
      </c:spPr>
      <c:txPr>
        <a:bodyPr rot="0" spcFirstLastPara="0" vertOverflow="ellipsis" vert="horz" wrap="square" anchor="ctr" anchorCtr="1"/>
        <a:lstStyle/>
        <a:p>
          <a:pPr>
            <a:defRPr lang="zh-CN" sz="755" b="0" i="0" u="none" strike="noStrike" kern="1200" baseline="0">
              <a:solidFill>
                <a:srgbClr val="333333"/>
              </a:solidFill>
              <a:latin typeface="宋体" panose="02010600030101010101" charset="-122"/>
              <a:ea typeface="宋体" panose="02010600030101010101" charset="-122"/>
              <a:cs typeface="宋体" panose="02010600030101010101" charset="-122"/>
            </a:defRPr>
          </a:pPr>
        </a:p>
      </c:txPr>
    </c:legend>
    <c:plotVisOnly val="1"/>
    <c:dispBlanksAs val="gap"/>
    <c:showDLblsOverMax val="0"/>
  </c:chart>
  <c:spPr>
    <a:noFill/>
    <a:ln w="9525" cap="flat" cmpd="sng" algn="ctr">
      <a:solidFill>
        <a:schemeClr val="tx1">
          <a:lumMod val="15000"/>
          <a:lumOff val="85000"/>
        </a:schemeClr>
      </a:solidFill>
      <a:prstDash val="solid"/>
      <a:round/>
    </a:ln>
    <a:effectLst/>
  </c:spPr>
  <c:txPr>
    <a:bodyPr rot="0" wrap="square" anchor="ctr" anchorCtr="1"/>
    <a:lstStyle/>
    <a:p>
      <a:pPr>
        <a:defRPr lang="zh-CN" sz="900" b="0" i="0" u="none" strike="noStrike" baseline="0">
          <a:solidFill>
            <a:srgbClr val="000000">
              <a:alpha val="100000"/>
            </a:srgbClr>
          </a:solidFill>
          <a:latin typeface="宋体" panose="02010600030101010101" charset="-122"/>
          <a:ea typeface="宋体" panose="02010600030101010101" charset="-122"/>
          <a:cs typeface="宋体" panose="02010600030101010101" charset="-122"/>
        </a:defRPr>
      </a:pP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22</Pages>
  <Words>7162</Words>
  <Characters>9901</Characters>
  <Lines>61</Lines>
  <Paragraphs>17</Paragraphs>
  <TotalTime>1</TotalTime>
  <ScaleCrop>false</ScaleCrop>
  <LinksUpToDate>false</LinksUpToDate>
  <CharactersWithSpaces>9938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Administrator</cp:lastModifiedBy>
  <cp:lastPrinted>2022-08-06T02:23:00Z</cp:lastPrinted>
  <dcterms:modified xsi:type="dcterms:W3CDTF">2023-09-18T01:39:57Z</dcterms:modified>
  <dc:title>四川省***</dc:title>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A55B7890F1C94464A897CD6A841E0BF9</vt:lpwstr>
  </property>
</Properties>
</file>