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597"/>
      <w:bookmarkStart w:id="2" w:name="_Toc15378441"/>
      <w:bookmarkStart w:id="3" w:name="_Toc15377425"/>
      <w:bookmarkStart w:id="4" w:name="_Toc15377193"/>
      <w:bookmarkStart w:id="5" w:name="_Toc15396475"/>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7426"/>
      <w:bookmarkStart w:id="7" w:name="_Toc15377194"/>
      <w:bookmarkStart w:id="8" w:name="_Toc15378442"/>
      <w:bookmarkStart w:id="9" w:name="_Toc15396598"/>
      <w:bookmarkStart w:id="10" w:name="_Toc15396476"/>
      <w:r>
        <w:rPr>
          <w:rFonts w:hint="eastAsia" w:ascii="方正小标宋简体" w:hAnsi="方正小标宋简体" w:eastAsia="方正小标宋简体" w:cs="方正小标宋简体"/>
          <w:sz w:val="72"/>
          <w:szCs w:val="72"/>
        </w:rPr>
        <w:t>四川省</w:t>
      </w:r>
      <w:bookmarkEnd w:id="0"/>
      <w:bookmarkStart w:id="11" w:name="_Toc15306268"/>
      <w:r>
        <w:rPr>
          <w:rFonts w:hint="eastAsia" w:ascii="方正小标宋简体" w:hAnsi="方正小标宋简体" w:eastAsia="方正小标宋简体" w:cs="方正小标宋简体"/>
          <w:sz w:val="72"/>
          <w:szCs w:val="72"/>
        </w:rPr>
        <w:t>藏文学校</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单位决算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sz w:val="52"/>
          <w:szCs w:val="52"/>
        </w:rPr>
      </w:pP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公开时间：2022年9月9日</w:t>
      </w:r>
    </w:p>
    <w:p/>
    <w:p>
      <w:pPr>
        <w:pStyle w:val="10"/>
        <w:adjustRightInd w:val="0"/>
        <w:snapToGrid w:val="0"/>
        <w:spacing w:before="0" w:line="440" w:lineRule="exact"/>
        <w:jc w:val="left"/>
        <w:rPr>
          <w:rFonts w:ascii="Times New Roman" w:hAnsi="Times New Roman" w:eastAsia="宋体"/>
          <w:sz w:val="24"/>
          <w:szCs w:val="24"/>
        </w:rPr>
      </w:pPr>
      <w:r>
        <w:rPr>
          <w:rFonts w:hint="eastAsia"/>
          <w:sz w:val="24"/>
        </w:rPr>
        <w:t>第一部分</w:t>
      </w:r>
      <w:r>
        <w:rPr>
          <w:sz w:val="24"/>
        </w:rPr>
        <w:t xml:space="preserve"> </w:t>
      </w:r>
      <w:r>
        <w:rPr>
          <w:rFonts w:hint="eastAsia"/>
          <w:sz w:val="24"/>
        </w:rPr>
        <w:t>单位概况</w:t>
      </w:r>
      <w:r>
        <w:rPr>
          <w:rFonts w:hint="eastAsia" w:ascii="Times New Roman" w:hAnsi="Times New Roman"/>
          <w:sz w:val="24"/>
          <w:szCs w:val="24"/>
        </w:rPr>
        <w:t>....................................................................................................</w:t>
      </w:r>
      <w:r>
        <w:rPr>
          <w:rFonts w:hint="eastAsia" w:ascii="Times New Roman" w:hAnsi="Times New Roman" w:eastAsia="宋体"/>
          <w:sz w:val="24"/>
          <w:szCs w:val="24"/>
        </w:rPr>
        <w:t>..4</w:t>
      </w:r>
    </w:p>
    <w:p>
      <w:pPr>
        <w:pStyle w:val="12"/>
        <w:adjustRightInd w:val="0"/>
        <w:snapToGrid w:val="0"/>
        <w:spacing w:line="440" w:lineRule="exact"/>
        <w:jc w:val="left"/>
        <w:rPr>
          <w:sz w:val="24"/>
        </w:rPr>
      </w:pPr>
      <w:r>
        <w:rPr>
          <w:rFonts w:hint="eastAsia"/>
          <w:sz w:val="24"/>
        </w:rPr>
        <w:t>一、职能简介.........................................................................................................4</w:t>
      </w:r>
    </w:p>
    <w:p>
      <w:pPr>
        <w:pStyle w:val="12"/>
        <w:adjustRightInd w:val="0"/>
        <w:snapToGrid w:val="0"/>
        <w:spacing w:line="440" w:lineRule="exact"/>
        <w:jc w:val="left"/>
        <w:rPr>
          <w:rFonts w:hint="eastAsia" w:eastAsia="仿宋"/>
          <w:sz w:val="24"/>
        </w:rPr>
      </w:pPr>
      <w:r>
        <w:rPr>
          <w:rFonts w:hint="eastAsia" w:asciiTheme="minorEastAsia" w:hAnsiTheme="minorEastAsia" w:eastAsiaTheme="minorEastAsia" w:cstheme="minorEastAsia"/>
          <w:sz w:val="24"/>
        </w:rPr>
        <w:t>二、2021年重点工作完成情况</w:t>
      </w:r>
      <w:r>
        <w:rPr>
          <w:rFonts w:hint="eastAsia"/>
          <w:sz w:val="24"/>
        </w:rPr>
        <w:t>............................................................................</w:t>
      </w:r>
      <w:r>
        <w:rPr>
          <w:rFonts w:hint="eastAsia" w:eastAsia="仿宋"/>
          <w:sz w:val="24"/>
        </w:rPr>
        <w:t>4</w:t>
      </w:r>
    </w:p>
    <w:p>
      <w:pPr>
        <w:pStyle w:val="12"/>
        <w:adjustRightInd w:val="0"/>
        <w:snapToGrid w:val="0"/>
        <w:spacing w:line="440" w:lineRule="exact"/>
        <w:jc w:val="left"/>
        <w:rPr>
          <w:rFonts w:eastAsia="仿宋"/>
          <w:sz w:val="24"/>
        </w:rPr>
      </w:pPr>
      <w:r>
        <w:rPr>
          <w:rFonts w:hint="eastAsia" w:ascii="宋体" w:hAnsi="宋体"/>
        </w:rPr>
        <w:t>三</w:t>
      </w:r>
      <w:r>
        <w:rPr>
          <w:rFonts w:hint="eastAsia" w:ascii="宋体" w:hAnsi="宋体" w:cstheme="minorEastAsia"/>
          <w:sz w:val="24"/>
        </w:rPr>
        <w:t>、机构设置情况</w:t>
      </w:r>
      <w:r>
        <w:rPr>
          <w:rFonts w:hint="eastAsia" w:eastAsia="仿宋"/>
          <w:sz w:val="24"/>
        </w:rPr>
        <w:t>.................................................................................................10</w:t>
      </w:r>
    </w:p>
    <w:p>
      <w:pPr>
        <w:pStyle w:val="10"/>
        <w:adjustRightInd w:val="0"/>
        <w:snapToGrid w:val="0"/>
        <w:spacing w:before="0" w:line="440" w:lineRule="exact"/>
        <w:jc w:val="left"/>
        <w:rPr>
          <w:sz w:val="24"/>
          <w:szCs w:val="24"/>
        </w:rPr>
      </w:pPr>
      <w:r>
        <w:rPr>
          <w:rFonts w:hint="eastAsia"/>
          <w:sz w:val="24"/>
        </w:rPr>
        <w:t>第二部分 2021年度单位决算情况说明</w:t>
      </w:r>
      <w:r>
        <w:rPr>
          <w:rFonts w:hint="eastAsia" w:ascii="Times New Roman" w:hAnsi="Times New Roman"/>
          <w:sz w:val="24"/>
          <w:szCs w:val="24"/>
        </w:rPr>
        <w:t>....................................................................11</w:t>
      </w:r>
    </w:p>
    <w:p>
      <w:pPr>
        <w:pStyle w:val="12"/>
        <w:adjustRightInd w:val="0"/>
        <w:snapToGrid w:val="0"/>
        <w:spacing w:line="440" w:lineRule="exact"/>
        <w:jc w:val="left"/>
        <w:rPr>
          <w:sz w:val="24"/>
        </w:rPr>
      </w:pPr>
      <w:r>
        <w:rPr>
          <w:rFonts w:hint="eastAsia"/>
          <w:sz w:val="24"/>
        </w:rPr>
        <w:t>一、收入支出决算总体情况说明........................................................................11</w:t>
      </w:r>
    </w:p>
    <w:p>
      <w:pPr>
        <w:pStyle w:val="12"/>
        <w:adjustRightInd w:val="0"/>
        <w:snapToGrid w:val="0"/>
        <w:spacing w:line="440" w:lineRule="exact"/>
        <w:jc w:val="left"/>
        <w:rPr>
          <w:rFonts w:ascii="仿宋" w:hAnsi="仿宋" w:cstheme="minorBidi"/>
          <w:sz w:val="24"/>
        </w:rPr>
      </w:pPr>
      <w:r>
        <w:rPr>
          <w:rFonts w:hint="eastAsia"/>
          <w:sz w:val="24"/>
        </w:rPr>
        <w:t>二、收入决算情况说明.......................................................................................11</w:t>
      </w:r>
    </w:p>
    <w:p>
      <w:pPr>
        <w:pStyle w:val="12"/>
        <w:adjustRightInd w:val="0"/>
        <w:snapToGrid w:val="0"/>
        <w:spacing w:line="440" w:lineRule="exact"/>
        <w:jc w:val="left"/>
        <w:rPr>
          <w:rFonts w:ascii="仿宋" w:hAnsi="仿宋" w:cstheme="minorBidi"/>
          <w:sz w:val="24"/>
        </w:rPr>
      </w:pPr>
      <w:r>
        <w:rPr>
          <w:rFonts w:hint="eastAsia"/>
          <w:sz w:val="24"/>
        </w:rPr>
        <w:t>三、支出决算情况说明.......................................................................................12</w:t>
      </w:r>
    </w:p>
    <w:p>
      <w:pPr>
        <w:pStyle w:val="12"/>
        <w:adjustRightInd w:val="0"/>
        <w:snapToGrid w:val="0"/>
        <w:spacing w:line="440" w:lineRule="exact"/>
        <w:jc w:val="left"/>
        <w:rPr>
          <w:sz w:val="24"/>
        </w:rPr>
      </w:pPr>
      <w:r>
        <w:rPr>
          <w:rFonts w:hint="eastAsia"/>
          <w:sz w:val="24"/>
        </w:rPr>
        <w:t>四、财政拨款收入支出决算总体情况说明.......................................................13</w:t>
      </w:r>
    </w:p>
    <w:p>
      <w:pPr>
        <w:pStyle w:val="12"/>
        <w:adjustRightInd w:val="0"/>
        <w:snapToGrid w:val="0"/>
        <w:spacing w:line="440" w:lineRule="exact"/>
        <w:jc w:val="left"/>
        <w:rPr>
          <w:sz w:val="24"/>
        </w:rPr>
      </w:pPr>
      <w:r>
        <w:rPr>
          <w:rFonts w:hint="eastAsia"/>
          <w:sz w:val="24"/>
        </w:rPr>
        <w:t>五、一般公共预算财政拨款支出决算情况说明...............................................13六、一般公共预算财政拨款基本支出决算情况说明.......................................15</w:t>
      </w:r>
    </w:p>
    <w:p>
      <w:pPr>
        <w:pStyle w:val="12"/>
        <w:adjustRightInd w:val="0"/>
        <w:snapToGrid w:val="0"/>
        <w:spacing w:line="440" w:lineRule="exact"/>
        <w:jc w:val="left"/>
        <w:rPr>
          <w:rFonts w:ascii="仿宋" w:hAnsi="仿宋" w:cstheme="minorBidi"/>
          <w:sz w:val="24"/>
        </w:rPr>
      </w:pPr>
      <w:r>
        <w:rPr>
          <w:rFonts w:hint="eastAsia"/>
          <w:sz w:val="24"/>
        </w:rPr>
        <w:t>七、“三公”经费财政拨款支出决算情况说明...............................................15八、政府性基金预算支出决算情况说明...........................................................17</w:t>
      </w:r>
    </w:p>
    <w:p>
      <w:pPr>
        <w:pStyle w:val="12"/>
        <w:adjustRightInd w:val="0"/>
        <w:snapToGrid w:val="0"/>
        <w:spacing w:line="440" w:lineRule="exact"/>
        <w:jc w:val="left"/>
        <w:rPr>
          <w:sz w:val="24"/>
        </w:rPr>
      </w:pPr>
      <w:r>
        <w:rPr>
          <w:rFonts w:hint="eastAsia"/>
          <w:sz w:val="24"/>
        </w:rPr>
        <w:t>九、国有资本经营预算支出决算情况说明.......................................................17</w:t>
      </w:r>
    </w:p>
    <w:p>
      <w:pPr>
        <w:pStyle w:val="12"/>
        <w:adjustRightInd w:val="0"/>
        <w:snapToGrid w:val="0"/>
        <w:spacing w:line="440" w:lineRule="exact"/>
        <w:jc w:val="left"/>
        <w:rPr>
          <w:sz w:val="24"/>
        </w:rPr>
      </w:pPr>
      <w:r>
        <w:rPr>
          <w:rFonts w:hint="eastAsia"/>
          <w:sz w:val="24"/>
        </w:rPr>
        <w:t>十、其他重要事项的情况说明...........................................................................18</w:t>
      </w:r>
    </w:p>
    <w:p>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r>
        <w:rPr>
          <w:rFonts w:hint="eastAsia" w:ascii="Times New Roman" w:hAnsi="Times New Roman"/>
          <w:sz w:val="24"/>
          <w:szCs w:val="24"/>
        </w:rPr>
        <w:t>....................................................................................................20</w:t>
      </w:r>
    </w:p>
    <w:p>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r>
        <w:rPr>
          <w:rFonts w:hint="eastAsia" w:ascii="Times New Roman" w:hAnsi="Times New Roman"/>
          <w:sz w:val="24"/>
          <w:szCs w:val="24"/>
        </w:rPr>
        <w:t>............................................................................................................22</w:t>
      </w:r>
    </w:p>
    <w:p>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r>
        <w:rPr>
          <w:rFonts w:hint="eastAsia" w:ascii="Times New Roman" w:hAnsi="Times New Roman"/>
          <w:sz w:val="24"/>
          <w:szCs w:val="24"/>
        </w:rPr>
        <w:t>............................................................................................................27</w:t>
      </w:r>
    </w:p>
    <w:p>
      <w:pPr>
        <w:pStyle w:val="12"/>
        <w:adjustRightInd w:val="0"/>
        <w:snapToGrid w:val="0"/>
        <w:spacing w:line="440" w:lineRule="exact"/>
        <w:jc w:val="left"/>
        <w:rPr>
          <w:sz w:val="24"/>
        </w:rPr>
      </w:pPr>
      <w:r>
        <w:rPr>
          <w:rFonts w:hint="eastAsia"/>
          <w:sz w:val="24"/>
        </w:rPr>
        <w:t>一、收入支出决算总表.......................................................................................27</w:t>
      </w:r>
    </w:p>
    <w:p>
      <w:pPr>
        <w:pStyle w:val="12"/>
        <w:adjustRightInd w:val="0"/>
        <w:snapToGrid w:val="0"/>
        <w:spacing w:line="440" w:lineRule="exact"/>
        <w:jc w:val="left"/>
        <w:rPr>
          <w:sz w:val="24"/>
        </w:rPr>
      </w:pPr>
      <w:r>
        <w:rPr>
          <w:rFonts w:hint="eastAsia"/>
          <w:sz w:val="24"/>
        </w:rPr>
        <w:t>二、收入决算表...................................................................................................27</w:t>
      </w:r>
    </w:p>
    <w:p>
      <w:pPr>
        <w:pStyle w:val="12"/>
        <w:adjustRightInd w:val="0"/>
        <w:snapToGrid w:val="0"/>
        <w:spacing w:line="440" w:lineRule="exact"/>
        <w:jc w:val="left"/>
        <w:rPr>
          <w:sz w:val="24"/>
        </w:rPr>
      </w:pPr>
      <w:r>
        <w:rPr>
          <w:rFonts w:hint="eastAsia"/>
          <w:sz w:val="24"/>
        </w:rPr>
        <w:t>三、支出决算表...................................................................................................27</w:t>
      </w:r>
    </w:p>
    <w:p>
      <w:pPr>
        <w:pStyle w:val="12"/>
        <w:adjustRightInd w:val="0"/>
        <w:snapToGrid w:val="0"/>
        <w:spacing w:line="440" w:lineRule="exact"/>
        <w:jc w:val="left"/>
        <w:rPr>
          <w:sz w:val="24"/>
        </w:rPr>
      </w:pPr>
      <w:r>
        <w:rPr>
          <w:rFonts w:hint="eastAsia"/>
          <w:sz w:val="24"/>
        </w:rPr>
        <w:t>四、财政拨款收入支出决算总表.......................................................................27</w:t>
      </w:r>
    </w:p>
    <w:p>
      <w:pPr>
        <w:pStyle w:val="12"/>
        <w:adjustRightInd w:val="0"/>
        <w:snapToGrid w:val="0"/>
        <w:spacing w:line="440" w:lineRule="exact"/>
        <w:jc w:val="left"/>
        <w:rPr>
          <w:sz w:val="24"/>
        </w:rPr>
      </w:pPr>
      <w:r>
        <w:rPr>
          <w:rFonts w:hint="eastAsia"/>
          <w:sz w:val="24"/>
        </w:rPr>
        <w:t>五、财政拨款支出决算明细表...........................................................................27</w:t>
      </w:r>
    </w:p>
    <w:p>
      <w:pPr>
        <w:pStyle w:val="12"/>
        <w:adjustRightInd w:val="0"/>
        <w:snapToGrid w:val="0"/>
        <w:spacing w:line="440" w:lineRule="exact"/>
        <w:jc w:val="left"/>
        <w:rPr>
          <w:sz w:val="24"/>
        </w:rPr>
      </w:pPr>
      <w:r>
        <w:rPr>
          <w:rFonts w:hint="eastAsia"/>
          <w:sz w:val="24"/>
        </w:rPr>
        <w:t>六、一般公共预算财政拨款支出决算表...........................................................27</w:t>
      </w:r>
    </w:p>
    <w:p>
      <w:pPr>
        <w:pStyle w:val="12"/>
        <w:adjustRightInd w:val="0"/>
        <w:snapToGrid w:val="0"/>
        <w:spacing w:line="440" w:lineRule="exact"/>
        <w:jc w:val="left"/>
        <w:rPr>
          <w:sz w:val="24"/>
        </w:rPr>
      </w:pPr>
      <w:r>
        <w:rPr>
          <w:rFonts w:hint="eastAsia"/>
          <w:sz w:val="24"/>
        </w:rPr>
        <w:t>七、一般公共预算财政拨款支出决算明细表...................................................27</w:t>
      </w:r>
    </w:p>
    <w:p>
      <w:pPr>
        <w:pStyle w:val="12"/>
        <w:adjustRightInd w:val="0"/>
        <w:snapToGrid w:val="0"/>
        <w:spacing w:line="440" w:lineRule="exact"/>
        <w:jc w:val="left"/>
        <w:rPr>
          <w:sz w:val="24"/>
        </w:rPr>
      </w:pPr>
      <w:r>
        <w:rPr>
          <w:rFonts w:hint="eastAsia"/>
          <w:sz w:val="24"/>
        </w:rPr>
        <w:t>八、一般公共预算财政拨款基本支出决算表...................................................27</w:t>
      </w:r>
    </w:p>
    <w:p>
      <w:pPr>
        <w:pStyle w:val="12"/>
        <w:adjustRightInd w:val="0"/>
        <w:snapToGrid w:val="0"/>
        <w:spacing w:line="440" w:lineRule="exact"/>
        <w:jc w:val="left"/>
        <w:rPr>
          <w:sz w:val="24"/>
        </w:rPr>
      </w:pPr>
      <w:r>
        <w:rPr>
          <w:rFonts w:hint="eastAsia"/>
          <w:sz w:val="24"/>
        </w:rPr>
        <w:t>九、一般公共预算财政拨款项目支出决算表...................................................27</w:t>
      </w:r>
    </w:p>
    <w:p>
      <w:pPr>
        <w:pStyle w:val="12"/>
        <w:adjustRightInd w:val="0"/>
        <w:snapToGrid w:val="0"/>
        <w:spacing w:line="440" w:lineRule="exact"/>
        <w:jc w:val="left"/>
        <w:rPr>
          <w:sz w:val="24"/>
        </w:rPr>
      </w:pPr>
      <w:r>
        <w:rPr>
          <w:rFonts w:hint="eastAsia"/>
          <w:sz w:val="24"/>
        </w:rPr>
        <w:t>十、一般公共预算财政拨款“三公”经费支出决算表...................................27</w:t>
      </w:r>
    </w:p>
    <w:p>
      <w:pPr>
        <w:pStyle w:val="12"/>
        <w:adjustRightInd w:val="0"/>
        <w:snapToGrid w:val="0"/>
        <w:spacing w:line="440" w:lineRule="exact"/>
        <w:jc w:val="left"/>
        <w:rPr>
          <w:sz w:val="24"/>
        </w:rPr>
      </w:pPr>
      <w:r>
        <w:rPr>
          <w:rFonts w:hint="eastAsia"/>
          <w:sz w:val="24"/>
        </w:rPr>
        <w:t>十一、政府性基金预算财政拨款收入支出决算表...........................................27</w:t>
      </w:r>
    </w:p>
    <w:p>
      <w:pPr>
        <w:pStyle w:val="12"/>
        <w:adjustRightInd w:val="0"/>
        <w:snapToGrid w:val="0"/>
        <w:spacing w:line="440" w:lineRule="exact"/>
        <w:jc w:val="left"/>
        <w:rPr>
          <w:sz w:val="24"/>
        </w:rPr>
      </w:pPr>
      <w:r>
        <w:rPr>
          <w:rFonts w:hint="eastAsia"/>
          <w:sz w:val="24"/>
        </w:rPr>
        <w:t>十二、政府性基金预算财政拨款“三公”经费支出决算表...........................27</w:t>
      </w:r>
    </w:p>
    <w:p>
      <w:pPr>
        <w:pStyle w:val="12"/>
        <w:adjustRightInd w:val="0"/>
        <w:snapToGrid w:val="0"/>
        <w:spacing w:line="440" w:lineRule="exact"/>
        <w:jc w:val="left"/>
        <w:rPr>
          <w:sz w:val="24"/>
        </w:rPr>
      </w:pPr>
      <w:r>
        <w:rPr>
          <w:rFonts w:hint="eastAsia"/>
          <w:sz w:val="24"/>
        </w:rPr>
        <w:t>十三、国有资本经营预算财政拨款收入支出决算表.......................................27</w:t>
      </w:r>
    </w:p>
    <w:p>
      <w:pPr>
        <w:pStyle w:val="12"/>
        <w:adjustRightInd w:val="0"/>
        <w:snapToGrid w:val="0"/>
        <w:spacing w:line="440" w:lineRule="exact"/>
        <w:jc w:val="left"/>
        <w:rPr>
          <w:sz w:val="24"/>
        </w:rPr>
      </w:pPr>
      <w:r>
        <w:rPr>
          <w:rFonts w:hint="eastAsia"/>
          <w:sz w:val="24"/>
        </w:rPr>
        <w:t>十四、国有资本经营预算财政拨款支出决算表...............................................27</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3"/>
        <w:jc w:val="center"/>
        <w:rPr>
          <w:rStyle w:val="26"/>
          <w:rFonts w:ascii="黑体" w:hAnsi="黑体" w:eastAsia="黑体"/>
          <w:b/>
          <w:bCs w:val="0"/>
        </w:rPr>
      </w:pPr>
      <w:r>
        <w:rPr>
          <w:rFonts w:hint="eastAsia" w:ascii="黑体" w:hAnsi="黑体" w:eastAsia="黑体"/>
          <w:b w:val="0"/>
        </w:rPr>
        <w:t>第一部分 单位</w:t>
      </w:r>
      <w:r>
        <w:rPr>
          <w:rStyle w:val="26"/>
          <w:rFonts w:hint="eastAsia" w:ascii="黑体" w:hAnsi="黑体" w:eastAsia="黑体"/>
          <w:b w:val="0"/>
          <w:bCs w:val="0"/>
        </w:rPr>
        <w:t>概况</w:t>
      </w:r>
      <w:bookmarkEnd w:id="12"/>
      <w:bookmarkEnd w:id="13"/>
    </w:p>
    <w:p>
      <w:pPr>
        <w:widowControl/>
        <w:jc w:val="left"/>
        <w:rPr>
          <w:rFonts w:ascii="黑体" w:eastAsia="黑体"/>
          <w:sz w:val="32"/>
          <w:szCs w:val="32"/>
        </w:rPr>
      </w:pPr>
    </w:p>
    <w:p>
      <w:pPr>
        <w:pStyle w:val="4"/>
        <w:numPr>
          <w:ilvl w:val="0"/>
          <w:numId w:val="1"/>
        </w:numPr>
        <w:rPr>
          <w:rStyle w:val="27"/>
          <w:rFonts w:ascii="黑体" w:hAnsi="黑体" w:eastAsia="黑体"/>
          <w:b w:val="0"/>
          <w:bCs w:val="0"/>
        </w:rPr>
      </w:pPr>
      <w:bookmarkStart w:id="14" w:name="_Toc15396600"/>
      <w:bookmarkStart w:id="15" w:name="_Toc15377197"/>
      <w:r>
        <w:rPr>
          <w:rStyle w:val="27"/>
          <w:rFonts w:hint="eastAsia" w:ascii="黑体" w:hAnsi="黑体" w:eastAsia="黑体"/>
          <w:b w:val="0"/>
          <w:bCs w:val="0"/>
        </w:rPr>
        <w:t>职能简介</w:t>
      </w:r>
    </w:p>
    <w:p>
      <w:pPr>
        <w:pStyle w:val="25"/>
        <w:numPr>
          <w:ilvl w:val="0"/>
          <w:numId w:val="2"/>
        </w:numPr>
        <w:adjustRightInd w:val="0"/>
        <w:snapToGrid w:val="0"/>
        <w:spacing w:beforeLines="30" w:line="600" w:lineRule="exact"/>
        <w:ind w:firstLineChars="0"/>
        <w:outlineLvl w:val="2"/>
        <w:rPr>
          <w:rFonts w:ascii="仿宋" w:hAnsi="仿宋" w:eastAsia="仿宋"/>
          <w:bCs/>
          <w:color w:val="000000"/>
          <w:kern w:val="0"/>
          <w:sz w:val="32"/>
          <w:szCs w:val="32"/>
        </w:rPr>
      </w:pPr>
      <w:bookmarkStart w:id="16" w:name="_Toc15378445"/>
      <w:bookmarkStart w:id="17" w:name="_Toc15377198"/>
      <w:r>
        <w:rPr>
          <w:rFonts w:hint="eastAsia" w:ascii="仿宋" w:hAnsi="仿宋" w:eastAsia="仿宋"/>
          <w:bCs/>
          <w:color w:val="000000"/>
          <w:kern w:val="0"/>
          <w:sz w:val="32"/>
          <w:szCs w:val="32"/>
        </w:rPr>
        <w:t>主要职能</w:t>
      </w:r>
      <w:bookmarkEnd w:id="16"/>
      <w:bookmarkEnd w:id="17"/>
    </w:p>
    <w:p>
      <w:pPr>
        <w:adjustRightInd w:val="0"/>
        <w:snapToGrid w:val="0"/>
        <w:spacing w:beforeLines="30" w:line="600" w:lineRule="exact"/>
        <w:ind w:left="672" w:firstLine="800" w:firstLineChars="250"/>
        <w:outlineLvl w:val="2"/>
        <w:rPr>
          <w:rFonts w:ascii="仿宋" w:hAnsi="仿宋" w:eastAsia="仿宋"/>
          <w:sz w:val="32"/>
          <w:szCs w:val="32"/>
        </w:rPr>
      </w:pPr>
      <w:r>
        <w:rPr>
          <w:rFonts w:hint="eastAsia" w:ascii="仿宋" w:hAnsi="仿宋" w:eastAsia="仿宋"/>
          <w:sz w:val="32"/>
          <w:szCs w:val="32"/>
        </w:rPr>
        <w:t>四川省藏文学校经四川省人民政府批准（川府函[1981]175号），于1981年8月31日成立的一所中等专业学校，隶属四川省民族宗教事务委员会。学校以“传承和发展中华优秀传统文化,培养社会主义合格建设人才”为办学宗旨，以“政治合格，品德合格、专业合格”为办学方向，以“保特色、强素质、突优势、塑形象、做精品、铸名校”为办学理念，以“坚持正确的办学方向，培养合格的建设人才”为根本，开设有“藏语文、藏医医疗和藏药、民族美术”三大类核心专业，新开设旅游服务与管理，全面传承发展中华优秀传统文化和培养社会主义合格人才的省属中等专业学校。学校服务范围以四川涉藏地区为主，涵盖西藏、青海、甘肃、云南等涉藏地区。</w:t>
      </w:r>
    </w:p>
    <w:p>
      <w:pPr>
        <w:pStyle w:val="4"/>
      </w:pPr>
      <w:r>
        <w:rPr>
          <w:rFonts w:hint="eastAsia" w:ascii="黑体" w:hAnsi="黑体" w:eastAsia="黑体"/>
          <w:b w:val="0"/>
        </w:rPr>
        <w:t>二、2021年重点工作</w:t>
      </w:r>
      <w:bookmarkEnd w:id="14"/>
      <w:bookmarkEnd w:id="15"/>
      <w:r>
        <w:rPr>
          <w:rFonts w:hint="eastAsia" w:ascii="黑体" w:hAnsi="黑体" w:eastAsia="黑体"/>
          <w:b w:val="0"/>
        </w:rPr>
        <w:t>完成情况</w:t>
      </w:r>
    </w:p>
    <w:p>
      <w:pPr>
        <w:spacing w:line="600" w:lineRule="exact"/>
        <w:ind w:firstLine="320" w:firstLineChars="100"/>
        <w:rPr>
          <w:rFonts w:ascii="黑体" w:hAnsi="黑体" w:eastAsia="黑体" w:cs="仿宋_GB2312"/>
          <w:color w:val="0C0C0C" w:themeColor="text1" w:themeTint="F2"/>
          <w:sz w:val="32"/>
          <w:szCs w:val="32"/>
        </w:rPr>
      </w:pPr>
      <w:r>
        <w:rPr>
          <w:rFonts w:hint="eastAsia" w:ascii="黑体" w:hAnsi="黑体" w:eastAsia="黑体"/>
          <w:sz w:val="32"/>
          <w:szCs w:val="32"/>
        </w:rPr>
        <w:t>（一）党建工作</w:t>
      </w:r>
    </w:p>
    <w:p>
      <w:pPr>
        <w:ind w:firstLine="736" w:firstLineChars="230"/>
        <w:jc w:val="left"/>
        <w:rPr>
          <w:rFonts w:ascii="仿宋" w:hAnsi="仿宋" w:eastAsia="仿宋"/>
          <w:color w:val="000000"/>
          <w:sz w:val="32"/>
          <w:szCs w:val="32"/>
        </w:rPr>
      </w:pPr>
      <w:r>
        <w:rPr>
          <w:rFonts w:hint="eastAsia" w:ascii="仿宋" w:hAnsi="仿宋" w:eastAsia="仿宋"/>
          <w:color w:val="000000"/>
          <w:sz w:val="32"/>
          <w:szCs w:val="32"/>
        </w:rPr>
        <w:t>“培养什么样的人、如何培养人以及为谁培养人”作为学校政治思想工作的核心开展党建工作。旗帜鲜明讲政治，压紧压实党建工作主体责任，严守政治纪律和政治规矩。</w:t>
      </w:r>
      <w:r>
        <w:rPr>
          <w:rFonts w:hint="eastAsia" w:ascii="仿宋" w:hAnsi="仿宋" w:eastAsia="仿宋" w:cs="仿宋_GB2312"/>
          <w:sz w:val="32"/>
          <w:szCs w:val="32"/>
        </w:rPr>
        <w:t>坚持把立德树人作为中心环节，扎实开展师德师风教育。</w:t>
      </w:r>
      <w:r>
        <w:rPr>
          <w:rFonts w:hint="eastAsia" w:ascii="仿宋" w:hAnsi="仿宋" w:eastAsia="仿宋"/>
          <w:color w:val="000000"/>
          <w:sz w:val="32"/>
          <w:szCs w:val="32"/>
        </w:rPr>
        <w:t>推动党中央大政方针和省委、省民族宗教委党组、甘孜州委州府决策部署在学校落地落实。</w:t>
      </w:r>
    </w:p>
    <w:p>
      <w:pPr>
        <w:ind w:firstLine="640" w:firstLineChars="200"/>
        <w:rPr>
          <w:rFonts w:ascii="仿宋" w:hAnsi="仿宋" w:eastAsia="仿宋" w:cs="仿宋_GB2312"/>
          <w:color w:val="000000"/>
          <w:kern w:val="0"/>
          <w:sz w:val="30"/>
          <w:szCs w:val="30"/>
        </w:rPr>
      </w:pPr>
      <w:r>
        <w:rPr>
          <w:rFonts w:hint="eastAsia" w:ascii="仿宋" w:hAnsi="仿宋" w:eastAsia="仿宋"/>
          <w:color w:val="000000"/>
          <w:sz w:val="32"/>
          <w:szCs w:val="32"/>
        </w:rPr>
        <w:t>“政治合格、品德合格、专业合格、执行到位”作为学校工作的标准，将学校思想政治工作扎根在“坚持正确的办学方向，培养合格的建设人才”这一核心工作上；</w:t>
      </w:r>
      <w:r>
        <w:rPr>
          <w:rFonts w:hint="eastAsia" w:ascii="仿宋" w:hAnsi="仿宋" w:eastAsia="仿宋"/>
          <w:sz w:val="32"/>
        </w:rPr>
        <w:t>学校党委制定《党史学习教育实施方案》,成立工作机构,</w:t>
      </w:r>
      <w:r>
        <w:rPr>
          <w:rFonts w:hint="eastAsia" w:ascii="仿宋" w:hAnsi="仿宋" w:eastAsia="仿宋"/>
          <w:color w:val="000000"/>
          <w:sz w:val="32"/>
          <w:szCs w:val="32"/>
        </w:rPr>
        <w:t>认真开展党史学习教育活动，利用三会一课，强化党员理论武装</w:t>
      </w:r>
      <w:r>
        <w:rPr>
          <w:rFonts w:hint="eastAsia" w:ascii="仿宋" w:hAnsi="仿宋" w:eastAsia="仿宋"/>
          <w:sz w:val="32"/>
        </w:rPr>
        <w:t>，召开会议和开展相关活动共17次</w:t>
      </w:r>
      <w:r>
        <w:rPr>
          <w:rFonts w:hint="eastAsia" w:ascii="仿宋" w:hAnsi="仿宋" w:eastAsia="仿宋" w:cs="仿宋_GB2312"/>
          <w:color w:val="000000"/>
          <w:kern w:val="0"/>
          <w:sz w:val="30"/>
          <w:szCs w:val="30"/>
        </w:rPr>
        <w:t>。</w:t>
      </w:r>
    </w:p>
    <w:p>
      <w:pPr>
        <w:ind w:firstLine="640" w:firstLineChars="200"/>
        <w:rPr>
          <w:rFonts w:ascii="仿宋" w:hAnsi="仿宋" w:eastAsia="仿宋"/>
          <w:sz w:val="32"/>
        </w:rPr>
      </w:pPr>
      <w:r>
        <w:rPr>
          <w:rFonts w:hint="eastAsia" w:ascii="仿宋" w:hAnsi="仿宋" w:eastAsia="仿宋"/>
          <w:sz w:val="32"/>
        </w:rPr>
        <w:t>加强团组织建设，开展团组织活动</w:t>
      </w:r>
      <w:r>
        <w:rPr>
          <w:rFonts w:ascii="仿宋" w:hAnsi="仿宋" w:eastAsia="仿宋"/>
          <w:sz w:val="32"/>
        </w:rPr>
        <w:t>6</w:t>
      </w:r>
      <w:r>
        <w:rPr>
          <w:rFonts w:hint="eastAsia" w:ascii="仿宋" w:hAnsi="仿宋" w:eastAsia="仿宋"/>
          <w:sz w:val="32"/>
        </w:rPr>
        <w:t>次，团课3次，培养和吸收2</w:t>
      </w:r>
      <w:r>
        <w:rPr>
          <w:rFonts w:ascii="仿宋" w:hAnsi="仿宋" w:eastAsia="仿宋"/>
          <w:sz w:val="32"/>
        </w:rPr>
        <w:t>0</w:t>
      </w:r>
      <w:r>
        <w:rPr>
          <w:rFonts w:hint="eastAsia" w:ascii="仿宋" w:hAnsi="仿宋" w:eastAsia="仿宋"/>
          <w:sz w:val="32"/>
        </w:rPr>
        <w:t>名共青团员。</w:t>
      </w:r>
    </w:p>
    <w:p>
      <w:pPr>
        <w:spacing w:line="600" w:lineRule="exact"/>
        <w:ind w:firstLine="640" w:firstLineChars="200"/>
        <w:jc w:val="left"/>
        <w:rPr>
          <w:rFonts w:ascii="仿宋" w:hAnsi="仿宋" w:eastAsia="仿宋"/>
          <w:sz w:val="32"/>
        </w:rPr>
      </w:pPr>
      <w:r>
        <w:rPr>
          <w:rFonts w:hint="eastAsia" w:ascii="仿宋" w:hAnsi="仿宋" w:eastAsia="仿宋"/>
          <w:sz w:val="32"/>
        </w:rPr>
        <w:t>学校党委今年发展了4名预备党员，培养了6名学生入党积极分子和3名教师入党积极分子。</w:t>
      </w:r>
    </w:p>
    <w:p>
      <w:pPr>
        <w:pStyle w:val="13"/>
        <w:shd w:val="clear" w:color="auto" w:fill="FFFFFF"/>
        <w:spacing w:before="0" w:beforeAutospacing="0" w:after="0" w:afterAutospacing="0" w:line="580" w:lineRule="exact"/>
        <w:ind w:firstLine="640" w:firstLineChars="200"/>
        <w:rPr>
          <w:rFonts w:ascii="仿宋" w:hAnsi="仿宋" w:eastAsia="仿宋" w:cs="Arial"/>
          <w:color w:val="000000"/>
          <w:sz w:val="32"/>
          <w:szCs w:val="32"/>
        </w:rPr>
      </w:pPr>
      <w:r>
        <w:rPr>
          <w:rFonts w:hint="eastAsia" w:ascii="仿宋" w:hAnsi="仿宋" w:eastAsia="仿宋" w:cs="Arial"/>
          <w:color w:val="000000"/>
          <w:sz w:val="32"/>
          <w:szCs w:val="32"/>
        </w:rPr>
        <w:t>突显纪委工作的监督检查作用，对项目实施、招生考试、资金使用、安全工作及意识形态等各方面工作加强了纪委的监督检查，2</w:t>
      </w:r>
      <w:r>
        <w:rPr>
          <w:rFonts w:ascii="仿宋" w:hAnsi="仿宋" w:eastAsia="仿宋" w:cs="Arial"/>
          <w:color w:val="000000"/>
          <w:sz w:val="32"/>
          <w:szCs w:val="32"/>
        </w:rPr>
        <w:t>021</w:t>
      </w:r>
      <w:r>
        <w:rPr>
          <w:rFonts w:hint="eastAsia" w:ascii="仿宋" w:hAnsi="仿宋" w:eastAsia="仿宋" w:cs="Arial"/>
          <w:color w:val="000000"/>
          <w:sz w:val="32"/>
          <w:szCs w:val="32"/>
        </w:rPr>
        <w:t>年召开专题纪委会议3次，下发纪委通报2期。</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（二）党史学习教育活动</w:t>
      </w:r>
    </w:p>
    <w:p>
      <w:pPr>
        <w:spacing w:line="600" w:lineRule="exact"/>
        <w:ind w:firstLine="640" w:firstLineChars="200"/>
        <w:rPr>
          <w:rFonts w:ascii="仿宋" w:hAnsi="仿宋" w:eastAsia="仿宋"/>
          <w:sz w:val="32"/>
          <w:szCs w:val="32"/>
        </w:rPr>
      </w:pPr>
      <w:r>
        <w:rPr>
          <w:rFonts w:hint="eastAsia" w:ascii="仿宋" w:hAnsi="仿宋" w:eastAsia="仿宋"/>
          <w:sz w:val="32"/>
        </w:rPr>
        <w:t>学校党委制定党史学习教育活动实施方案,成立工作机构,全面认真开展党史学习教育工作。先后召开党史学习教育部署会、党建业务培训会、学校党员大会、党委中心组集中学习会；开展党史宣讲、党史学习知识竞赛、党史演讲比赛、红歌表演、党史知识竞赛、庆祝建党1</w:t>
      </w:r>
      <w:r>
        <w:rPr>
          <w:rFonts w:ascii="仿宋" w:hAnsi="仿宋" w:eastAsia="仿宋"/>
          <w:sz w:val="32"/>
        </w:rPr>
        <w:t>00</w:t>
      </w:r>
      <w:r>
        <w:rPr>
          <w:rFonts w:hint="eastAsia" w:ascii="仿宋" w:hAnsi="仿宋" w:eastAsia="仿宋"/>
          <w:sz w:val="32"/>
        </w:rPr>
        <w:t>周年暨办学4</w:t>
      </w:r>
      <w:r>
        <w:rPr>
          <w:rFonts w:ascii="仿宋" w:hAnsi="仿宋" w:eastAsia="仿宋"/>
          <w:sz w:val="32"/>
        </w:rPr>
        <w:t>0</w:t>
      </w:r>
      <w:r>
        <w:rPr>
          <w:rFonts w:hint="eastAsia" w:ascii="仿宋" w:hAnsi="仿宋" w:eastAsia="仿宋"/>
          <w:sz w:val="32"/>
        </w:rPr>
        <w:t>周年成果展、</w:t>
      </w:r>
      <w:r>
        <w:rPr>
          <w:rFonts w:hint="eastAsia" w:ascii="仿宋" w:hAnsi="仿宋" w:eastAsia="仿宋" w:cs="Arial"/>
          <w:color w:val="000000"/>
          <w:sz w:val="32"/>
          <w:szCs w:val="32"/>
        </w:rPr>
        <w:t>“重走一段长征路，重温一次‘两路’精神”党史学习教育等活动；</w:t>
      </w:r>
      <w:r>
        <w:rPr>
          <w:rFonts w:hint="eastAsia" w:ascii="仿宋" w:hAnsi="仿宋" w:eastAsia="仿宋"/>
          <w:sz w:val="32"/>
        </w:rPr>
        <w:t>观看中国共产党成立100周年庆祝大会活动盛况。利用</w:t>
      </w:r>
      <w:r>
        <w:rPr>
          <w:rFonts w:hint="eastAsia" w:ascii="仿宋" w:hAnsi="仿宋" w:eastAsia="仿宋"/>
          <w:sz w:val="32"/>
          <w:szCs w:val="32"/>
        </w:rPr>
        <w:t>理论学习中心组集中(扩大)学习会学习宣传贯彻党的十九届六中全会精神和习近平总书记在党的十九届六中全会上的重要讲话精神，强化了</w:t>
      </w:r>
      <w:r>
        <w:rPr>
          <w:rFonts w:hint="eastAsia" w:ascii="仿宋" w:hAnsi="仿宋" w:eastAsia="仿宋"/>
          <w:sz w:val="32"/>
        </w:rPr>
        <w:t>党史学习教育活动落地见效</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黑体" w:hAnsi="黑体" w:eastAsia="黑体"/>
          <w:sz w:val="32"/>
          <w:szCs w:val="32"/>
        </w:rPr>
        <w:t>（三）铸牢中华民族共同体意识工作</w:t>
      </w:r>
    </w:p>
    <w:p>
      <w:pPr>
        <w:pStyle w:val="13"/>
        <w:shd w:val="clear" w:color="auto" w:fill="FFFFFF"/>
        <w:spacing w:before="0" w:beforeAutospacing="0" w:after="0" w:afterAutospacing="0" w:line="600" w:lineRule="exact"/>
        <w:ind w:firstLine="640" w:firstLineChars="200"/>
        <w:rPr>
          <w:rFonts w:ascii="仿宋" w:hAnsi="仿宋" w:eastAsia="仿宋"/>
          <w:sz w:val="32"/>
        </w:rPr>
      </w:pPr>
      <w:r>
        <w:rPr>
          <w:rFonts w:hint="eastAsia" w:ascii="仿宋" w:hAnsi="仿宋" w:eastAsia="仿宋"/>
          <w:sz w:val="32"/>
        </w:rPr>
        <w:t>以铸牢中华民族共同体意识统揽学校工作，创建“</w:t>
      </w:r>
      <w:bookmarkStart w:id="18" w:name="_Hlk90453388"/>
      <w:r>
        <w:rPr>
          <w:rFonts w:hint="eastAsia" w:ascii="仿宋" w:hAnsi="仿宋" w:eastAsia="仿宋"/>
          <w:sz w:val="32"/>
        </w:rPr>
        <w:t>铸牢中华民族共同体意识</w:t>
      </w:r>
      <w:bookmarkEnd w:id="18"/>
      <w:r>
        <w:rPr>
          <w:rFonts w:hint="eastAsia" w:ascii="仿宋" w:hAnsi="仿宋" w:eastAsia="仿宋"/>
          <w:sz w:val="32"/>
        </w:rPr>
        <w:t>主题教育实践活动试点学校”工作强有力推进。</w:t>
      </w:r>
    </w:p>
    <w:p>
      <w:pPr>
        <w:pStyle w:val="13"/>
        <w:shd w:val="clear" w:color="auto" w:fill="FFFFFF"/>
        <w:spacing w:before="0" w:beforeAutospacing="0" w:after="0" w:afterAutospacing="0" w:line="600" w:lineRule="exact"/>
        <w:ind w:firstLine="688" w:firstLineChars="200"/>
        <w:rPr>
          <w:rStyle w:val="16"/>
          <w:rFonts w:ascii="仿宋" w:hAnsi="仿宋" w:eastAsia="仿宋"/>
          <w:b w:val="0"/>
          <w:color w:val="0C0C0C" w:themeColor="text1" w:themeTint="F2"/>
          <w:spacing w:val="12"/>
          <w:sz w:val="32"/>
          <w:szCs w:val="32"/>
        </w:rPr>
      </w:pPr>
      <w:r>
        <w:rPr>
          <w:rStyle w:val="16"/>
          <w:rFonts w:hint="eastAsia" w:ascii="仿宋" w:hAnsi="仿宋" w:eastAsia="仿宋"/>
          <w:b w:val="0"/>
          <w:color w:val="0C0C0C" w:themeColor="text1" w:themeTint="F2"/>
          <w:spacing w:val="12"/>
          <w:sz w:val="32"/>
          <w:szCs w:val="32"/>
        </w:rPr>
        <w:t>1</w:t>
      </w:r>
      <w:r>
        <w:rPr>
          <w:rStyle w:val="16"/>
          <w:rFonts w:ascii="仿宋" w:hAnsi="仿宋" w:eastAsia="仿宋"/>
          <w:b w:val="0"/>
          <w:color w:val="0C0C0C" w:themeColor="text1" w:themeTint="F2"/>
          <w:spacing w:val="12"/>
          <w:sz w:val="32"/>
          <w:szCs w:val="32"/>
        </w:rPr>
        <w:t>.</w:t>
      </w:r>
      <w:r>
        <w:rPr>
          <w:rStyle w:val="16"/>
          <w:rFonts w:hint="eastAsia" w:ascii="仿宋" w:hAnsi="仿宋" w:eastAsia="仿宋"/>
          <w:b w:val="0"/>
          <w:color w:val="0C0C0C" w:themeColor="text1" w:themeTint="F2"/>
          <w:spacing w:val="12"/>
          <w:sz w:val="32"/>
          <w:szCs w:val="32"/>
        </w:rPr>
        <w:t>强化铸牢中华民族共同体意识的思想认识。</w:t>
      </w:r>
      <w:r>
        <w:rPr>
          <w:rFonts w:hint="eastAsia" w:ascii="仿宋" w:hAnsi="仿宋" w:eastAsia="仿宋"/>
          <w:color w:val="0C0C0C" w:themeColor="text1" w:themeTint="F2"/>
          <w:spacing w:val="12"/>
          <w:sz w:val="32"/>
          <w:szCs w:val="32"/>
        </w:rPr>
        <w:t>育什么人、怎样育人、为谁育人的根本问题</w:t>
      </w:r>
      <w:r>
        <w:rPr>
          <w:rFonts w:hint="eastAsia" w:ascii="仿宋" w:hAnsi="仿宋" w:eastAsia="仿宋" w:cs="Arial"/>
          <w:color w:val="0D0D0D"/>
          <w:sz w:val="32"/>
          <w:szCs w:val="32"/>
        </w:rPr>
        <w:t>贯穿学校立德树人、教育教学全过程，积极开展“</w:t>
      </w:r>
      <w:r>
        <w:rPr>
          <w:rFonts w:hint="eastAsia" w:ascii="仿宋" w:hAnsi="仿宋" w:eastAsia="仿宋"/>
          <w:sz w:val="32"/>
        </w:rPr>
        <w:t>创建四川省藏文学校铸牢中华民族共同体意识主题教育实践活动试点学校</w:t>
      </w:r>
      <w:r>
        <w:rPr>
          <w:rFonts w:hint="eastAsia" w:ascii="仿宋" w:hAnsi="仿宋" w:eastAsia="仿宋" w:cs="Arial"/>
          <w:color w:val="0D0D0D"/>
          <w:sz w:val="32"/>
          <w:szCs w:val="32"/>
        </w:rPr>
        <w:t>”各项工作</w:t>
      </w:r>
      <w:r>
        <w:rPr>
          <w:rFonts w:hint="eastAsia" w:ascii="仿宋" w:hAnsi="仿宋" w:eastAsia="仿宋"/>
          <w:sz w:val="32"/>
        </w:rPr>
        <w:t>。</w:t>
      </w:r>
    </w:p>
    <w:p>
      <w:pPr>
        <w:pStyle w:val="13"/>
        <w:shd w:val="clear" w:color="auto" w:fill="FFFFFF"/>
        <w:spacing w:before="0" w:beforeAutospacing="0" w:after="0" w:afterAutospacing="0" w:line="600" w:lineRule="exact"/>
        <w:ind w:firstLine="688" w:firstLineChars="200"/>
        <w:rPr>
          <w:rFonts w:ascii="仿宋" w:hAnsi="仿宋" w:eastAsia="仿宋"/>
          <w:color w:val="0C0C0C" w:themeColor="text1" w:themeTint="F2"/>
          <w:spacing w:val="12"/>
          <w:sz w:val="32"/>
          <w:szCs w:val="32"/>
        </w:rPr>
      </w:pPr>
      <w:r>
        <w:rPr>
          <w:rStyle w:val="16"/>
          <w:rFonts w:hint="eastAsia" w:ascii="仿宋" w:hAnsi="仿宋" w:eastAsia="仿宋"/>
          <w:b w:val="0"/>
          <w:color w:val="0C0C0C" w:themeColor="text1" w:themeTint="F2"/>
          <w:spacing w:val="12"/>
          <w:sz w:val="32"/>
          <w:szCs w:val="32"/>
        </w:rPr>
        <w:t>2.铸牢中华民族共同体意识进课堂。</w:t>
      </w:r>
      <w:r>
        <w:rPr>
          <w:rFonts w:hint="eastAsia" w:ascii="仿宋" w:hAnsi="仿宋" w:eastAsia="仿宋" w:cs="Arial"/>
          <w:color w:val="0D0D0D"/>
          <w:sz w:val="32"/>
          <w:szCs w:val="32"/>
        </w:rPr>
        <w:t>讲好中华民族的故事、中国共产党的故事、中华人民共和国的故事、中国特色社会主义的故事、改革开放的故事，讲好新时代的故事、民族团结进步的故事。</w:t>
      </w:r>
    </w:p>
    <w:p>
      <w:pPr>
        <w:pStyle w:val="13"/>
        <w:shd w:val="clear" w:color="auto" w:fill="FFFFFF"/>
        <w:spacing w:before="0" w:beforeAutospacing="0" w:after="0" w:afterAutospacing="0" w:line="600" w:lineRule="exact"/>
        <w:ind w:firstLine="688" w:firstLineChars="200"/>
        <w:rPr>
          <w:rFonts w:ascii="仿宋" w:hAnsi="仿宋" w:eastAsia="仿宋"/>
          <w:color w:val="0C0C0C" w:themeColor="text1" w:themeTint="F2"/>
          <w:spacing w:val="12"/>
          <w:sz w:val="32"/>
          <w:szCs w:val="32"/>
        </w:rPr>
      </w:pPr>
      <w:r>
        <w:rPr>
          <w:rStyle w:val="16"/>
          <w:rFonts w:hint="eastAsia" w:ascii="仿宋" w:hAnsi="仿宋" w:eastAsia="仿宋"/>
          <w:b w:val="0"/>
          <w:color w:val="0C0C0C" w:themeColor="text1" w:themeTint="F2"/>
          <w:spacing w:val="12"/>
          <w:sz w:val="32"/>
          <w:szCs w:val="32"/>
        </w:rPr>
        <w:t>3.铸牢中华民族共同体意识进课外。</w:t>
      </w:r>
      <w:r>
        <w:rPr>
          <w:rFonts w:hint="eastAsia" w:ascii="仿宋" w:hAnsi="仿宋" w:eastAsia="仿宋" w:cs="Arial"/>
          <w:color w:val="0D0D0D"/>
          <w:sz w:val="32"/>
          <w:szCs w:val="32"/>
        </w:rPr>
        <w:t>以开学第一课、周一升旗仪式、国旗下的演讲、课外活动、主题活动为阵地纵向横向深入，点线面有机结合，各要素靶向聚焦，实现中华民族共同体意识教育在学校落地生根，开花结果</w:t>
      </w:r>
      <w:r>
        <w:rPr>
          <w:rStyle w:val="16"/>
          <w:rFonts w:hint="eastAsia" w:ascii="仿宋" w:hAnsi="仿宋" w:eastAsia="仿宋"/>
          <w:b w:val="0"/>
          <w:color w:val="0C0C0C" w:themeColor="text1" w:themeTint="F2"/>
          <w:spacing w:val="12"/>
          <w:sz w:val="32"/>
          <w:szCs w:val="32"/>
        </w:rPr>
        <w:t>。</w:t>
      </w:r>
    </w:p>
    <w:p>
      <w:pPr>
        <w:spacing w:line="600" w:lineRule="exact"/>
        <w:ind w:firstLine="688" w:firstLineChars="200"/>
        <w:rPr>
          <w:rStyle w:val="16"/>
          <w:rFonts w:ascii="仿宋" w:hAnsi="仿宋" w:eastAsia="仿宋"/>
          <w:b w:val="0"/>
          <w:color w:val="0C0C0C" w:themeColor="text1" w:themeTint="F2"/>
          <w:spacing w:val="12"/>
          <w:sz w:val="32"/>
          <w:szCs w:val="32"/>
        </w:rPr>
      </w:pPr>
      <w:r>
        <w:rPr>
          <w:rStyle w:val="16"/>
          <w:rFonts w:ascii="仿宋" w:hAnsi="仿宋" w:eastAsia="仿宋"/>
          <w:b w:val="0"/>
          <w:color w:val="0C0C0C" w:themeColor="text1" w:themeTint="F2"/>
          <w:spacing w:val="12"/>
          <w:sz w:val="32"/>
          <w:szCs w:val="32"/>
        </w:rPr>
        <w:t>4</w:t>
      </w:r>
      <w:r>
        <w:rPr>
          <w:rStyle w:val="16"/>
          <w:rFonts w:hint="eastAsia" w:ascii="仿宋" w:hAnsi="仿宋" w:eastAsia="仿宋"/>
          <w:b w:val="0"/>
          <w:color w:val="0C0C0C" w:themeColor="text1" w:themeTint="F2"/>
          <w:spacing w:val="12"/>
          <w:sz w:val="32"/>
          <w:szCs w:val="32"/>
        </w:rPr>
        <w:t>.牢牢掌握住意识形态工作领导权和话语权。带领各族师生一心向党，听党话、感党恩、跟党走。</w:t>
      </w:r>
    </w:p>
    <w:p>
      <w:pPr>
        <w:spacing w:line="600" w:lineRule="exact"/>
        <w:ind w:firstLine="688" w:firstLineChars="200"/>
        <w:rPr>
          <w:rFonts w:ascii="仿宋" w:hAnsi="仿宋" w:eastAsia="仿宋"/>
          <w:sz w:val="32"/>
          <w:szCs w:val="32"/>
        </w:rPr>
      </w:pPr>
      <w:r>
        <w:rPr>
          <w:rStyle w:val="16"/>
          <w:rFonts w:ascii="仿宋" w:hAnsi="仿宋" w:eastAsia="仿宋" w:cs="宋体"/>
          <w:b w:val="0"/>
          <w:color w:val="0C0C0C" w:themeColor="text1" w:themeTint="F2"/>
          <w:spacing w:val="12"/>
          <w:kern w:val="0"/>
          <w:sz w:val="32"/>
          <w:szCs w:val="32"/>
          <w:lang w:bidi="bo-CN"/>
        </w:rPr>
        <w:t>5</w:t>
      </w:r>
      <w:r>
        <w:rPr>
          <w:rStyle w:val="16"/>
          <w:rFonts w:hint="eastAsia" w:ascii="仿宋" w:hAnsi="仿宋" w:eastAsia="仿宋" w:cs="宋体"/>
          <w:b w:val="0"/>
          <w:color w:val="0C0C0C" w:themeColor="text1" w:themeTint="F2"/>
          <w:spacing w:val="12"/>
          <w:kern w:val="0"/>
          <w:sz w:val="32"/>
          <w:szCs w:val="32"/>
          <w:lang w:bidi="bo-CN"/>
        </w:rPr>
        <w:t>.</w:t>
      </w:r>
      <w:r>
        <w:rPr>
          <w:rStyle w:val="16"/>
          <w:rFonts w:ascii="仿宋" w:hAnsi="仿宋" w:eastAsia="仿宋" w:cs="宋体"/>
          <w:b w:val="0"/>
          <w:color w:val="0C0C0C" w:themeColor="text1" w:themeTint="F2"/>
          <w:spacing w:val="12"/>
          <w:kern w:val="0"/>
          <w:sz w:val="32"/>
          <w:szCs w:val="32"/>
          <w:lang w:bidi="bo-CN"/>
        </w:rPr>
        <w:t>坚定不移推广普及国家通用语言文字</w:t>
      </w:r>
      <w:r>
        <w:rPr>
          <w:rStyle w:val="16"/>
          <w:rFonts w:hint="eastAsia" w:ascii="仿宋" w:hAnsi="仿宋" w:eastAsia="仿宋" w:cs="宋体"/>
          <w:b w:val="0"/>
          <w:color w:val="0C0C0C" w:themeColor="text1" w:themeTint="F2"/>
          <w:spacing w:val="12"/>
          <w:kern w:val="0"/>
          <w:sz w:val="32"/>
          <w:szCs w:val="32"/>
          <w:lang w:bidi="bo-CN"/>
        </w:rPr>
        <w:t>。</w:t>
      </w:r>
      <w:r>
        <w:rPr>
          <w:rFonts w:ascii="仿宋" w:hAnsi="仿宋" w:eastAsia="仿宋"/>
          <w:sz w:val="32"/>
          <w:szCs w:val="32"/>
        </w:rPr>
        <w:t>提升双语兼通复合型人才培养质量</w:t>
      </w:r>
      <w:r>
        <w:rPr>
          <w:rFonts w:hint="eastAsia" w:ascii="仿宋" w:hAnsi="仿宋" w:eastAsia="仿宋"/>
          <w:sz w:val="32"/>
          <w:szCs w:val="32"/>
        </w:rPr>
        <w:t>，促进学生全面发展</w:t>
      </w:r>
      <w:r>
        <w:rPr>
          <w:rFonts w:ascii="仿宋" w:hAnsi="仿宋" w:eastAsia="仿宋"/>
          <w:sz w:val="32"/>
          <w:szCs w:val="32"/>
        </w:rPr>
        <w:t>。加强教师普通话培训，做好双语教师招录工作。</w:t>
      </w:r>
      <w:r>
        <w:rPr>
          <w:rFonts w:hint="eastAsia" w:ascii="仿宋" w:hAnsi="仿宋" w:eastAsia="仿宋"/>
          <w:sz w:val="32"/>
          <w:szCs w:val="32"/>
        </w:rPr>
        <w:t>组织</w:t>
      </w:r>
      <w:r>
        <w:rPr>
          <w:rFonts w:ascii="仿宋" w:hAnsi="仿宋" w:eastAsia="仿宋"/>
          <w:sz w:val="32"/>
          <w:szCs w:val="32"/>
        </w:rPr>
        <w:t>336名</w:t>
      </w:r>
      <w:r>
        <w:rPr>
          <w:rFonts w:hint="eastAsia" w:ascii="仿宋" w:hAnsi="仿宋" w:eastAsia="仿宋"/>
          <w:sz w:val="32"/>
          <w:szCs w:val="32"/>
        </w:rPr>
        <w:t>学生参加普通话测试并举办普通话培训3次，校园中大力营造学习、使用普通话的良好氛围。</w:t>
      </w:r>
    </w:p>
    <w:p>
      <w:pPr>
        <w:pStyle w:val="13"/>
        <w:shd w:val="clear" w:color="auto" w:fill="FFFFFF"/>
        <w:spacing w:before="0" w:beforeAutospacing="0" w:after="0" w:afterAutospacing="0" w:line="600" w:lineRule="exact"/>
        <w:ind w:firstLine="688" w:firstLineChars="200"/>
        <w:rPr>
          <w:rStyle w:val="16"/>
          <w:rFonts w:ascii="仿宋" w:hAnsi="仿宋" w:eastAsia="仿宋"/>
          <w:b w:val="0"/>
        </w:rPr>
      </w:pPr>
      <w:r>
        <w:rPr>
          <w:rStyle w:val="16"/>
          <w:rFonts w:ascii="仿宋" w:hAnsi="仿宋" w:eastAsia="仿宋"/>
          <w:b w:val="0"/>
          <w:color w:val="0C0C0C" w:themeColor="text1" w:themeTint="F2"/>
          <w:spacing w:val="12"/>
          <w:sz w:val="32"/>
          <w:szCs w:val="32"/>
        </w:rPr>
        <w:t>6</w:t>
      </w:r>
      <w:r>
        <w:rPr>
          <w:rStyle w:val="16"/>
          <w:rFonts w:hint="eastAsia" w:ascii="仿宋" w:hAnsi="仿宋" w:eastAsia="仿宋"/>
          <w:b w:val="0"/>
          <w:color w:val="0C0C0C" w:themeColor="text1" w:themeTint="F2"/>
          <w:spacing w:val="12"/>
          <w:sz w:val="32"/>
          <w:szCs w:val="32"/>
        </w:rPr>
        <w:t>.全面推行使用“三科统编”教材作为严肃的政治任务，教材专项审查工作制度化、常态化。</w:t>
      </w:r>
    </w:p>
    <w:p>
      <w:pPr>
        <w:pStyle w:val="13"/>
        <w:shd w:val="clear" w:color="auto" w:fill="FFFFFF"/>
        <w:spacing w:before="0" w:beforeAutospacing="0" w:after="0" w:afterAutospacing="0" w:line="600" w:lineRule="exact"/>
        <w:ind w:firstLine="688" w:firstLineChars="200"/>
        <w:rPr>
          <w:rStyle w:val="16"/>
          <w:rFonts w:ascii="仿宋" w:hAnsi="仿宋" w:eastAsia="仿宋"/>
          <w:b w:val="0"/>
        </w:rPr>
      </w:pPr>
      <w:r>
        <w:rPr>
          <w:rStyle w:val="16"/>
          <w:rFonts w:ascii="仿宋" w:hAnsi="仿宋" w:eastAsia="仿宋"/>
          <w:b w:val="0"/>
          <w:color w:val="0C0C0C" w:themeColor="text1" w:themeTint="F2"/>
          <w:spacing w:val="12"/>
          <w:sz w:val="32"/>
          <w:szCs w:val="32"/>
        </w:rPr>
        <w:t>7</w:t>
      </w:r>
      <w:r>
        <w:rPr>
          <w:rStyle w:val="16"/>
          <w:rFonts w:hint="eastAsia" w:ascii="仿宋" w:hAnsi="仿宋" w:eastAsia="仿宋"/>
          <w:b w:val="0"/>
          <w:color w:val="0C0C0C" w:themeColor="text1" w:themeTint="F2"/>
          <w:spacing w:val="12"/>
          <w:sz w:val="32"/>
          <w:szCs w:val="32"/>
        </w:rPr>
        <w:t>.巩固全省民族团结进步示范单位的创建成果。</w:t>
      </w:r>
    </w:p>
    <w:p>
      <w:pPr>
        <w:pStyle w:val="13"/>
        <w:shd w:val="clear" w:color="auto" w:fill="FFFFFF"/>
        <w:spacing w:before="0" w:beforeAutospacing="0" w:after="0" w:afterAutospacing="0" w:line="600" w:lineRule="exact"/>
        <w:ind w:firstLine="688" w:firstLineChars="200"/>
        <w:rPr>
          <w:rStyle w:val="16"/>
          <w:rFonts w:ascii="仿宋" w:hAnsi="仿宋" w:eastAsia="仿宋"/>
          <w:b w:val="0"/>
          <w:color w:val="0C0C0C" w:themeColor="text1" w:themeTint="F2"/>
          <w:spacing w:val="12"/>
          <w:sz w:val="32"/>
          <w:szCs w:val="32"/>
        </w:rPr>
      </w:pPr>
      <w:r>
        <w:rPr>
          <w:rStyle w:val="16"/>
          <w:rFonts w:ascii="仿宋" w:hAnsi="仿宋" w:eastAsia="仿宋"/>
          <w:b w:val="0"/>
          <w:color w:val="0C0C0C" w:themeColor="text1" w:themeTint="F2"/>
          <w:spacing w:val="12"/>
          <w:sz w:val="32"/>
          <w:szCs w:val="32"/>
        </w:rPr>
        <w:t>8</w:t>
      </w:r>
      <w:r>
        <w:rPr>
          <w:rStyle w:val="16"/>
          <w:rFonts w:hint="eastAsia" w:ascii="仿宋" w:hAnsi="仿宋" w:eastAsia="仿宋"/>
          <w:b w:val="0"/>
          <w:color w:val="0C0C0C" w:themeColor="text1" w:themeTint="F2"/>
          <w:spacing w:val="12"/>
          <w:sz w:val="32"/>
          <w:szCs w:val="32"/>
        </w:rPr>
        <w:t>.高水准完成铸牢中华民族共同体意识为主线的校园文化建设。</w:t>
      </w:r>
    </w:p>
    <w:p>
      <w:pPr>
        <w:pStyle w:val="13"/>
        <w:shd w:val="clear" w:color="auto" w:fill="FFFFFF"/>
        <w:spacing w:before="0" w:beforeAutospacing="0" w:after="0" w:afterAutospacing="0" w:line="600" w:lineRule="exact"/>
        <w:ind w:firstLine="688" w:firstLineChars="200"/>
        <w:rPr>
          <w:rFonts w:ascii="仿宋" w:hAnsi="仿宋" w:eastAsia="仿宋"/>
          <w:color w:val="0C0C0C" w:themeColor="text1" w:themeTint="F2"/>
          <w:spacing w:val="12"/>
          <w:sz w:val="32"/>
          <w:szCs w:val="32"/>
        </w:rPr>
      </w:pPr>
      <w:r>
        <w:rPr>
          <w:rStyle w:val="16"/>
          <w:rFonts w:ascii="仿宋" w:hAnsi="仿宋" w:eastAsia="仿宋"/>
          <w:b w:val="0"/>
          <w:color w:val="0C0C0C" w:themeColor="text1" w:themeTint="F2"/>
          <w:spacing w:val="12"/>
          <w:sz w:val="32"/>
          <w:szCs w:val="32"/>
        </w:rPr>
        <w:t>9</w:t>
      </w:r>
      <w:r>
        <w:rPr>
          <w:rStyle w:val="16"/>
          <w:rFonts w:hint="eastAsia" w:ascii="仿宋" w:hAnsi="仿宋" w:eastAsia="仿宋"/>
          <w:b w:val="0"/>
          <w:color w:val="0C0C0C" w:themeColor="text1" w:themeTint="F2"/>
          <w:spacing w:val="12"/>
          <w:sz w:val="32"/>
          <w:szCs w:val="32"/>
        </w:rPr>
        <w:t>.以学校为主阵地，推行“小手拉大手”以及“以老带新”活动，全面向学生普及中华民族共同体意识教育。</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（四）学校管理工作</w:t>
      </w:r>
    </w:p>
    <w:p>
      <w:pPr>
        <w:pStyle w:val="13"/>
        <w:shd w:val="clear" w:color="auto" w:fill="FFFFFF"/>
        <w:spacing w:before="0" w:beforeAutospacing="0" w:after="0" w:afterAutospacing="0" w:line="600" w:lineRule="exact"/>
        <w:ind w:firstLine="640" w:firstLineChars="200"/>
        <w:rPr>
          <w:rFonts w:ascii="楷体_GB2312" w:hAnsi="仿宋" w:eastAsia="楷体_GB2312" w:cs="Arial"/>
          <w:color w:val="000000"/>
          <w:sz w:val="32"/>
          <w:szCs w:val="32"/>
        </w:rPr>
      </w:pPr>
      <w:r>
        <w:rPr>
          <w:rFonts w:hint="eastAsia" w:ascii="楷体_GB2312" w:hAnsi="仿宋" w:eastAsia="楷体_GB2312" w:cs="Arial"/>
          <w:color w:val="000000"/>
          <w:sz w:val="32"/>
          <w:szCs w:val="32"/>
        </w:rPr>
        <w:t>1.班子建设</w:t>
      </w:r>
    </w:p>
    <w:p>
      <w:pPr>
        <w:spacing w:line="600" w:lineRule="exact"/>
        <w:ind w:firstLine="640" w:firstLineChars="200"/>
        <w:rPr>
          <w:rFonts w:ascii="仿宋" w:hAnsi="仿宋" w:eastAsia="仿宋"/>
          <w:color w:val="000000"/>
          <w:sz w:val="32"/>
          <w:szCs w:val="32"/>
        </w:rPr>
      </w:pPr>
      <w:r>
        <w:rPr>
          <w:rFonts w:hint="eastAsia" w:ascii="仿宋" w:hAnsi="仿宋" w:eastAsia="仿宋" w:cs="Arial"/>
          <w:color w:val="000000"/>
          <w:sz w:val="32"/>
          <w:szCs w:val="32"/>
        </w:rPr>
        <w:t>“</w:t>
      </w:r>
      <w:r>
        <w:rPr>
          <w:rFonts w:hint="eastAsia" w:ascii="仿宋" w:hAnsi="仿宋" w:eastAsia="仿宋" w:cs="仿宋_GB2312"/>
          <w:sz w:val="32"/>
          <w:szCs w:val="32"/>
        </w:rPr>
        <w:t>团结拼搏、清廉务实、服务师生、奉献社会</w:t>
      </w:r>
      <w:r>
        <w:rPr>
          <w:rFonts w:hint="eastAsia" w:ascii="仿宋" w:hAnsi="仿宋" w:eastAsia="仿宋" w:cs="Arial"/>
          <w:color w:val="000000"/>
          <w:sz w:val="32"/>
          <w:szCs w:val="32"/>
        </w:rPr>
        <w:t>”</w:t>
      </w:r>
      <w:r>
        <w:rPr>
          <w:rFonts w:hint="eastAsia" w:ascii="仿宋" w:hAnsi="仿宋" w:eastAsia="仿宋"/>
          <w:color w:val="000000"/>
          <w:sz w:val="32"/>
          <w:szCs w:val="32"/>
        </w:rPr>
        <w:t>“依法治教、依规治校”为根本开展好班子建设工作。</w:t>
      </w:r>
    </w:p>
    <w:p>
      <w:pPr>
        <w:pStyle w:val="13"/>
        <w:shd w:val="clear" w:color="auto" w:fill="FFFFFF"/>
        <w:spacing w:before="0" w:beforeAutospacing="0" w:after="0" w:afterAutospacing="0" w:line="600" w:lineRule="exact"/>
        <w:ind w:firstLine="640" w:firstLineChars="200"/>
        <w:rPr>
          <w:rFonts w:ascii="楷体_GB2312" w:hAnsi="仿宋" w:eastAsia="楷体_GB2312" w:cs="Arial"/>
          <w:color w:val="000000"/>
          <w:sz w:val="32"/>
          <w:szCs w:val="32"/>
        </w:rPr>
      </w:pPr>
      <w:r>
        <w:rPr>
          <w:rFonts w:hint="eastAsia" w:ascii="楷体_GB2312" w:hAnsi="仿宋" w:eastAsia="楷体_GB2312" w:cs="Arial"/>
          <w:color w:val="000000"/>
          <w:sz w:val="32"/>
          <w:szCs w:val="32"/>
        </w:rPr>
        <w:t>2.队伍建设</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“政治合格、品德合格、专业合格、执行到位”为标准开展好队伍建设工作。</w:t>
      </w:r>
    </w:p>
    <w:p>
      <w:pPr>
        <w:pStyle w:val="13"/>
        <w:shd w:val="clear" w:color="auto" w:fill="FFFFFF"/>
        <w:spacing w:before="0" w:beforeAutospacing="0" w:after="0" w:afterAutospacing="0" w:line="600" w:lineRule="exact"/>
        <w:ind w:firstLine="640" w:firstLineChars="200"/>
        <w:rPr>
          <w:rFonts w:ascii="楷体_GB2312" w:hAnsi="仿宋" w:eastAsia="楷体_GB2312" w:cs="Arial"/>
          <w:color w:val="000000"/>
          <w:sz w:val="32"/>
          <w:szCs w:val="32"/>
        </w:rPr>
      </w:pPr>
      <w:r>
        <w:rPr>
          <w:rFonts w:hint="eastAsia" w:ascii="楷体_GB2312" w:hAnsi="仿宋" w:eastAsia="楷体_GB2312" w:cs="Arial"/>
          <w:color w:val="000000"/>
          <w:sz w:val="32"/>
          <w:szCs w:val="32"/>
        </w:rPr>
        <w:t>3.教育教学工作</w:t>
      </w:r>
    </w:p>
    <w:p>
      <w:pPr>
        <w:pStyle w:val="13"/>
        <w:shd w:val="clear" w:color="auto" w:fill="FFFFFF"/>
        <w:spacing w:before="0" w:beforeAutospacing="0" w:after="0" w:afterAutospacing="0" w:line="580" w:lineRule="exact"/>
        <w:ind w:firstLine="640" w:firstLineChars="200"/>
        <w:rPr>
          <w:rFonts w:ascii="仿宋" w:hAnsi="仿宋" w:eastAsia="仿宋" w:cs="Arial"/>
          <w:color w:val="000000"/>
          <w:sz w:val="32"/>
          <w:szCs w:val="32"/>
        </w:rPr>
      </w:pPr>
      <w:r>
        <w:rPr>
          <w:rFonts w:hint="eastAsia" w:ascii="仿宋" w:hAnsi="仿宋" w:eastAsia="仿宋" w:cs="Arial"/>
          <w:color w:val="000000"/>
          <w:sz w:val="32"/>
          <w:szCs w:val="32"/>
        </w:rPr>
        <w:t>坚持“为党育人、为国育才”的育人宗旨；坚持立德树人为根本任务，培养全面发展的高素质劳动者和技术技能人才；坚持学校培养目标定位为本土型、应用型和实用型；坚持“做精品、铸名校”的办学理念；坚持以改革创新为动力，根据办学方向、培养目标、社会需求，专业建设、课程开发、</w:t>
      </w:r>
      <w:r>
        <w:rPr>
          <w:rFonts w:hint="eastAsia" w:ascii="仿宋" w:hAnsi="仿宋" w:eastAsia="仿宋"/>
          <w:sz w:val="32"/>
          <w:szCs w:val="32"/>
        </w:rPr>
        <w:t>教材建设、技能实训，探索新方向和新路径。</w:t>
      </w:r>
      <w:r>
        <w:rPr>
          <w:rFonts w:hint="eastAsia" w:ascii="仿宋" w:hAnsi="仿宋" w:eastAsia="仿宋" w:cs="Arial"/>
          <w:color w:val="000000"/>
          <w:sz w:val="32"/>
          <w:szCs w:val="32"/>
        </w:rPr>
        <w:t>藏医医疗与藏药专业4名参赛选手在全国藏药辨识技能大赛中取得了第二名的佳绩。</w:t>
      </w:r>
      <w:r>
        <w:rPr>
          <w:rFonts w:hint="eastAsia" w:ascii="仿宋" w:hAnsi="仿宋" w:eastAsia="仿宋"/>
          <w:sz w:val="32"/>
          <w:szCs w:val="32"/>
        </w:rPr>
        <w:t>严格</w:t>
      </w:r>
      <w:r>
        <w:rPr>
          <w:rFonts w:hint="eastAsia" w:ascii="仿宋" w:hAnsi="仿宋" w:eastAsia="仿宋" w:cs="Arial"/>
          <w:color w:val="000000"/>
          <w:sz w:val="32"/>
          <w:szCs w:val="32"/>
        </w:rPr>
        <w:t>讲座管理工作</w:t>
      </w:r>
      <w:r>
        <w:rPr>
          <w:rFonts w:hint="eastAsia" w:ascii="仿宋" w:hAnsi="仿宋" w:eastAsia="仿宋"/>
          <w:sz w:val="32"/>
          <w:szCs w:val="32"/>
        </w:rPr>
        <w:t>。</w:t>
      </w:r>
    </w:p>
    <w:p>
      <w:pPr>
        <w:pStyle w:val="13"/>
        <w:shd w:val="clear" w:color="auto" w:fill="FFFFFF"/>
        <w:spacing w:before="0" w:beforeAutospacing="0" w:after="0" w:afterAutospacing="0" w:line="600" w:lineRule="exact"/>
        <w:ind w:firstLine="640" w:firstLineChars="200"/>
        <w:rPr>
          <w:rFonts w:ascii="楷体_GB2312" w:hAnsi="仿宋" w:eastAsia="楷体_GB2312" w:cs="Arial"/>
          <w:color w:val="000000"/>
          <w:sz w:val="32"/>
          <w:szCs w:val="32"/>
        </w:rPr>
      </w:pPr>
      <w:r>
        <w:rPr>
          <w:rFonts w:hint="eastAsia" w:ascii="楷体_GB2312" w:hAnsi="仿宋" w:eastAsia="楷体_GB2312" w:cs="Arial"/>
          <w:color w:val="000000"/>
          <w:sz w:val="32"/>
          <w:szCs w:val="32"/>
        </w:rPr>
        <w:t>4.招生就业工作</w:t>
      </w:r>
    </w:p>
    <w:p>
      <w:pPr>
        <w:pStyle w:val="13"/>
        <w:shd w:val="clear" w:color="auto" w:fill="FFFFFF"/>
        <w:spacing w:before="0" w:beforeAutospacing="0" w:after="0" w:afterAutospacing="0" w:line="600" w:lineRule="exact"/>
        <w:ind w:firstLine="640" w:firstLineChars="200"/>
        <w:rPr>
          <w:rFonts w:ascii="仿宋" w:hAnsi="仿宋" w:eastAsia="仿宋"/>
          <w:sz w:val="32"/>
          <w:szCs w:val="32"/>
        </w:rPr>
      </w:pPr>
      <w:r>
        <w:rPr>
          <w:rFonts w:hint="eastAsia" w:ascii="仿宋" w:hAnsi="仿宋" w:eastAsia="仿宋"/>
          <w:sz w:val="32"/>
          <w:szCs w:val="32"/>
        </w:rPr>
        <w:t>深化校企合作、产教融合的培养体系，坚持不就业就升学、不升学就就业。今年毕业生</w:t>
      </w:r>
      <w:r>
        <w:rPr>
          <w:rFonts w:ascii="仿宋" w:hAnsi="仿宋" w:eastAsia="仿宋"/>
          <w:sz w:val="32"/>
          <w:szCs w:val="32"/>
        </w:rPr>
        <w:t>475</w:t>
      </w:r>
      <w:r>
        <w:rPr>
          <w:rFonts w:hint="eastAsia" w:ascii="仿宋" w:hAnsi="仿宋" w:eastAsia="仿宋"/>
          <w:sz w:val="32"/>
          <w:szCs w:val="32"/>
        </w:rPr>
        <w:t>名，招生6</w:t>
      </w:r>
      <w:r>
        <w:rPr>
          <w:rFonts w:ascii="仿宋" w:hAnsi="仿宋" w:eastAsia="仿宋"/>
          <w:sz w:val="32"/>
          <w:szCs w:val="32"/>
        </w:rPr>
        <w:t>00</w:t>
      </w:r>
      <w:r>
        <w:rPr>
          <w:rFonts w:hint="eastAsia" w:ascii="仿宋" w:hAnsi="仿宋" w:eastAsia="仿宋"/>
          <w:sz w:val="32"/>
          <w:szCs w:val="32"/>
        </w:rPr>
        <w:t>名。在校学生1</w:t>
      </w:r>
      <w:r>
        <w:rPr>
          <w:rFonts w:ascii="仿宋" w:hAnsi="仿宋" w:eastAsia="仿宋"/>
          <w:sz w:val="32"/>
          <w:szCs w:val="32"/>
        </w:rPr>
        <w:t>768</w:t>
      </w:r>
      <w:r>
        <w:rPr>
          <w:rFonts w:hint="eastAsia" w:ascii="仿宋" w:hAnsi="仿宋" w:eastAsia="仿宋"/>
          <w:sz w:val="32"/>
          <w:szCs w:val="32"/>
        </w:rPr>
        <w:t>名，4</w:t>
      </w:r>
      <w:r>
        <w:rPr>
          <w:rFonts w:ascii="仿宋" w:hAnsi="仿宋" w:eastAsia="仿宋"/>
          <w:sz w:val="32"/>
          <w:szCs w:val="32"/>
        </w:rPr>
        <w:t>4</w:t>
      </w:r>
      <w:r>
        <w:rPr>
          <w:rFonts w:hint="eastAsia" w:ascii="仿宋" w:hAnsi="仿宋" w:eastAsia="仿宋"/>
          <w:sz w:val="32"/>
          <w:szCs w:val="32"/>
        </w:rPr>
        <w:t>个教学班。</w:t>
      </w:r>
    </w:p>
    <w:p>
      <w:pPr>
        <w:pStyle w:val="13"/>
        <w:shd w:val="clear" w:color="auto" w:fill="FFFFFF"/>
        <w:spacing w:before="0" w:beforeAutospacing="0" w:after="0" w:afterAutospacing="0" w:line="600" w:lineRule="exact"/>
        <w:ind w:firstLine="640" w:firstLineChars="200"/>
        <w:rPr>
          <w:rFonts w:ascii="楷体_GB2312" w:hAnsi="仿宋" w:eastAsia="楷体_GB2312" w:cs="Arial"/>
          <w:color w:val="000000"/>
          <w:sz w:val="32"/>
          <w:szCs w:val="32"/>
        </w:rPr>
      </w:pPr>
      <w:r>
        <w:rPr>
          <w:rFonts w:hint="eastAsia" w:ascii="楷体_GB2312" w:hAnsi="仿宋" w:eastAsia="楷体_GB2312" w:cs="Arial"/>
          <w:color w:val="000000"/>
          <w:sz w:val="32"/>
          <w:szCs w:val="32"/>
        </w:rPr>
        <w:t>5.校际合作工作</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继续与四川民院健全中高职并行、纵向贯通、横向融通的培养体系，在联办藏语文专业和民族美术专业中高职五年贯通培养模式的基础上，新申报了旅游专业的中高职五年贯通培养模式。</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继续与西南民大联合举办</w:t>
      </w:r>
      <w:bookmarkStart w:id="19" w:name="_Hlk90473495"/>
      <w:r>
        <w:rPr>
          <w:rFonts w:hint="eastAsia" w:ascii="仿宋" w:hAnsi="仿宋" w:eastAsia="仿宋"/>
          <w:sz w:val="32"/>
          <w:szCs w:val="32"/>
        </w:rPr>
        <w:t>藏语言文学专业自考专、本科层次的学历教育</w:t>
      </w:r>
      <w:bookmarkEnd w:id="19"/>
      <w:r>
        <w:rPr>
          <w:rFonts w:hint="eastAsia" w:ascii="仿宋" w:hAnsi="仿宋" w:eastAsia="仿宋"/>
          <w:sz w:val="32"/>
          <w:szCs w:val="32"/>
        </w:rPr>
        <w:t>。藏药学专业自考专、本科层次的学历教育正在申报中。</w:t>
      </w:r>
    </w:p>
    <w:p>
      <w:pPr>
        <w:pStyle w:val="13"/>
        <w:shd w:val="clear" w:color="auto" w:fill="FFFFFF"/>
        <w:spacing w:before="0" w:beforeAutospacing="0" w:after="0" w:afterAutospacing="0" w:line="600" w:lineRule="exact"/>
        <w:ind w:firstLine="640" w:firstLineChars="200"/>
        <w:rPr>
          <w:rFonts w:ascii="楷体_GB2312" w:hAnsi="仿宋" w:eastAsia="楷体_GB2312" w:cs="Arial"/>
          <w:color w:val="000000"/>
          <w:sz w:val="32"/>
          <w:szCs w:val="32"/>
        </w:rPr>
      </w:pPr>
      <w:r>
        <w:rPr>
          <w:rFonts w:hint="eastAsia" w:ascii="楷体_GB2312" w:hAnsi="仿宋" w:eastAsia="楷体_GB2312" w:cs="Arial"/>
          <w:color w:val="000000"/>
          <w:sz w:val="32"/>
          <w:szCs w:val="32"/>
        </w:rPr>
        <w:t>6.校企合作工作</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加强职业教育省级现代学徒制各合作单位的教育教学、招生就业、学籍管理、实训等各项管理工作，规范与企业的合作工作。省级现代学徒制合作单位共有在校学生（学徒）</w:t>
      </w:r>
      <w:r>
        <w:rPr>
          <w:rFonts w:ascii="仿宋" w:hAnsi="仿宋" w:eastAsia="仿宋"/>
          <w:sz w:val="32"/>
          <w:szCs w:val="32"/>
        </w:rPr>
        <w:t>746</w:t>
      </w:r>
      <w:r>
        <w:rPr>
          <w:rFonts w:hint="eastAsia" w:ascii="仿宋" w:hAnsi="仿宋" w:eastAsia="仿宋"/>
          <w:sz w:val="32"/>
          <w:szCs w:val="32"/>
        </w:rPr>
        <w:t>名，1</w:t>
      </w:r>
      <w:r>
        <w:rPr>
          <w:rFonts w:ascii="仿宋" w:hAnsi="仿宋" w:eastAsia="仿宋"/>
          <w:sz w:val="32"/>
          <w:szCs w:val="32"/>
        </w:rPr>
        <w:t>9</w:t>
      </w:r>
      <w:r>
        <w:rPr>
          <w:rFonts w:hint="eastAsia" w:ascii="仿宋" w:hAnsi="仿宋" w:eastAsia="仿宋"/>
          <w:sz w:val="32"/>
          <w:szCs w:val="32"/>
        </w:rPr>
        <w:t>个教学班。</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（五）庆祝建党1</w:t>
      </w:r>
      <w:r>
        <w:rPr>
          <w:rFonts w:ascii="黑体" w:hAnsi="黑体" w:eastAsia="黑体"/>
          <w:sz w:val="32"/>
          <w:szCs w:val="32"/>
        </w:rPr>
        <w:t>00</w:t>
      </w:r>
      <w:r>
        <w:rPr>
          <w:rFonts w:hint="eastAsia" w:ascii="黑体" w:hAnsi="黑体" w:eastAsia="黑体"/>
          <w:sz w:val="32"/>
          <w:szCs w:val="32"/>
        </w:rPr>
        <w:t>周年暨办学4</w:t>
      </w:r>
      <w:r>
        <w:rPr>
          <w:rFonts w:ascii="黑体" w:hAnsi="黑体" w:eastAsia="黑体"/>
          <w:sz w:val="32"/>
          <w:szCs w:val="32"/>
        </w:rPr>
        <w:t>0</w:t>
      </w:r>
      <w:r>
        <w:rPr>
          <w:rFonts w:hint="eastAsia" w:ascii="黑体" w:hAnsi="黑体" w:eastAsia="黑体"/>
          <w:sz w:val="32"/>
          <w:szCs w:val="32"/>
        </w:rPr>
        <w:t>周年成果展工作</w:t>
      </w:r>
    </w:p>
    <w:p>
      <w:pPr>
        <w:pStyle w:val="13"/>
        <w:shd w:val="clear" w:color="auto" w:fill="FFFFFF"/>
        <w:spacing w:before="0" w:beforeAutospacing="0" w:after="0" w:afterAutospacing="0" w:line="600" w:lineRule="exact"/>
        <w:ind w:firstLine="640" w:firstLineChars="200"/>
        <w:rPr>
          <w:rFonts w:ascii="仿宋" w:hAnsi="仿宋" w:eastAsia="仿宋" w:cs="Arial"/>
          <w:color w:val="000000"/>
          <w:sz w:val="32"/>
          <w:szCs w:val="32"/>
        </w:rPr>
      </w:pPr>
      <w:r>
        <w:rPr>
          <w:rFonts w:hint="eastAsia" w:ascii="仿宋" w:hAnsi="仿宋" w:eastAsia="仿宋" w:cs="Arial"/>
          <w:color w:val="000000"/>
          <w:sz w:val="32"/>
          <w:szCs w:val="32"/>
        </w:rPr>
        <w:t>成功举办“</w:t>
      </w:r>
      <w:r>
        <w:rPr>
          <w:rFonts w:hint="eastAsia" w:ascii="仿宋" w:hAnsi="仿宋" w:eastAsia="仿宋" w:cs="仿宋_GB2312"/>
          <w:color w:val="0D0D0D"/>
          <w:sz w:val="32"/>
        </w:rPr>
        <w:t>庆华诞、展硕果、感党恩</w:t>
      </w:r>
      <w:r>
        <w:rPr>
          <w:rFonts w:hint="eastAsia" w:ascii="仿宋" w:hAnsi="仿宋" w:eastAsia="仿宋" w:cs="Arial"/>
          <w:color w:val="000000"/>
          <w:sz w:val="32"/>
          <w:szCs w:val="32"/>
        </w:rPr>
        <w:t>”为主题的建党100周年庆祝大会，“举旗帜、感党恩、展硕果、谋发展”的歌颂伟大中国共产党，歌颂伟大祖国，铸牢中华民族共同体意识的校园文化活动为载体的办学四十周年成果展活动圆满完成。</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（六）成立名师工作室</w:t>
      </w:r>
    </w:p>
    <w:p>
      <w:pPr>
        <w:ind w:firstLine="640" w:firstLineChars="200"/>
        <w:rPr>
          <w:rFonts w:ascii="仿宋" w:hAnsi="仿宋" w:eastAsia="仿宋"/>
          <w:color w:val="0D0D0D"/>
          <w:sz w:val="32"/>
        </w:rPr>
      </w:pPr>
      <w:r>
        <w:rPr>
          <w:rFonts w:hint="eastAsia" w:ascii="仿宋" w:hAnsi="仿宋" w:eastAsia="仿宋"/>
          <w:color w:val="0D0D0D"/>
          <w:sz w:val="32"/>
        </w:rPr>
        <w:t>在省民族宗教委的关心和支持下，四川省藏文学校以“铸牢中华民族共同体意识”教育为主线，由学识渊博、德高望重的名师领衔，凝练现代教育思想、锻造教学风格与品牌、提升教学质量、强化专业学科建设为主旨，集培养培训、教育研究、教学实践和成果推广等功能于一体的教师发展共同体</w:t>
      </w:r>
      <w:bookmarkStart w:id="20" w:name="_Hlk87279271"/>
      <w:r>
        <w:rPr>
          <w:rFonts w:hint="eastAsia" w:ascii="仿宋" w:hAnsi="仿宋" w:eastAsia="仿宋"/>
          <w:color w:val="0D0D0D"/>
          <w:sz w:val="32"/>
        </w:rPr>
        <w:t>—四川省藏文学校名师工作室</w:t>
      </w:r>
      <w:bookmarkEnd w:id="20"/>
      <w:r>
        <w:rPr>
          <w:rFonts w:hint="eastAsia" w:ascii="仿宋" w:hAnsi="仿宋" w:eastAsia="仿宋"/>
          <w:color w:val="0D0D0D"/>
          <w:sz w:val="32"/>
        </w:rPr>
        <w:t>在学校成立。</w:t>
      </w:r>
    </w:p>
    <w:p>
      <w:pPr>
        <w:spacing w:line="600" w:lineRule="exact"/>
        <w:ind w:firstLine="640" w:firstLineChars="200"/>
        <w:jc w:val="left"/>
        <w:rPr>
          <w:rFonts w:ascii="仿宋" w:hAnsi="仿宋" w:eastAsia="仿宋" w:cs="Arial"/>
          <w:color w:val="000000"/>
          <w:sz w:val="32"/>
          <w:szCs w:val="32"/>
        </w:rPr>
      </w:pPr>
      <w:r>
        <w:rPr>
          <w:rFonts w:hint="eastAsia" w:ascii="仿宋" w:hAnsi="仿宋" w:eastAsia="仿宋"/>
          <w:sz w:val="32"/>
          <w:szCs w:val="32"/>
        </w:rPr>
        <w:t>以“铸牢中华民族共同体意识”统领名师工作室一切工作</w:t>
      </w:r>
      <w:r>
        <w:rPr>
          <w:rFonts w:hint="eastAsia" w:ascii="仿宋" w:hAnsi="仿宋" w:eastAsia="仿宋" w:cs="Arial"/>
          <w:color w:val="000000"/>
          <w:sz w:val="32"/>
          <w:szCs w:val="32"/>
        </w:rPr>
        <w:t>，先后举办四川省藏文学校民族美术专业建设研讨会、四川省藏文学校深化“铸牢中华民族共同体意识”教育教学研讨会、四川省藏文学校藏医医疗与藏药专业建设研讨会；以专业为单位举办了藏医医疗与藏药专业、民族美术专业、藏语文专业学术专题讲座6场次。</w:t>
      </w:r>
    </w:p>
    <w:p>
      <w:pPr>
        <w:widowControl/>
        <w:ind w:firstLine="640" w:firstLineChars="200"/>
        <w:jc w:val="left"/>
        <w:rPr>
          <w:rFonts w:ascii="仿宋" w:hAnsi="仿宋" w:eastAsia="仿宋"/>
          <w:color w:val="0D0D0D"/>
          <w:sz w:val="32"/>
          <w:szCs w:val="32"/>
        </w:rPr>
      </w:pPr>
      <w:r>
        <w:rPr>
          <w:rFonts w:hint="eastAsia" w:ascii="仿宋" w:hAnsi="仿宋" w:eastAsia="仿宋"/>
          <w:sz w:val="32"/>
          <w:szCs w:val="32"/>
        </w:rPr>
        <w:t>名师工作室名师领衔对</w:t>
      </w:r>
      <w:r>
        <w:rPr>
          <w:rFonts w:hint="eastAsia" w:ascii="仿宋" w:hAnsi="仿宋" w:eastAsia="仿宋"/>
          <w:color w:val="0D0D0D"/>
          <w:sz w:val="32"/>
        </w:rPr>
        <w:t>藏语文专业汉藏翻译、藏医医疗与藏药专业药物识别、民族美术专业职业技能类的校本教材的整理完善工作已启动。</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（七）安全及疫情防控工作</w:t>
      </w:r>
    </w:p>
    <w:p>
      <w:pPr>
        <w:ind w:firstLine="736" w:firstLineChars="230"/>
        <w:jc w:val="left"/>
        <w:rPr>
          <w:rFonts w:ascii="仿宋" w:hAnsi="仿宋" w:eastAsia="仿宋"/>
          <w:sz w:val="32"/>
        </w:rPr>
      </w:pPr>
      <w:r>
        <w:rPr>
          <w:rFonts w:hint="eastAsia" w:ascii="仿宋" w:hAnsi="仿宋" w:eastAsia="仿宋" w:cs="宋体"/>
          <w:kern w:val="24"/>
          <w:sz w:val="32"/>
          <w:szCs w:val="32"/>
        </w:rPr>
        <w:t>制定《四川省藏文学校2021年突发应急事件工作预案》</w:t>
      </w:r>
      <w:r>
        <w:rPr>
          <w:rFonts w:hint="eastAsia" w:ascii="仿宋" w:hAnsi="仿宋" w:eastAsia="仿宋"/>
          <w:color w:val="000000"/>
          <w:sz w:val="32"/>
          <w:szCs w:val="32"/>
        </w:rPr>
        <w:t>提高安全意识，加强安全管理、安全教育、安全检查，扎实做好重点维稳期和学校常态维稳工作，确保了学校安全工作各项措施落到实处。</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“师生至上、生命</w:t>
      </w:r>
      <w:r>
        <w:rPr>
          <w:rFonts w:hint="eastAsia" w:ascii="仿宋" w:hAnsi="仿宋" w:eastAsia="仿宋"/>
          <w:sz w:val="32"/>
        </w:rPr>
        <w:t>至上”的使命担当，持续抓好疫情防控工作，</w:t>
      </w:r>
      <w:r>
        <w:rPr>
          <w:rFonts w:hint="eastAsia" w:ascii="仿宋" w:hAnsi="仿宋" w:eastAsia="仿宋"/>
          <w:color w:val="000000"/>
          <w:sz w:val="32"/>
          <w:szCs w:val="32"/>
        </w:rPr>
        <w:t>全校师生</w:t>
      </w:r>
      <w:r>
        <w:rPr>
          <w:rFonts w:hint="eastAsia" w:ascii="仿宋" w:hAnsi="仿宋" w:eastAsia="仿宋"/>
          <w:sz w:val="32"/>
        </w:rPr>
        <w:t>及校内从业人员新冠</w:t>
      </w:r>
      <w:r>
        <w:rPr>
          <w:rFonts w:hint="eastAsia" w:ascii="仿宋" w:hAnsi="仿宋" w:eastAsia="仿宋"/>
          <w:color w:val="000000"/>
          <w:sz w:val="32"/>
          <w:szCs w:val="32"/>
        </w:rPr>
        <w:t>疫苗接种达到了“应接尽接”的要求。校外实训点的师生均按照属地管理原则完成了疫情防控任务。</w:t>
      </w:r>
    </w:p>
    <w:p>
      <w:pPr>
        <w:widowControl/>
        <w:jc w:val="left"/>
        <w:rPr>
          <w:rFonts w:ascii="仿宋" w:hAnsi="仿宋" w:eastAsia="仿宋"/>
          <w:kern w:val="0"/>
          <w:sz w:val="32"/>
          <w:szCs w:val="32"/>
        </w:rPr>
      </w:pPr>
    </w:p>
    <w:p>
      <w:pPr>
        <w:pStyle w:val="4"/>
        <w:numPr>
          <w:ilvl w:val="0"/>
          <w:numId w:val="3"/>
        </w:numPr>
        <w:rPr>
          <w:rFonts w:ascii="黑体" w:hAnsi="黑体" w:eastAsia="黑体"/>
          <w:b w:val="0"/>
        </w:rPr>
      </w:pPr>
      <w:bookmarkStart w:id="21" w:name="_Toc15396602"/>
      <w:bookmarkStart w:id="22" w:name="_Toc15377204"/>
      <w:r>
        <w:rPr>
          <w:rFonts w:hint="eastAsia" w:ascii="黑体" w:hAnsi="黑体" w:eastAsia="黑体"/>
          <w:b w:val="0"/>
        </w:rPr>
        <w:t>机构设置情况</w:t>
      </w:r>
    </w:p>
    <w:p>
      <w:pPr>
        <w:spacing w:line="600" w:lineRule="exact"/>
        <w:ind w:firstLine="640" w:firstLineChars="200"/>
        <w:rPr>
          <w:rFonts w:hint="eastAsia" w:ascii="仿宋_GB2312" w:hAnsi="仿宋" w:eastAsia="仿宋_GB2312" w:cstheme="minorBidi"/>
          <w:sz w:val="32"/>
          <w:szCs w:val="32"/>
          <w:lang w:val="en-US" w:eastAsia="zh-CN"/>
        </w:rPr>
      </w:pPr>
      <w:r>
        <w:rPr>
          <w:rFonts w:hint="eastAsia" w:ascii="仿宋_GB2312" w:hAnsi="仿宋" w:eastAsia="仿宋_GB2312" w:cstheme="minorBidi"/>
          <w:sz w:val="32"/>
          <w:szCs w:val="32"/>
          <w:lang w:val="en-US" w:eastAsia="zh-CN"/>
        </w:rPr>
        <w:t>学校由10个科室组成，分别是：办公室、教务科、学生科、总务科、藏医科、藏学研究室、保卫科、招生就业指导科、群团和工会机构。</w:t>
      </w:r>
    </w:p>
    <w:p>
      <w:pPr>
        <w:pStyle w:val="2"/>
        <w:rPr>
          <w:rFonts w:hint="eastAsia" w:ascii="仿宋_GB2312" w:hAnsi="仿宋" w:eastAsia="仿宋_GB2312" w:cstheme="minorBidi"/>
          <w:sz w:val="32"/>
          <w:szCs w:val="32"/>
          <w:lang w:val="en-US" w:eastAsia="zh-CN"/>
        </w:rPr>
      </w:pPr>
    </w:p>
    <w:p>
      <w:pPr>
        <w:pStyle w:val="2"/>
        <w:rPr>
          <w:rFonts w:hint="eastAsia" w:ascii="仿宋_GB2312" w:hAnsi="仿宋" w:eastAsia="仿宋_GB2312" w:cstheme="minorBidi"/>
          <w:sz w:val="32"/>
          <w:szCs w:val="32"/>
          <w:lang w:val="en-US" w:eastAsia="zh-CN"/>
        </w:rPr>
      </w:pPr>
    </w:p>
    <w:p>
      <w:pPr>
        <w:pStyle w:val="3"/>
        <w:ind w:right="440"/>
        <w:jc w:val="center"/>
      </w:pPr>
      <w:r>
        <w:rPr>
          <w:rFonts w:hint="eastAsia" w:ascii="黑体" w:hAnsi="黑体" w:eastAsia="黑体"/>
          <w:b w:val="0"/>
        </w:rPr>
        <w:t>第二部分 2021年度</w:t>
      </w:r>
      <w:r>
        <w:rPr>
          <w:rStyle w:val="26"/>
          <w:rFonts w:hint="eastAsia" w:ascii="黑体" w:hAnsi="黑体" w:eastAsia="黑体"/>
          <w:b w:val="0"/>
          <w:bCs/>
        </w:rPr>
        <w:t>单位决算情况说明</w:t>
      </w:r>
      <w:bookmarkEnd w:id="21"/>
      <w:bookmarkEnd w:id="22"/>
    </w:p>
    <w:p>
      <w:pPr>
        <w:pStyle w:val="25"/>
        <w:numPr>
          <w:ilvl w:val="0"/>
          <w:numId w:val="4"/>
        </w:numPr>
        <w:spacing w:line="600" w:lineRule="exact"/>
        <w:ind w:firstLineChars="0"/>
        <w:outlineLvl w:val="1"/>
        <w:rPr>
          <w:rStyle w:val="27"/>
          <w:rFonts w:ascii="黑体" w:hAnsi="黑体" w:eastAsia="黑体"/>
          <w:b w:val="0"/>
        </w:rPr>
      </w:pPr>
      <w:bookmarkStart w:id="23" w:name="_Toc15396603"/>
      <w:bookmarkStart w:id="24" w:name="_Toc15377205"/>
      <w:r>
        <w:rPr>
          <w:rFonts w:hint="eastAsia" w:ascii="黑体" w:hAnsi="黑体" w:eastAsia="黑体"/>
          <w:sz w:val="32"/>
          <w:szCs w:val="32"/>
        </w:rPr>
        <w:t>收</w:t>
      </w:r>
      <w:r>
        <w:rPr>
          <w:rStyle w:val="27"/>
          <w:rFonts w:hint="eastAsia" w:ascii="黑体" w:hAnsi="黑体" w:eastAsia="黑体"/>
          <w:b w:val="0"/>
        </w:rPr>
        <w:t>入支出决算总体情况说明</w:t>
      </w:r>
      <w:bookmarkEnd w:id="23"/>
      <w:bookmarkEnd w:id="24"/>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2021年度收、支总计2125.51万元。与2020年相比，收、支总计各增加298.07万元，增长16.31</w:t>
      </w:r>
      <w:r>
        <w:rPr>
          <w:rFonts w:ascii="仿宋" w:hAnsi="仿宋" w:eastAsia="仿宋"/>
          <w:sz w:val="32"/>
          <w:szCs w:val="32"/>
        </w:rPr>
        <w:t>%</w:t>
      </w:r>
      <w:r>
        <w:rPr>
          <w:rFonts w:hint="eastAsia" w:ascii="仿宋" w:hAnsi="仿宋" w:eastAsia="仿宋"/>
          <w:sz w:val="32"/>
          <w:szCs w:val="32"/>
        </w:rPr>
        <w:t>。主要变动原因是一是人员类费用的增加；二是基建资金的增加。</w:t>
      </w:r>
    </w:p>
    <w:p>
      <w:pPr>
        <w:spacing w:line="600" w:lineRule="exact"/>
        <w:ind w:firstLine="640" w:firstLineChars="200"/>
        <w:jc w:val="left"/>
        <w:rPr>
          <w:rFonts w:ascii="仿宋_GB2312" w:eastAsia="仿宋_GB2312"/>
          <w:sz w:val="32"/>
          <w:szCs w:val="32"/>
        </w:rPr>
      </w:pPr>
    </w:p>
    <w:p>
      <w:pPr>
        <w:pStyle w:val="2"/>
        <w:spacing w:before="93"/>
        <w:rPr>
          <w:sz w:val="32"/>
          <w:szCs w:val="32"/>
        </w:rPr>
      </w:pPr>
      <w:r>
        <w:rPr>
          <w:rFonts w:hint="eastAsia"/>
          <w:sz w:val="32"/>
          <w:szCs w:val="32"/>
        </w:rPr>
        <w:drawing>
          <wp:inline distT="0" distB="0" distL="114300" distR="114300">
            <wp:extent cx="5080000" cy="3056255"/>
            <wp:effectExtent l="4445" t="4445" r="5715" b="1778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
        <w:spacing w:before="93"/>
        <w:rPr>
          <w:sz w:val="32"/>
          <w:szCs w:val="32"/>
        </w:rPr>
      </w:pPr>
    </w:p>
    <w:p>
      <w:pPr>
        <w:pStyle w:val="25"/>
        <w:numPr>
          <w:ilvl w:val="0"/>
          <w:numId w:val="4"/>
        </w:numPr>
        <w:spacing w:line="600" w:lineRule="exact"/>
        <w:ind w:firstLineChars="0"/>
        <w:outlineLvl w:val="1"/>
        <w:rPr>
          <w:rStyle w:val="27"/>
          <w:rFonts w:ascii="黑体" w:hAnsi="黑体" w:eastAsia="黑体"/>
          <w:b w:val="0"/>
        </w:rPr>
      </w:pPr>
      <w:bookmarkStart w:id="25" w:name="_Toc15377206"/>
      <w:bookmarkStart w:id="26" w:name="_Toc15396604"/>
      <w:r>
        <w:rPr>
          <w:rFonts w:hint="eastAsia" w:ascii="黑体" w:hAnsi="黑体" w:eastAsia="黑体"/>
          <w:sz w:val="32"/>
          <w:szCs w:val="32"/>
        </w:rPr>
        <w:t>收</w:t>
      </w:r>
      <w:r>
        <w:rPr>
          <w:rStyle w:val="27"/>
          <w:rFonts w:hint="eastAsia" w:ascii="黑体" w:hAnsi="黑体" w:eastAsia="黑体"/>
          <w:b w:val="0"/>
        </w:rPr>
        <w:t>入决算情况说明</w:t>
      </w:r>
      <w:bookmarkEnd w:id="25"/>
      <w:bookmarkEnd w:id="26"/>
    </w:p>
    <w:p>
      <w:pPr>
        <w:spacing w:line="600" w:lineRule="exact"/>
        <w:ind w:firstLine="640" w:firstLineChars="200"/>
        <w:outlineLvl w:val="1"/>
        <w:rPr>
          <w:rFonts w:ascii="仿宋_GB2312" w:eastAsia="仿宋"/>
          <w:sz w:val="32"/>
          <w:szCs w:val="32"/>
        </w:rPr>
      </w:pPr>
      <w:r>
        <w:rPr>
          <w:rFonts w:ascii="仿宋" w:hAnsi="仿宋" w:eastAsia="仿宋"/>
          <w:sz w:val="32"/>
          <w:szCs w:val="32"/>
        </w:rPr>
        <w:t>20</w:t>
      </w:r>
      <w:r>
        <w:rPr>
          <w:rFonts w:hint="eastAsia" w:ascii="仿宋" w:hAnsi="仿宋" w:eastAsia="仿宋"/>
          <w:sz w:val="32"/>
          <w:szCs w:val="32"/>
        </w:rPr>
        <w:t>21年本年收入合计2125.51万元，其中：一般公共预算财政拨款收入1702.45万元，占80.10</w:t>
      </w:r>
      <w:r>
        <w:rPr>
          <w:rFonts w:ascii="仿宋" w:hAnsi="仿宋" w:eastAsia="仿宋"/>
          <w:sz w:val="32"/>
          <w:szCs w:val="32"/>
        </w:rPr>
        <w:t>%</w:t>
      </w:r>
      <w:r>
        <w:rPr>
          <w:rFonts w:hint="eastAsia" w:ascii="仿宋" w:hAnsi="仿宋" w:eastAsia="仿宋"/>
          <w:sz w:val="32"/>
          <w:szCs w:val="32"/>
        </w:rPr>
        <w:t>；政府性基金预算财政拨款收入0万元，占0</w:t>
      </w:r>
      <w:r>
        <w:rPr>
          <w:rFonts w:ascii="仿宋" w:hAnsi="仿宋" w:eastAsia="仿宋"/>
          <w:sz w:val="32"/>
          <w:szCs w:val="32"/>
        </w:rPr>
        <w:t>%</w:t>
      </w:r>
      <w:r>
        <w:rPr>
          <w:rFonts w:hint="eastAsia" w:ascii="仿宋" w:hAnsi="仿宋" w:eastAsia="仿宋"/>
          <w:sz w:val="32"/>
          <w:szCs w:val="32"/>
        </w:rPr>
        <w:t>；国有资本经营预算财政拨款收入0万元，占0；上级补助收入0万元，占0</w:t>
      </w:r>
      <w:r>
        <w:rPr>
          <w:rFonts w:ascii="仿宋" w:hAnsi="仿宋" w:eastAsia="仿宋"/>
          <w:sz w:val="32"/>
          <w:szCs w:val="32"/>
        </w:rPr>
        <w:t>%</w:t>
      </w:r>
      <w:r>
        <w:rPr>
          <w:rFonts w:hint="eastAsia" w:ascii="仿宋" w:hAnsi="仿宋" w:eastAsia="仿宋"/>
          <w:sz w:val="32"/>
          <w:szCs w:val="32"/>
        </w:rPr>
        <w:t>；事业收入107.22万元，占5.04</w:t>
      </w:r>
      <w:r>
        <w:rPr>
          <w:rFonts w:ascii="仿宋" w:hAnsi="仿宋" w:eastAsia="仿宋"/>
          <w:sz w:val="32"/>
          <w:szCs w:val="32"/>
        </w:rPr>
        <w:t>%</w:t>
      </w:r>
      <w:r>
        <w:rPr>
          <w:rFonts w:hint="eastAsia" w:ascii="仿宋" w:hAnsi="仿宋" w:eastAsia="仿宋"/>
          <w:sz w:val="32"/>
          <w:szCs w:val="32"/>
        </w:rPr>
        <w:t>；经营收入0万元，占0</w:t>
      </w:r>
      <w:r>
        <w:rPr>
          <w:rFonts w:ascii="仿宋" w:hAnsi="仿宋" w:eastAsia="仿宋"/>
          <w:sz w:val="32"/>
          <w:szCs w:val="32"/>
        </w:rPr>
        <w:t>%</w:t>
      </w:r>
      <w:r>
        <w:rPr>
          <w:rFonts w:hint="eastAsia" w:ascii="仿宋" w:hAnsi="仿宋" w:eastAsia="仿宋"/>
          <w:sz w:val="32"/>
          <w:szCs w:val="32"/>
        </w:rPr>
        <w:t>；附属单位上缴收入</w:t>
      </w:r>
      <w:r>
        <w:rPr>
          <w:rFonts w:ascii="仿宋" w:hAnsi="仿宋" w:eastAsia="仿宋"/>
          <w:sz w:val="32"/>
          <w:szCs w:val="32"/>
        </w:rPr>
        <w:t>*</w:t>
      </w:r>
      <w:r>
        <w:rPr>
          <w:rFonts w:hint="eastAsia" w:ascii="仿宋" w:hAnsi="仿宋" w:eastAsia="仿宋"/>
          <w:sz w:val="32"/>
          <w:szCs w:val="32"/>
        </w:rPr>
        <w:t>0万元，占0</w:t>
      </w:r>
      <w:r>
        <w:rPr>
          <w:rFonts w:ascii="仿宋" w:hAnsi="仿宋" w:eastAsia="仿宋"/>
          <w:sz w:val="32"/>
          <w:szCs w:val="32"/>
        </w:rPr>
        <w:t>%</w:t>
      </w:r>
      <w:r>
        <w:rPr>
          <w:rFonts w:hint="eastAsia" w:ascii="仿宋" w:hAnsi="仿宋" w:eastAsia="仿宋"/>
          <w:sz w:val="32"/>
          <w:szCs w:val="32"/>
        </w:rPr>
        <w:t>；其他收入118.03万元，占5.55</w:t>
      </w:r>
      <w:r>
        <w:rPr>
          <w:rFonts w:ascii="仿宋" w:hAnsi="仿宋" w:eastAsia="仿宋"/>
          <w:sz w:val="32"/>
          <w:szCs w:val="32"/>
        </w:rPr>
        <w:t>%,</w:t>
      </w:r>
      <w:r>
        <w:rPr>
          <w:rFonts w:hint="eastAsia" w:ascii="仿宋" w:hAnsi="仿宋" w:eastAsia="仿宋"/>
          <w:sz w:val="32"/>
          <w:szCs w:val="32"/>
        </w:rPr>
        <w:t>年初结转和结余197.81万元，占9.31%。</w:t>
      </w:r>
    </w:p>
    <w:p>
      <w:pPr>
        <w:pStyle w:val="2"/>
        <w:spacing w:before="93"/>
        <w:rPr>
          <w:sz w:val="32"/>
          <w:szCs w:val="32"/>
        </w:rPr>
      </w:pPr>
      <w:r>
        <w:rPr>
          <w:rFonts w:hint="eastAsia"/>
          <w:sz w:val="32"/>
          <w:szCs w:val="32"/>
        </w:rPr>
        <w:drawing>
          <wp:inline distT="0" distB="0" distL="114300" distR="114300">
            <wp:extent cx="5080000" cy="3025140"/>
            <wp:effectExtent l="4445" t="4445" r="5715" b="1841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5"/>
        <w:numPr>
          <w:ilvl w:val="0"/>
          <w:numId w:val="4"/>
        </w:numPr>
        <w:spacing w:line="600" w:lineRule="exact"/>
        <w:ind w:firstLineChars="0"/>
        <w:outlineLvl w:val="1"/>
        <w:rPr>
          <w:rStyle w:val="27"/>
          <w:rFonts w:ascii="黑体" w:hAnsi="黑体" w:eastAsia="黑体"/>
          <w:b w:val="0"/>
        </w:rPr>
      </w:pPr>
      <w:bookmarkStart w:id="27" w:name="_Toc15377207"/>
      <w:bookmarkStart w:id="28" w:name="_Toc15396605"/>
      <w:r>
        <w:rPr>
          <w:rFonts w:hint="eastAsia" w:ascii="黑体" w:hAnsi="黑体" w:eastAsia="黑体"/>
          <w:sz w:val="32"/>
          <w:szCs w:val="32"/>
        </w:rPr>
        <w:t>支</w:t>
      </w:r>
      <w:r>
        <w:rPr>
          <w:rStyle w:val="27"/>
          <w:rFonts w:hint="eastAsia" w:ascii="黑体" w:hAnsi="黑体" w:eastAsia="黑体"/>
          <w:b w:val="0"/>
        </w:rPr>
        <w:t>出决算情况说明</w:t>
      </w:r>
      <w:bookmarkEnd w:id="27"/>
      <w:bookmarkEnd w:id="28"/>
    </w:p>
    <w:p>
      <w:pPr>
        <w:spacing w:line="600" w:lineRule="exact"/>
        <w:ind w:firstLine="640" w:firstLineChars="200"/>
        <w:outlineLvl w:val="1"/>
        <w:rPr>
          <w:rFonts w:ascii="仿宋_GB2312" w:eastAsia="仿宋_GB2312"/>
          <w:sz w:val="32"/>
          <w:szCs w:val="32"/>
        </w:rPr>
      </w:pPr>
      <w:r>
        <w:rPr>
          <w:rFonts w:ascii="仿宋" w:hAnsi="仿宋" w:eastAsia="仿宋"/>
          <w:sz w:val="32"/>
          <w:szCs w:val="32"/>
        </w:rPr>
        <w:t>20</w:t>
      </w:r>
      <w:r>
        <w:rPr>
          <w:rFonts w:hint="eastAsia" w:ascii="仿宋" w:hAnsi="仿宋" w:eastAsia="仿宋"/>
          <w:sz w:val="32"/>
          <w:szCs w:val="32"/>
        </w:rPr>
        <w:t>21年本年支出合计1963.94万元，其中：基本支出1021.02万元，占51.99</w:t>
      </w:r>
      <w:r>
        <w:rPr>
          <w:rFonts w:ascii="仿宋" w:hAnsi="仿宋" w:eastAsia="仿宋"/>
          <w:sz w:val="32"/>
          <w:szCs w:val="32"/>
        </w:rPr>
        <w:t>%</w:t>
      </w:r>
      <w:r>
        <w:rPr>
          <w:rFonts w:hint="eastAsia" w:ascii="仿宋" w:hAnsi="仿宋" w:eastAsia="仿宋"/>
          <w:sz w:val="32"/>
          <w:szCs w:val="32"/>
        </w:rPr>
        <w:t>；项目支出942.92万元，占48.01</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p>
    <w:p>
      <w:pPr>
        <w:pStyle w:val="2"/>
        <w:spacing w:before="93"/>
        <w:rPr>
          <w:sz w:val="32"/>
          <w:szCs w:val="32"/>
        </w:rPr>
      </w:pPr>
      <w:r>
        <w:rPr>
          <w:rFonts w:hint="eastAsia"/>
          <w:sz w:val="32"/>
          <w:szCs w:val="32"/>
        </w:rPr>
        <w:drawing>
          <wp:inline distT="0" distB="0" distL="114300" distR="114300">
            <wp:extent cx="5080000" cy="2514600"/>
            <wp:effectExtent l="4445" t="4445" r="20955"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27"/>
          <w:rFonts w:ascii="黑体" w:hAnsi="黑体" w:eastAsia="黑体"/>
          <w:b w:val="0"/>
        </w:rPr>
      </w:pPr>
      <w:bookmarkStart w:id="29" w:name="_Toc15377208"/>
      <w:bookmarkStart w:id="30" w:name="_Toc15396606"/>
      <w:r>
        <w:rPr>
          <w:rFonts w:hint="eastAsia" w:ascii="黑体" w:hAnsi="黑体" w:eastAsia="黑体"/>
          <w:sz w:val="32"/>
          <w:szCs w:val="32"/>
        </w:rPr>
        <w:t>四、财</w:t>
      </w:r>
      <w:r>
        <w:rPr>
          <w:rStyle w:val="27"/>
          <w:rFonts w:hint="eastAsia" w:ascii="黑体" w:hAnsi="黑体" w:eastAsia="黑体"/>
          <w:b w:val="0"/>
        </w:rPr>
        <w:t>政拨款收入支出决算总体情况说明</w:t>
      </w:r>
      <w:bookmarkEnd w:id="29"/>
      <w:bookmarkEnd w:id="30"/>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21年财政拨款收、支总计1702.45万元。与</w:t>
      </w:r>
      <w:r>
        <w:rPr>
          <w:rFonts w:ascii="仿宋" w:hAnsi="仿宋" w:eastAsia="仿宋"/>
          <w:sz w:val="32"/>
          <w:szCs w:val="32"/>
        </w:rPr>
        <w:t>20</w:t>
      </w:r>
      <w:r>
        <w:rPr>
          <w:rFonts w:hint="eastAsia" w:ascii="仿宋" w:hAnsi="仿宋" w:eastAsia="仿宋"/>
          <w:sz w:val="32"/>
          <w:szCs w:val="32"/>
        </w:rPr>
        <w:t>20年相比，财政拨款收、支总计各增加196.91万元，增长13.07</w:t>
      </w:r>
      <w:r>
        <w:rPr>
          <w:rFonts w:ascii="仿宋" w:hAnsi="仿宋" w:eastAsia="仿宋"/>
          <w:sz w:val="32"/>
          <w:szCs w:val="32"/>
        </w:rPr>
        <w:t>%</w:t>
      </w:r>
      <w:r>
        <w:rPr>
          <w:rFonts w:hint="eastAsia" w:ascii="仿宋" w:hAnsi="仿宋" w:eastAsia="仿宋"/>
          <w:sz w:val="32"/>
          <w:szCs w:val="32"/>
        </w:rPr>
        <w:t>。主要变动原因是人员类及项目经费的增加。</w:t>
      </w:r>
    </w:p>
    <w:p>
      <w:pPr>
        <w:pStyle w:val="2"/>
        <w:spacing w:before="93"/>
        <w:rPr>
          <w:rFonts w:ascii="仿宋" w:hAnsi="仿宋" w:eastAsia="仿宋"/>
          <w:b/>
          <w:sz w:val="32"/>
          <w:szCs w:val="32"/>
        </w:rPr>
      </w:pPr>
      <w:r>
        <w:rPr>
          <w:rFonts w:hint="eastAsia" w:ascii="仿宋" w:hAnsi="仿宋" w:eastAsia="仿宋"/>
          <w:b/>
          <w:sz w:val="32"/>
          <w:szCs w:val="32"/>
        </w:rPr>
        <w:drawing>
          <wp:inline distT="0" distB="0" distL="114300" distR="114300">
            <wp:extent cx="5080000" cy="3029585"/>
            <wp:effectExtent l="4445" t="4445" r="5715" b="1397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Style w:val="27"/>
          <w:rFonts w:ascii="黑体" w:hAnsi="黑体" w:eastAsia="黑体"/>
          <w:b w:val="0"/>
        </w:rPr>
      </w:pPr>
      <w:bookmarkStart w:id="31" w:name="_Toc15377209"/>
      <w:bookmarkStart w:id="32" w:name="_Toc15396607"/>
      <w:r>
        <w:rPr>
          <w:rFonts w:hint="eastAsia" w:ascii="黑体" w:hAnsi="黑体" w:eastAsia="黑体"/>
          <w:sz w:val="32"/>
          <w:szCs w:val="32"/>
        </w:rPr>
        <w:t>五、</w:t>
      </w:r>
      <w:r>
        <w:rPr>
          <w:rFonts w:hint="eastAsia" w:ascii="黑体" w:hAnsi="黑体" w:eastAsia="黑体"/>
          <w:b/>
          <w:sz w:val="32"/>
          <w:szCs w:val="32"/>
        </w:rPr>
        <w:t>一</w:t>
      </w:r>
      <w:r>
        <w:rPr>
          <w:rStyle w:val="27"/>
          <w:rFonts w:hint="eastAsia" w:ascii="黑体" w:hAnsi="黑体" w:eastAsia="黑体"/>
          <w:b w:val="0"/>
        </w:rPr>
        <w:t>般公共预算财政拨款支出决算情况说明</w:t>
      </w:r>
      <w:bookmarkEnd w:id="31"/>
      <w:bookmarkEnd w:id="32"/>
    </w:p>
    <w:p>
      <w:pPr>
        <w:spacing w:line="600" w:lineRule="exact"/>
        <w:ind w:firstLine="643" w:firstLineChars="200"/>
        <w:outlineLvl w:val="2"/>
        <w:rPr>
          <w:rFonts w:ascii="仿宋" w:hAnsi="仿宋" w:eastAsia="仿宋"/>
          <w:b/>
          <w:sz w:val="32"/>
          <w:szCs w:val="32"/>
        </w:rPr>
      </w:pPr>
      <w:bookmarkStart w:id="33" w:name="_Toc15377210"/>
      <w:r>
        <w:rPr>
          <w:rFonts w:hint="eastAsia" w:ascii="仿宋" w:hAnsi="仿宋" w:eastAsia="仿宋"/>
          <w:b/>
          <w:sz w:val="32"/>
          <w:szCs w:val="32"/>
        </w:rPr>
        <w:t>（一）一般公共预算财政拨款支出决算总体情况</w:t>
      </w:r>
      <w:bookmarkEnd w:id="33"/>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21年一般公共预算财政拨款支出1702.45万元，占本年支出合计的86.68</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20年相比，一般公共预算财政拨款支出增加196.91万元，增长13.07</w:t>
      </w:r>
      <w:r>
        <w:rPr>
          <w:rFonts w:ascii="仿宋" w:hAnsi="仿宋" w:eastAsia="仿宋"/>
          <w:sz w:val="32"/>
          <w:szCs w:val="32"/>
        </w:rPr>
        <w:t>%</w:t>
      </w:r>
      <w:r>
        <w:rPr>
          <w:rFonts w:hint="eastAsia" w:ascii="仿宋" w:hAnsi="仿宋" w:eastAsia="仿宋"/>
          <w:sz w:val="32"/>
          <w:szCs w:val="32"/>
        </w:rPr>
        <w:t>。主要变动原因是人员类及项目经费的增加。</w:t>
      </w:r>
    </w:p>
    <w:p>
      <w:pPr>
        <w:pStyle w:val="2"/>
        <w:spacing w:before="93"/>
        <w:rPr>
          <w:rFonts w:ascii="仿宋" w:hAnsi="仿宋" w:eastAsia="仿宋"/>
          <w:sz w:val="32"/>
          <w:szCs w:val="32"/>
        </w:rPr>
      </w:pPr>
    </w:p>
    <w:p>
      <w:pPr>
        <w:pStyle w:val="2"/>
        <w:spacing w:before="93"/>
        <w:rPr>
          <w:rFonts w:ascii="仿宋" w:hAnsi="仿宋" w:eastAsia="仿宋"/>
          <w:sz w:val="32"/>
          <w:szCs w:val="32"/>
        </w:rPr>
      </w:pPr>
      <w:r>
        <w:rPr>
          <w:rFonts w:ascii="仿宋" w:hAnsi="仿宋" w:eastAsia="仿宋"/>
          <w:sz w:val="32"/>
          <w:szCs w:val="32"/>
        </w:rPr>
        <w:drawing>
          <wp:inline distT="0" distB="0" distL="114300" distR="114300">
            <wp:extent cx="5080000" cy="3058160"/>
            <wp:effectExtent l="4445" t="4445" r="5715" b="1587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ascii="仿宋" w:hAnsi="仿宋" w:eastAsia="仿宋"/>
          <w:b/>
          <w:sz w:val="32"/>
          <w:szCs w:val="32"/>
        </w:rPr>
      </w:pPr>
      <w:bookmarkStart w:id="34" w:name="_Toc15377211"/>
      <w:r>
        <w:rPr>
          <w:rFonts w:hint="eastAsia" w:ascii="仿宋" w:hAnsi="仿宋" w:eastAsia="仿宋"/>
          <w:b/>
          <w:sz w:val="32"/>
          <w:szCs w:val="32"/>
        </w:rPr>
        <w:t>（二）一般公共预算财政拨款支出决算结构情况</w:t>
      </w:r>
      <w:bookmarkEnd w:id="34"/>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21年一般公共预算财政拨款支出1702.45万元，主要用于以下方面</w:t>
      </w:r>
      <w:r>
        <w:rPr>
          <w:rFonts w:ascii="仿宋" w:hAnsi="仿宋" w:eastAsia="仿宋"/>
          <w:sz w:val="32"/>
          <w:szCs w:val="32"/>
        </w:rPr>
        <w:t>:</w:t>
      </w:r>
      <w:r>
        <w:rPr>
          <w:rFonts w:hint="eastAsia" w:ascii="仿宋" w:hAnsi="仿宋" w:eastAsia="仿宋"/>
          <w:b/>
          <w:sz w:val="32"/>
          <w:szCs w:val="32"/>
        </w:rPr>
        <w:t>一般公共服务（类）</w:t>
      </w:r>
      <w:r>
        <w:rPr>
          <w:rFonts w:hint="eastAsia" w:ascii="仿宋" w:hAnsi="仿宋" w:eastAsia="仿宋"/>
          <w:sz w:val="32"/>
          <w:szCs w:val="32"/>
        </w:rPr>
        <w:t>支出8.42万元，占0.49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教育支出（类）1694.03</w:t>
      </w:r>
      <w:r>
        <w:rPr>
          <w:rFonts w:hint="eastAsia" w:ascii="仿宋" w:hAnsi="仿宋" w:eastAsia="仿宋"/>
          <w:sz w:val="32"/>
          <w:szCs w:val="32"/>
        </w:rPr>
        <w:t>元，占99.51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科学技术（类）</w:t>
      </w:r>
      <w:r>
        <w:rPr>
          <w:rFonts w:hint="eastAsia" w:ascii="仿宋" w:hAnsi="仿宋" w:eastAsia="仿宋"/>
          <w:sz w:val="32"/>
          <w:szCs w:val="32"/>
        </w:rPr>
        <w:t>支出0万元，占0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文化旅游体育与传媒（类）支出0万元，占0</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支出0万元，占0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卫生健康支出0</w:t>
      </w:r>
      <w:r>
        <w:rPr>
          <w:rFonts w:hint="eastAsia" w:ascii="仿宋" w:hAnsi="仿宋" w:eastAsia="仿宋"/>
          <w:sz w:val="32"/>
          <w:szCs w:val="32"/>
        </w:rPr>
        <w:t>万元，占0</w:t>
      </w:r>
      <w:r>
        <w:rPr>
          <w:rFonts w:ascii="仿宋" w:hAnsi="仿宋" w:eastAsia="仿宋"/>
          <w:sz w:val="32"/>
          <w:szCs w:val="32"/>
        </w:rPr>
        <w:t>%</w:t>
      </w:r>
      <w:r>
        <w:rPr>
          <w:rFonts w:hint="eastAsia" w:ascii="仿宋" w:hAnsi="仿宋" w:eastAsia="仿宋"/>
          <w:sz w:val="32"/>
          <w:szCs w:val="32"/>
        </w:rPr>
        <w:t>；住房保障支出0万元，占0</w:t>
      </w:r>
      <w:r>
        <w:rPr>
          <w:rFonts w:ascii="仿宋" w:hAnsi="仿宋" w:eastAsia="仿宋"/>
          <w:sz w:val="32"/>
          <w:szCs w:val="32"/>
        </w:rPr>
        <w:t>%</w:t>
      </w:r>
      <w:r>
        <w:rPr>
          <w:rFonts w:hint="eastAsia" w:ascii="仿宋" w:hAnsi="仿宋" w:eastAsia="仿宋"/>
          <w:sz w:val="32"/>
          <w:szCs w:val="32"/>
        </w:rPr>
        <w:t>。</w:t>
      </w:r>
    </w:p>
    <w:p>
      <w:pPr>
        <w:pStyle w:val="2"/>
        <w:spacing w:before="93"/>
        <w:rPr>
          <w:rFonts w:ascii="仿宋" w:hAnsi="仿宋" w:eastAsia="仿宋"/>
          <w:sz w:val="32"/>
          <w:szCs w:val="32"/>
        </w:rPr>
      </w:pPr>
      <w:r>
        <w:rPr>
          <w:rFonts w:hint="eastAsia" w:ascii="仿宋" w:hAnsi="仿宋" w:eastAsia="仿宋"/>
          <w:sz w:val="32"/>
          <w:szCs w:val="32"/>
        </w:rPr>
        <w:drawing>
          <wp:inline distT="0" distB="0" distL="114300" distR="114300">
            <wp:extent cx="5080000" cy="2806065"/>
            <wp:effectExtent l="4445" t="4445" r="5715" b="889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outlineLvl w:val="2"/>
        <w:rPr>
          <w:rFonts w:ascii="仿宋" w:hAnsi="仿宋" w:eastAsia="仿宋"/>
          <w:b/>
          <w:sz w:val="32"/>
          <w:szCs w:val="32"/>
        </w:rPr>
      </w:pPr>
      <w:bookmarkStart w:id="35" w:name="_Toc15377212"/>
      <w:r>
        <w:rPr>
          <w:rFonts w:hint="eastAsia" w:ascii="仿宋" w:hAnsi="仿宋" w:eastAsia="仿宋"/>
          <w:b/>
          <w:sz w:val="32"/>
          <w:szCs w:val="32"/>
        </w:rPr>
        <w:t>（三）一般公共预算财政拨款支出决算具体情况</w:t>
      </w:r>
      <w:bookmarkEnd w:id="35"/>
    </w:p>
    <w:p>
      <w:pPr>
        <w:spacing w:line="600" w:lineRule="exact"/>
        <w:ind w:firstLine="643" w:firstLineChars="200"/>
        <w:outlineLvl w:val="2"/>
        <w:rPr>
          <w:rFonts w:ascii="仿宋" w:hAnsi="仿宋" w:eastAsia="仿宋"/>
          <w:sz w:val="32"/>
          <w:szCs w:val="32"/>
        </w:rPr>
      </w:pPr>
      <w:bookmarkStart w:id="36" w:name="_Toc15377213"/>
      <w:bookmarkStart w:id="37" w:name="_Toc15377444"/>
      <w:bookmarkStart w:id="38" w:name="_Toc15378460"/>
      <w:r>
        <w:rPr>
          <w:rFonts w:hint="eastAsia" w:ascii="仿宋" w:hAnsi="仿宋" w:eastAsia="仿宋"/>
          <w:b/>
          <w:sz w:val="32"/>
          <w:szCs w:val="32"/>
        </w:rPr>
        <w:t>2021年一般公共预算支出决算数为1702.45</w:t>
      </w:r>
      <w:r>
        <w:rPr>
          <w:rFonts w:hint="eastAsia" w:ascii="仿宋" w:hAnsi="仿宋" w:eastAsia="仿宋"/>
          <w:sz w:val="32"/>
          <w:szCs w:val="32"/>
        </w:rPr>
        <w:t>，</w:t>
      </w:r>
      <w:r>
        <w:rPr>
          <w:rStyle w:val="16"/>
          <w:rFonts w:hint="eastAsia" w:ascii="仿宋" w:hAnsi="仿宋" w:eastAsia="仿宋"/>
          <w:bCs/>
          <w:sz w:val="32"/>
          <w:szCs w:val="32"/>
        </w:rPr>
        <w:t>完成预算100</w:t>
      </w:r>
      <w:r>
        <w:rPr>
          <w:rStyle w:val="16"/>
          <w:rFonts w:ascii="仿宋" w:hAnsi="仿宋" w:eastAsia="仿宋"/>
          <w:bCs/>
          <w:sz w:val="32"/>
          <w:szCs w:val="32"/>
        </w:rPr>
        <w:t>%</w:t>
      </w:r>
      <w:r>
        <w:rPr>
          <w:rStyle w:val="16"/>
          <w:rFonts w:hint="eastAsia" w:ascii="仿宋" w:hAnsi="仿宋" w:eastAsia="仿宋"/>
          <w:bCs/>
          <w:sz w:val="32"/>
          <w:szCs w:val="32"/>
        </w:rPr>
        <w:t>。其中：</w:t>
      </w:r>
      <w:bookmarkEnd w:id="36"/>
      <w:bookmarkEnd w:id="37"/>
      <w:bookmarkEnd w:id="38"/>
    </w:p>
    <w:p>
      <w:pPr>
        <w:spacing w:line="600" w:lineRule="exact"/>
        <w:ind w:firstLine="643" w:firstLineChars="200"/>
        <w:rPr>
          <w:rFonts w:ascii="仿宋" w:hAnsi="仿宋" w:eastAsia="仿宋"/>
          <w:b/>
          <w:sz w:val="32"/>
          <w:szCs w:val="32"/>
        </w:rPr>
      </w:pPr>
      <w:r>
        <w:rPr>
          <w:rStyle w:val="16"/>
          <w:rFonts w:ascii="仿宋" w:hAnsi="仿宋" w:eastAsia="仿宋"/>
          <w:bCs/>
          <w:sz w:val="32"/>
          <w:szCs w:val="32"/>
        </w:rPr>
        <w:t>1.</w:t>
      </w:r>
      <w:r>
        <w:rPr>
          <w:rStyle w:val="16"/>
          <w:rFonts w:eastAsia="仿宋_GB2312"/>
          <w:bCs/>
          <w:sz w:val="32"/>
          <w:szCs w:val="32"/>
        </w:rPr>
        <w:t>一般公共服务支出（类）民族事务（款）一般行政管理事务（项）</w:t>
      </w:r>
      <w:r>
        <w:rPr>
          <w:rStyle w:val="16"/>
          <w:rFonts w:ascii="仿宋" w:hAnsi="仿宋" w:eastAsia="仿宋"/>
          <w:bCs/>
          <w:sz w:val="32"/>
          <w:szCs w:val="32"/>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支出决算为8.42万元，完成预算98.94</w:t>
      </w:r>
      <w:r>
        <w:rPr>
          <w:rStyle w:val="16"/>
          <w:rFonts w:ascii="仿宋" w:hAnsi="仿宋" w:eastAsia="仿宋"/>
          <w:b w:val="0"/>
          <w:bCs/>
          <w:sz w:val="32"/>
          <w:szCs w:val="32"/>
        </w:rPr>
        <w:t>%</w:t>
      </w:r>
      <w:r>
        <w:rPr>
          <w:rStyle w:val="16"/>
          <w:rFonts w:hint="eastAsia" w:ascii="仿宋" w:hAnsi="仿宋" w:eastAsia="仿宋"/>
          <w:b w:val="0"/>
          <w:bCs/>
          <w:sz w:val="32"/>
          <w:szCs w:val="32"/>
        </w:rPr>
        <w:t>，决算数小于预算数的主要原因是专项经费结余。</w:t>
      </w:r>
    </w:p>
    <w:p>
      <w:pPr>
        <w:spacing w:line="600" w:lineRule="exact"/>
        <w:ind w:firstLine="643" w:firstLineChars="200"/>
        <w:rPr>
          <w:rFonts w:ascii="仿宋" w:hAnsi="仿宋" w:eastAsia="仿宋"/>
          <w:b/>
          <w:sz w:val="32"/>
          <w:szCs w:val="32"/>
        </w:rPr>
      </w:pPr>
      <w:r>
        <w:rPr>
          <w:rStyle w:val="16"/>
          <w:rFonts w:ascii="仿宋" w:hAnsi="仿宋" w:eastAsia="仿宋"/>
          <w:bCs/>
          <w:sz w:val="32"/>
          <w:szCs w:val="32"/>
        </w:rPr>
        <w:t>2.</w:t>
      </w:r>
      <w:r>
        <w:rPr>
          <w:rStyle w:val="16"/>
          <w:rFonts w:eastAsia="仿宋_GB2312"/>
          <w:bCs/>
          <w:sz w:val="32"/>
          <w:szCs w:val="32"/>
        </w:rPr>
        <w:t>教育支出（类）职业教育（款）中专教育（项）</w:t>
      </w:r>
      <w:r>
        <w:rPr>
          <w:rStyle w:val="16"/>
          <w:rFonts w:ascii="仿宋" w:hAnsi="仿宋" w:eastAsia="仿宋"/>
          <w:bCs/>
          <w:sz w:val="32"/>
          <w:szCs w:val="32"/>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支出决算为1694.03万元，完成预算96.34</w:t>
      </w:r>
      <w:r>
        <w:rPr>
          <w:rStyle w:val="16"/>
          <w:rFonts w:ascii="仿宋" w:hAnsi="仿宋" w:eastAsia="仿宋"/>
          <w:b w:val="0"/>
          <w:bCs/>
          <w:sz w:val="32"/>
          <w:szCs w:val="32"/>
        </w:rPr>
        <w:t>%</w:t>
      </w:r>
      <w:r>
        <w:rPr>
          <w:rStyle w:val="16"/>
          <w:rFonts w:hint="eastAsia" w:ascii="仿宋" w:hAnsi="仿宋" w:eastAsia="仿宋"/>
          <w:b w:val="0"/>
          <w:bCs/>
          <w:sz w:val="32"/>
          <w:szCs w:val="32"/>
        </w:rPr>
        <w:t>，决算数等于预算数。</w:t>
      </w:r>
    </w:p>
    <w:p>
      <w:pPr>
        <w:tabs>
          <w:tab w:val="right" w:pos="8306"/>
        </w:tabs>
        <w:spacing w:line="600" w:lineRule="exact"/>
        <w:ind w:firstLine="640"/>
        <w:outlineLvl w:val="1"/>
        <w:rPr>
          <w:rStyle w:val="27"/>
        </w:rPr>
      </w:pPr>
      <w:bookmarkStart w:id="39" w:name="_Toc15396608"/>
      <w:bookmarkStart w:id="40"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7"/>
          <w:rFonts w:hint="eastAsia" w:ascii="黑体" w:hAnsi="黑体" w:eastAsia="黑体"/>
          <w:b w:val="0"/>
        </w:rPr>
        <w:t>般公共预算财政拨款基本支出决算情况说明</w:t>
      </w:r>
      <w:bookmarkEnd w:id="39"/>
      <w:bookmarkEnd w:id="40"/>
      <w:r>
        <w:rPr>
          <w:rStyle w:val="27"/>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21年一般公共预算财政拨款基本支出957.46万元，其中：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人员经费866.46万元，主要包括：基本工资、津贴补贴、绩效工资、机关事业单位基本养老保险缴费、职业年金缴费、其他社会保障缴费、其他工资福利支出、生活补助、</w:t>
      </w:r>
      <w:r>
        <w:rPr>
          <w:rFonts w:hint="eastAsia" w:ascii="仿宋" w:hAnsi="仿宋" w:eastAsia="仿宋"/>
          <w:color w:val="000000"/>
          <w:sz w:val="32"/>
          <w:szCs w:val="32"/>
        </w:rPr>
        <w:t>职工基本医疗保险缴费</w:t>
      </w:r>
      <w:r>
        <w:rPr>
          <w:rFonts w:hint="eastAsia" w:ascii="仿宋" w:hAnsi="仿宋" w:eastAsia="仿宋"/>
          <w:sz w:val="32"/>
          <w:szCs w:val="32"/>
        </w:rPr>
        <w:t>、奖励金、住房公积金、其他对个人和家庭的补助支出等。</w:t>
      </w:r>
    </w:p>
    <w:p>
      <w:pPr>
        <w:spacing w:line="600" w:lineRule="exact"/>
        <w:ind w:firstLine="645"/>
        <w:rPr>
          <w:rFonts w:ascii="仿宋" w:hAnsi="仿宋" w:eastAsia="仿宋"/>
          <w:b/>
          <w:sz w:val="32"/>
          <w:szCs w:val="32"/>
        </w:rPr>
      </w:pPr>
      <w:r>
        <w:rPr>
          <w:rFonts w:hint="eastAsia" w:ascii="仿宋" w:hAnsi="仿宋" w:eastAsia="仿宋"/>
          <w:sz w:val="32"/>
          <w:szCs w:val="32"/>
        </w:rPr>
        <w:t>公用经费91万元，主要包括：办公费、电费、邮电费、取暖费、维修（护）费、公务接待费、劳务费、工会经费、福利费、公务用车运行维护费、其他商品和服务支出等。</w:t>
      </w:r>
    </w:p>
    <w:p>
      <w:pPr>
        <w:spacing w:line="600" w:lineRule="exact"/>
        <w:ind w:firstLine="640"/>
        <w:outlineLvl w:val="1"/>
        <w:rPr>
          <w:rStyle w:val="27"/>
          <w:rFonts w:ascii="黑体" w:hAnsi="黑体" w:eastAsia="黑体"/>
          <w:b w:val="0"/>
        </w:rPr>
      </w:pPr>
      <w:bookmarkStart w:id="41" w:name="_Toc15396609"/>
      <w:bookmarkStart w:id="42" w:name="_Toc15377215"/>
      <w:r>
        <w:rPr>
          <w:rFonts w:hint="eastAsia" w:ascii="黑体" w:eastAsia="黑体"/>
          <w:sz w:val="32"/>
          <w:szCs w:val="32"/>
        </w:rPr>
        <w:t>七、</w:t>
      </w:r>
      <w:r>
        <w:rPr>
          <w:rStyle w:val="27"/>
          <w:rFonts w:hint="eastAsia" w:ascii="黑体" w:hAnsi="黑体" w:eastAsia="黑体"/>
        </w:rPr>
        <w:t>“</w:t>
      </w:r>
      <w:r>
        <w:rPr>
          <w:rStyle w:val="27"/>
          <w:rFonts w:hint="eastAsia" w:ascii="黑体" w:hAnsi="黑体" w:eastAsia="黑体"/>
          <w:b w:val="0"/>
        </w:rPr>
        <w:t>三公”经费财政拨款支出决算情况说明</w:t>
      </w:r>
      <w:bookmarkEnd w:id="41"/>
      <w:bookmarkEnd w:id="42"/>
    </w:p>
    <w:p>
      <w:pPr>
        <w:spacing w:line="600" w:lineRule="exact"/>
        <w:ind w:firstLine="640"/>
        <w:outlineLvl w:val="2"/>
        <w:rPr>
          <w:rFonts w:ascii="仿宋" w:hAnsi="仿宋" w:eastAsia="仿宋"/>
          <w:b/>
          <w:sz w:val="32"/>
          <w:szCs w:val="32"/>
        </w:rPr>
      </w:pPr>
      <w:bookmarkStart w:id="43" w:name="_Toc15377216"/>
      <w:r>
        <w:rPr>
          <w:rFonts w:hint="eastAsia" w:ascii="仿宋" w:hAnsi="仿宋" w:eastAsia="仿宋"/>
          <w:b/>
          <w:sz w:val="32"/>
          <w:szCs w:val="32"/>
        </w:rPr>
        <w:t>（一）“三公”经费财政拨款支出决算总体情况说明</w:t>
      </w:r>
      <w:bookmarkEnd w:id="43"/>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21年“三公”经费财政拨款支出决算为6.5万元，完成预算100</w:t>
      </w:r>
      <w:r>
        <w:rPr>
          <w:rFonts w:ascii="仿宋" w:hAnsi="仿宋" w:eastAsia="仿宋"/>
          <w:sz w:val="32"/>
          <w:szCs w:val="32"/>
        </w:rPr>
        <w:t>%</w:t>
      </w:r>
      <w:r>
        <w:rPr>
          <w:rFonts w:hint="eastAsia" w:ascii="仿宋" w:hAnsi="仿宋" w:eastAsia="仿宋"/>
          <w:sz w:val="32"/>
          <w:szCs w:val="32"/>
        </w:rPr>
        <w:t>，决算数与预算数持平，跟2020年无变化。</w:t>
      </w:r>
    </w:p>
    <w:p>
      <w:pPr>
        <w:spacing w:line="600" w:lineRule="exact"/>
        <w:ind w:firstLine="640"/>
        <w:outlineLvl w:val="2"/>
        <w:rPr>
          <w:rFonts w:ascii="仿宋" w:hAnsi="仿宋" w:eastAsia="仿宋"/>
          <w:b/>
          <w:sz w:val="32"/>
          <w:szCs w:val="32"/>
        </w:rPr>
      </w:pPr>
      <w:bookmarkStart w:id="44" w:name="_Toc15377217"/>
      <w:r>
        <w:rPr>
          <w:rFonts w:hint="eastAsia" w:ascii="仿宋" w:hAnsi="仿宋" w:eastAsia="仿宋"/>
          <w:b/>
          <w:sz w:val="32"/>
          <w:szCs w:val="32"/>
        </w:rPr>
        <w:t>（二）“三公”经费财政拨款支出决算具体情况说明</w:t>
      </w:r>
      <w:bookmarkEnd w:id="44"/>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；公务用车购置及运行维护费支出决算5万元，占77</w:t>
      </w:r>
      <w:r>
        <w:rPr>
          <w:rFonts w:ascii="仿宋" w:hAnsi="仿宋" w:eastAsia="仿宋"/>
          <w:sz w:val="32"/>
          <w:szCs w:val="32"/>
        </w:rPr>
        <w:t>%</w:t>
      </w:r>
      <w:r>
        <w:rPr>
          <w:rFonts w:hint="eastAsia" w:ascii="仿宋" w:hAnsi="仿宋" w:eastAsia="仿宋"/>
          <w:sz w:val="32"/>
          <w:szCs w:val="32"/>
        </w:rPr>
        <w:t>；公务接待费支出决算1.5万元，占23</w:t>
      </w:r>
      <w:r>
        <w:rPr>
          <w:rFonts w:ascii="仿宋" w:hAnsi="仿宋" w:eastAsia="仿宋"/>
          <w:sz w:val="32"/>
          <w:szCs w:val="32"/>
        </w:rPr>
        <w:t>%</w:t>
      </w:r>
      <w:r>
        <w:rPr>
          <w:rFonts w:hint="eastAsia" w:ascii="仿宋" w:hAnsi="仿宋" w:eastAsia="仿宋"/>
          <w:sz w:val="32"/>
          <w:szCs w:val="32"/>
        </w:rPr>
        <w:t>。具体情况如下：</w:t>
      </w:r>
    </w:p>
    <w:p>
      <w:pPr>
        <w:pStyle w:val="2"/>
        <w:spacing w:before="93"/>
      </w:pPr>
      <w:r>
        <w:rPr>
          <w:rFonts w:hint="eastAsia"/>
        </w:rPr>
        <w:drawing>
          <wp:inline distT="0" distB="0" distL="114300" distR="114300">
            <wp:extent cx="5080000" cy="3810000"/>
            <wp:effectExtent l="4445" t="4445" r="5715" b="1079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numPr>
          <w:ilvl w:val="0"/>
          <w:numId w:val="5"/>
        </w:numPr>
        <w:spacing w:line="600" w:lineRule="exact"/>
        <w:ind w:firstLine="640"/>
        <w:rPr>
          <w:rFonts w:ascii="仿宋_GB2312" w:eastAsia="仿宋_GB2312"/>
          <w:sz w:val="32"/>
          <w:szCs w:val="32"/>
        </w:rPr>
      </w:pP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6"/>
          <w:rFonts w:hint="eastAsia" w:ascii="仿宋" w:hAnsi="仿宋" w:eastAsia="仿宋"/>
          <w:b w:val="0"/>
          <w:bCs/>
          <w:sz w:val="32"/>
          <w:szCs w:val="32"/>
        </w:rPr>
        <w:t>完成预算0</w:t>
      </w:r>
      <w:r>
        <w:rPr>
          <w:rStyle w:val="16"/>
          <w:rFonts w:ascii="仿宋" w:hAnsi="仿宋" w:eastAsia="仿宋"/>
          <w:b w:val="0"/>
          <w:bCs/>
          <w:sz w:val="32"/>
          <w:szCs w:val="32"/>
        </w:rPr>
        <w:t>%</w:t>
      </w:r>
      <w:r>
        <w:rPr>
          <w:rStyle w:val="16"/>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全年安排因公出国（境）团组0次，出国（境）0人。因公出国（境）支出决算与</w:t>
      </w:r>
      <w:r>
        <w:rPr>
          <w:rFonts w:ascii="仿宋_GB2312" w:eastAsia="仿宋_GB2312"/>
          <w:sz w:val="32"/>
          <w:szCs w:val="32"/>
        </w:rPr>
        <w:t>20</w:t>
      </w:r>
      <w:r>
        <w:rPr>
          <w:rFonts w:hint="eastAsia" w:ascii="仿宋_GB2312" w:eastAsia="仿宋_GB2312"/>
          <w:sz w:val="32"/>
          <w:szCs w:val="32"/>
        </w:rPr>
        <w:t>20年持平。</w:t>
      </w:r>
    </w:p>
    <w:p>
      <w:pPr>
        <w:spacing w:line="600" w:lineRule="exact"/>
        <w:ind w:firstLine="643" w:firstLineChars="20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公务用车购置及运行维护费支出5</w:t>
      </w:r>
      <w:r>
        <w:rPr>
          <w:rFonts w:hint="eastAsia" w:ascii="仿宋_GB2312" w:eastAsia="仿宋_GB2312"/>
          <w:sz w:val="32"/>
          <w:szCs w:val="32"/>
        </w:rPr>
        <w:t>万元,</w:t>
      </w:r>
      <w:r>
        <w:rPr>
          <w:rStyle w:val="16"/>
          <w:rFonts w:hint="eastAsia" w:ascii="仿宋" w:hAnsi="仿宋" w:eastAsia="仿宋"/>
          <w:b w:val="0"/>
          <w:bCs/>
          <w:sz w:val="32"/>
          <w:szCs w:val="32"/>
        </w:rPr>
        <w:t>完成预算100</w:t>
      </w:r>
      <w:r>
        <w:rPr>
          <w:rStyle w:val="16"/>
          <w:rFonts w:ascii="仿宋" w:hAnsi="仿宋" w:eastAsia="仿宋"/>
          <w:b w:val="0"/>
          <w:bCs/>
          <w:sz w:val="32"/>
          <w:szCs w:val="32"/>
        </w:rPr>
        <w:t>%</w:t>
      </w:r>
      <w:r>
        <w:rPr>
          <w:rStyle w:val="16"/>
          <w:rFonts w:hint="eastAsia" w:ascii="仿宋" w:hAnsi="仿宋" w:eastAsia="仿宋"/>
          <w:b w:val="0"/>
          <w:bCs/>
          <w:sz w:val="32"/>
          <w:szCs w:val="32"/>
        </w:rPr>
        <w:t>。</w:t>
      </w:r>
      <w:r>
        <w:rPr>
          <w:rFonts w:hint="eastAsia" w:ascii="仿宋_GB2312" w:eastAsia="仿宋_GB2312"/>
          <w:sz w:val="32"/>
          <w:szCs w:val="32"/>
        </w:rPr>
        <w:t>公务用车购置及运行维护费与</w:t>
      </w:r>
      <w:r>
        <w:rPr>
          <w:rFonts w:ascii="仿宋_GB2312" w:eastAsia="仿宋_GB2312"/>
          <w:sz w:val="32"/>
          <w:szCs w:val="32"/>
        </w:rPr>
        <w:t>20</w:t>
      </w:r>
      <w:r>
        <w:rPr>
          <w:rFonts w:hint="eastAsia" w:ascii="仿宋_GB2312" w:eastAsia="仿宋_GB2312"/>
          <w:sz w:val="32"/>
          <w:szCs w:val="32"/>
        </w:rPr>
        <w:t>20年数据持平。</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0万元。全年按规定更新购置公务用车0辆，其中：轿车0辆、金额0万元，越野车0辆、金额0万元，载客汽车0辆、金额0万元。截至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月底，单位共有公务用车2辆，其中：轿车0辆、越野车1辆、载客汽车1辆。</w:t>
      </w:r>
    </w:p>
    <w:p>
      <w:pPr>
        <w:spacing w:line="600" w:lineRule="exact"/>
        <w:ind w:firstLine="640"/>
        <w:rPr>
          <w:rFonts w:ascii="仿宋_GB2312" w:eastAsia="仿宋_GB2312"/>
          <w:color w:val="000000"/>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5万元。</w:t>
      </w:r>
      <w:r>
        <w:rPr>
          <w:rFonts w:hint="eastAsia" w:ascii="仿宋_GB2312" w:eastAsia="仿宋_GB2312"/>
          <w:color w:val="000000"/>
          <w:sz w:val="32"/>
          <w:szCs w:val="32"/>
        </w:rPr>
        <w:t>主要用于往返成都康定工作开展、汇报及属地安排的</w:t>
      </w:r>
      <w:r>
        <w:rPr>
          <w:rFonts w:hint="eastAsia" w:ascii="仿宋" w:hAnsi="仿宋" w:eastAsia="仿宋"/>
          <w:sz w:val="32"/>
          <w:szCs w:val="32"/>
        </w:rPr>
        <w:t>维稳督查、维稳蹲点值守工作</w:t>
      </w:r>
      <w:r>
        <w:rPr>
          <w:rFonts w:hint="eastAsia" w:ascii="仿宋_GB2312" w:eastAsia="仿宋_GB2312"/>
          <w:color w:val="000000"/>
          <w:sz w:val="32"/>
          <w:szCs w:val="32"/>
        </w:rPr>
        <w:t>等所需的公务用车燃料费、维修费、过路过桥费、保险费等支出。</w:t>
      </w:r>
    </w:p>
    <w:p>
      <w:pPr>
        <w:numPr>
          <w:ilvl w:val="0"/>
          <w:numId w:val="6"/>
        </w:numPr>
        <w:spacing w:line="600" w:lineRule="exact"/>
        <w:ind w:firstLine="640"/>
        <w:rPr>
          <w:rFonts w:ascii="仿宋_GB2312" w:eastAsia="仿宋_GB2312"/>
          <w:sz w:val="32"/>
          <w:szCs w:val="32"/>
        </w:rPr>
      </w:pPr>
      <w:r>
        <w:rPr>
          <w:rFonts w:hint="eastAsia" w:ascii="仿宋_GB2312" w:eastAsia="仿宋_GB2312"/>
          <w:b/>
          <w:sz w:val="32"/>
          <w:szCs w:val="32"/>
        </w:rPr>
        <w:t>公务接待费支出</w:t>
      </w:r>
      <w:r>
        <w:rPr>
          <w:rFonts w:hint="eastAsia" w:ascii="仿宋_GB2312" w:eastAsia="仿宋_GB2312"/>
          <w:sz w:val="32"/>
          <w:szCs w:val="32"/>
        </w:rPr>
        <w:t>1.5万元，</w:t>
      </w:r>
      <w:r>
        <w:rPr>
          <w:rStyle w:val="16"/>
          <w:rFonts w:hint="eastAsia" w:ascii="仿宋" w:hAnsi="仿宋" w:eastAsia="仿宋"/>
          <w:b w:val="0"/>
          <w:bCs/>
          <w:sz w:val="32"/>
          <w:szCs w:val="32"/>
        </w:rPr>
        <w:t>完成预算100</w:t>
      </w:r>
      <w:r>
        <w:rPr>
          <w:rStyle w:val="16"/>
          <w:rFonts w:ascii="仿宋" w:hAnsi="仿宋" w:eastAsia="仿宋"/>
          <w:b w:val="0"/>
          <w:bCs/>
          <w:sz w:val="32"/>
          <w:szCs w:val="32"/>
        </w:rPr>
        <w:t>%</w:t>
      </w:r>
      <w:r>
        <w:rPr>
          <w:rStyle w:val="16"/>
          <w:rFonts w:hint="eastAsia" w:ascii="仿宋" w:hAnsi="仿宋" w:eastAsia="仿宋"/>
          <w:b w:val="0"/>
          <w:bCs/>
          <w:sz w:val="32"/>
          <w:szCs w:val="32"/>
        </w:rPr>
        <w:t>。</w:t>
      </w:r>
      <w:r>
        <w:rPr>
          <w:rFonts w:hint="eastAsia" w:ascii="仿宋_GB2312" w:eastAsia="仿宋_GB2312"/>
          <w:sz w:val="32"/>
          <w:szCs w:val="32"/>
        </w:rPr>
        <w:t>公务接待费与</w:t>
      </w:r>
      <w:r>
        <w:rPr>
          <w:rFonts w:ascii="仿宋_GB2312" w:eastAsia="仿宋_GB2312"/>
          <w:sz w:val="32"/>
          <w:szCs w:val="32"/>
        </w:rPr>
        <w:t>20</w:t>
      </w:r>
      <w:r>
        <w:rPr>
          <w:rFonts w:hint="eastAsia" w:ascii="仿宋_GB2312" w:eastAsia="仿宋_GB2312"/>
          <w:sz w:val="32"/>
          <w:szCs w:val="32"/>
        </w:rPr>
        <w:t>20数据持平。</w:t>
      </w:r>
    </w:p>
    <w:p>
      <w:pPr>
        <w:spacing w:line="600" w:lineRule="exact"/>
        <w:ind w:firstLine="964" w:firstLineChars="30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1.5</w:t>
      </w:r>
      <w:r>
        <w:rPr>
          <w:rFonts w:hint="eastAsia" w:ascii="仿宋_GB2312" w:eastAsia="仿宋_GB2312"/>
          <w:sz w:val="32"/>
          <w:szCs w:val="32"/>
        </w:rPr>
        <w:t>万元，主要用于</w:t>
      </w:r>
      <w:r>
        <w:rPr>
          <w:rFonts w:hint="eastAsia" w:ascii="仿宋_GB2312" w:eastAsia="仿宋_GB2312"/>
          <w:color w:val="000000"/>
          <w:sz w:val="32"/>
          <w:szCs w:val="32"/>
        </w:rPr>
        <w:t>开展业务活动的交通费、住宿费、用餐费</w:t>
      </w:r>
      <w:r>
        <w:rPr>
          <w:rFonts w:hint="eastAsia" w:ascii="仿宋_GB2312" w:eastAsia="仿宋_GB2312"/>
          <w:sz w:val="32"/>
          <w:szCs w:val="32"/>
        </w:rPr>
        <w:t>等。国内公务接待45批次，237人次（不包括陪同人员），共计支出1.5万元，具体内容包括：</w:t>
      </w:r>
      <w:r>
        <w:rPr>
          <w:rFonts w:hint="eastAsia" w:ascii="仿宋_GB2312" w:eastAsia="仿宋_GB2312"/>
          <w:color w:val="000000"/>
          <w:sz w:val="32"/>
          <w:szCs w:val="32"/>
        </w:rPr>
        <w:t>现代学徒制业务接洽、省级部门工作调研、中职院校相互业务交流</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外事接待支出0</w:t>
      </w:r>
      <w:r>
        <w:rPr>
          <w:rFonts w:hint="eastAsia" w:ascii="仿宋_GB2312" w:eastAsia="仿宋_GB2312"/>
          <w:sz w:val="32"/>
          <w:szCs w:val="32"/>
        </w:rPr>
        <w:t>万元，外事接待0批次，0人，共计支出0万元。</w:t>
      </w:r>
    </w:p>
    <w:p>
      <w:pPr>
        <w:spacing w:line="600" w:lineRule="exact"/>
        <w:ind w:firstLine="640"/>
        <w:outlineLvl w:val="1"/>
        <w:rPr>
          <w:rFonts w:ascii="黑体" w:eastAsia="黑体"/>
          <w:sz w:val="32"/>
          <w:szCs w:val="32"/>
        </w:rPr>
      </w:pPr>
      <w:bookmarkStart w:id="45" w:name="_Toc15396610"/>
      <w:bookmarkStart w:id="46" w:name="_Toc15377218"/>
    </w:p>
    <w:p>
      <w:pPr>
        <w:spacing w:line="600" w:lineRule="exact"/>
        <w:ind w:firstLine="640"/>
        <w:outlineLvl w:val="1"/>
        <w:rPr>
          <w:rStyle w:val="27"/>
          <w:rFonts w:ascii="黑体" w:hAnsi="黑体" w:eastAsia="黑体"/>
        </w:rPr>
      </w:pPr>
      <w:r>
        <w:rPr>
          <w:rFonts w:hint="eastAsia" w:ascii="黑体" w:eastAsia="黑体"/>
          <w:sz w:val="32"/>
          <w:szCs w:val="32"/>
        </w:rPr>
        <w:t>八、</w:t>
      </w:r>
      <w:r>
        <w:rPr>
          <w:rStyle w:val="27"/>
          <w:rFonts w:hint="eastAsia" w:ascii="黑体" w:hAnsi="黑体" w:eastAsia="黑体"/>
          <w:b w:val="0"/>
        </w:rPr>
        <w:t>政府性基金预算支出决算情况说明</w:t>
      </w:r>
      <w:bookmarkEnd w:id="45"/>
      <w:bookmarkEnd w:id="46"/>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21年政府性基金预算财政拨款支出0万元。</w:t>
      </w:r>
    </w:p>
    <w:p>
      <w:pPr>
        <w:spacing w:line="600" w:lineRule="exact"/>
        <w:ind w:firstLine="640"/>
        <w:rPr>
          <w:rFonts w:ascii="仿宋_GB2312" w:eastAsia="仿宋_GB2312"/>
          <w:sz w:val="32"/>
          <w:szCs w:val="32"/>
        </w:rPr>
      </w:pPr>
    </w:p>
    <w:p>
      <w:pPr>
        <w:numPr>
          <w:ilvl w:val="0"/>
          <w:numId w:val="7"/>
        </w:numPr>
        <w:spacing w:line="600" w:lineRule="exact"/>
        <w:ind w:firstLine="640"/>
        <w:outlineLvl w:val="1"/>
        <w:rPr>
          <w:rStyle w:val="27"/>
          <w:rFonts w:ascii="黑体" w:hAnsi="黑体" w:eastAsia="黑体"/>
          <w:b w:val="0"/>
        </w:rPr>
      </w:pPr>
      <w:bookmarkStart w:id="47" w:name="_Toc15396611"/>
      <w:bookmarkStart w:id="48" w:name="_Toc15377219"/>
      <w:r>
        <w:rPr>
          <w:rStyle w:val="27"/>
          <w:rFonts w:hint="eastAsia" w:ascii="黑体" w:hAnsi="黑体" w:eastAsia="黑体"/>
          <w:b w:val="0"/>
        </w:rPr>
        <w:t>国有资本经营预算支出决算情况说明</w:t>
      </w:r>
      <w:bookmarkEnd w:id="47"/>
      <w:bookmarkEnd w:id="48"/>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numPr>
          <w:ilvl w:val="0"/>
          <w:numId w:val="7"/>
        </w:numPr>
        <w:spacing w:line="600" w:lineRule="exact"/>
        <w:ind w:firstLine="640"/>
        <w:outlineLvl w:val="1"/>
        <w:rPr>
          <w:rStyle w:val="27"/>
          <w:rFonts w:ascii="黑体" w:hAnsi="黑体" w:eastAsia="黑体"/>
          <w:b w:val="0"/>
        </w:rPr>
      </w:pPr>
      <w:bookmarkStart w:id="49" w:name="_Toc15377221"/>
      <w:bookmarkStart w:id="50" w:name="_Toc15396612"/>
      <w:r>
        <w:rPr>
          <w:rStyle w:val="27"/>
          <w:rFonts w:hint="eastAsia" w:ascii="黑体" w:hAnsi="黑体" w:eastAsia="黑体"/>
          <w:b w:val="0"/>
        </w:rPr>
        <w:t>其他重要事项的情况说明</w:t>
      </w:r>
      <w:bookmarkEnd w:id="49"/>
      <w:bookmarkEnd w:id="50"/>
    </w:p>
    <w:p>
      <w:pPr>
        <w:spacing w:line="600" w:lineRule="exact"/>
        <w:ind w:firstLine="643" w:firstLineChars="200"/>
        <w:outlineLvl w:val="2"/>
        <w:rPr>
          <w:rFonts w:ascii="仿宋" w:hAnsi="仿宋" w:eastAsia="仿宋"/>
          <w:sz w:val="32"/>
          <w:szCs w:val="32"/>
        </w:rPr>
      </w:pPr>
      <w:bookmarkStart w:id="51" w:name="_Toc15377222"/>
      <w:r>
        <w:rPr>
          <w:rFonts w:hint="eastAsia" w:ascii="仿宋" w:hAnsi="仿宋" w:eastAsia="仿宋"/>
          <w:b/>
          <w:sz w:val="32"/>
          <w:szCs w:val="32"/>
        </w:rPr>
        <w:t>（一）机关运行经费支出情况</w:t>
      </w:r>
      <w:bookmarkEnd w:id="51"/>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21年，机关运行经费支出0万元，与</w:t>
      </w:r>
      <w:r>
        <w:rPr>
          <w:rFonts w:ascii="仿宋_GB2312" w:eastAsia="仿宋_GB2312"/>
          <w:sz w:val="32"/>
          <w:szCs w:val="32"/>
        </w:rPr>
        <w:t>20</w:t>
      </w:r>
      <w:r>
        <w:rPr>
          <w:rFonts w:hint="eastAsia" w:ascii="仿宋_GB2312" w:eastAsia="仿宋_GB2312"/>
          <w:sz w:val="32"/>
          <w:szCs w:val="32"/>
        </w:rPr>
        <w:t>20年决算数持平。</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2" w:name="_Toc15377223"/>
      <w:r>
        <w:rPr>
          <w:rFonts w:hint="eastAsia" w:ascii="仿宋" w:hAnsi="仿宋" w:eastAsia="仿宋"/>
          <w:b/>
          <w:sz w:val="32"/>
          <w:szCs w:val="32"/>
        </w:rPr>
        <w:t>（二）政府采购支出情况</w:t>
      </w:r>
      <w:bookmarkEnd w:id="52"/>
    </w:p>
    <w:p>
      <w:pPr>
        <w:spacing w:line="600" w:lineRule="exact"/>
        <w:ind w:firstLine="640" w:firstLineChars="200"/>
        <w:rPr>
          <w:rFonts w:ascii="仿宋" w:hAnsi="仿宋" w:eastAsia="仿宋"/>
          <w:b/>
          <w:sz w:val="32"/>
          <w:szCs w:val="32"/>
        </w:rPr>
      </w:pPr>
      <w:r>
        <w:rPr>
          <w:rFonts w:ascii="仿宋_GB2312" w:eastAsia="仿宋_GB2312"/>
          <w:sz w:val="32"/>
          <w:szCs w:val="32"/>
        </w:rPr>
        <w:t>20</w:t>
      </w:r>
      <w:r>
        <w:rPr>
          <w:rFonts w:hint="eastAsia" w:ascii="仿宋_GB2312" w:eastAsia="仿宋_GB2312"/>
          <w:sz w:val="32"/>
          <w:szCs w:val="32"/>
        </w:rPr>
        <w:t>21年，政府采购支出总额0万元，其中：政府采购货物支出0万元、政府采购工程支出0万元、政府采购服务支出0万元。授予中小企业合同金额0万元，占政府采购支出总额的0</w:t>
      </w:r>
      <w:r>
        <w:rPr>
          <w:rFonts w:ascii="仿宋_GB2312" w:eastAsia="仿宋_GB2312"/>
          <w:sz w:val="32"/>
          <w:szCs w:val="32"/>
        </w:rPr>
        <w:t>%</w:t>
      </w:r>
      <w:r>
        <w:rPr>
          <w:rFonts w:hint="eastAsia" w:ascii="仿宋_GB2312" w:eastAsia="仿宋_GB2312"/>
          <w:sz w:val="32"/>
          <w:szCs w:val="32"/>
        </w:rPr>
        <w:t>，其中：授予小微企业合同金额0万元，占政府采购支出总额的0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3" w:name="_Toc15377224"/>
      <w:r>
        <w:rPr>
          <w:rFonts w:hint="eastAsia" w:ascii="仿宋" w:hAnsi="仿宋" w:eastAsia="仿宋"/>
          <w:b/>
          <w:sz w:val="32"/>
          <w:szCs w:val="32"/>
        </w:rPr>
        <w:t>（三）国有资产占有使用情况</w:t>
      </w:r>
      <w:bookmarkEnd w:id="53"/>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color w:val="000000"/>
          <w:sz w:val="32"/>
          <w:szCs w:val="32"/>
        </w:rPr>
        <w:t>四川省藏文学校</w:t>
      </w:r>
      <w:r>
        <w:rPr>
          <w:rFonts w:hint="eastAsia" w:ascii="仿宋_GB2312" w:eastAsia="仿宋_GB2312"/>
          <w:sz w:val="32"/>
          <w:szCs w:val="32"/>
        </w:rPr>
        <w:t>共有车辆2辆，其中：主要领导干部用车0辆、机要通信用车0辆、应急保障用车0辆、其他用车2辆，其他用车主要是用于</w:t>
      </w:r>
      <w:r>
        <w:rPr>
          <w:rFonts w:hint="eastAsia" w:ascii="仿宋_GB2312" w:eastAsia="仿宋_GB2312"/>
          <w:color w:val="000000"/>
          <w:sz w:val="32"/>
          <w:szCs w:val="32"/>
        </w:rPr>
        <w:t>往返成都康定工作开展、汇报及属地安排的</w:t>
      </w:r>
      <w:r>
        <w:rPr>
          <w:rFonts w:hint="eastAsia" w:ascii="仿宋" w:hAnsi="仿宋" w:eastAsia="仿宋"/>
          <w:sz w:val="32"/>
          <w:szCs w:val="32"/>
        </w:rPr>
        <w:t>维稳督查、维稳蹲点值守工作</w:t>
      </w:r>
      <w:r>
        <w:rPr>
          <w:rFonts w:hint="eastAsia" w:ascii="仿宋_GB2312" w:eastAsia="仿宋_GB2312"/>
          <w:sz w:val="32"/>
          <w:szCs w:val="32"/>
        </w:rPr>
        <w:t>，单价</w:t>
      </w:r>
      <w:r>
        <w:rPr>
          <w:rFonts w:ascii="仿宋_GB2312" w:eastAsia="仿宋_GB2312"/>
          <w:sz w:val="32"/>
          <w:szCs w:val="32"/>
        </w:rPr>
        <w:t>50</w:t>
      </w:r>
      <w:r>
        <w:rPr>
          <w:rFonts w:hint="eastAsia" w:ascii="仿宋_GB2312" w:eastAsia="仿宋_GB2312"/>
          <w:sz w:val="32"/>
          <w:szCs w:val="32"/>
        </w:rPr>
        <w:t>万元以上通用设备0台（套），单价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根据预算绩效管理要求，本单位在2021年度预算编制阶段，组织对</w:t>
      </w:r>
      <w:r>
        <w:rPr>
          <w:rFonts w:hint="eastAsia" w:ascii="仿宋_GB2312" w:hAnsi="仿宋_GB2312" w:eastAsia="仿宋_GB2312" w:cs="仿宋_GB2312"/>
          <w:sz w:val="32"/>
          <w:szCs w:val="32"/>
          <w:lang w:val="zh-CN"/>
        </w:rPr>
        <w:t>学生宿舍（含食堂教室零星维修)</w:t>
      </w:r>
      <w:r>
        <w:rPr>
          <w:rFonts w:hint="eastAsia" w:ascii="仿宋_GB2312" w:hAnsi="仿宋_GB2312" w:eastAsia="仿宋_GB2312" w:cs="仿宋_GB2312"/>
          <w:sz w:val="32"/>
          <w:szCs w:val="32"/>
        </w:rPr>
        <w:t>项目开展了预算事前绩效评估，对1个项目编制了绩效目标，预算执行过程中，选取1个项目开展绩效监控，年终执行完毕后，对1个项目开展了绩效自评，2021年特定目标类部门预算项目绩效目标自评表见附件（第四部分）。</w:t>
      </w:r>
    </w:p>
    <w:p>
      <w:pPr>
        <w:pStyle w:val="2"/>
        <w:spacing w:before="93"/>
        <w:rPr>
          <w:highlight w:val="yellow"/>
        </w:rPr>
      </w:pPr>
    </w:p>
    <w:p>
      <w:pPr>
        <w:numPr>
          <w:ilvl w:val="0"/>
          <w:numId w:val="8"/>
        </w:numPr>
        <w:spacing w:line="600" w:lineRule="exact"/>
        <w:ind w:firstLine="482" w:firstLineChars="150"/>
        <w:jc w:val="center"/>
        <w:outlineLvl w:val="0"/>
        <w:rPr>
          <w:rStyle w:val="26"/>
          <w:rFonts w:ascii="黑体" w:hAnsi="黑体" w:eastAsia="黑体"/>
          <w:b w:val="0"/>
        </w:rPr>
      </w:pPr>
      <w:r>
        <w:rPr>
          <w:rFonts w:ascii="仿宋_GB2312" w:eastAsia="仿宋_GB2312"/>
          <w:b/>
          <w:sz w:val="32"/>
          <w:szCs w:val="32"/>
        </w:rPr>
        <w:br w:type="page"/>
      </w:r>
      <w:bookmarkStart w:id="54" w:name="_Toc15377225"/>
      <w:bookmarkStart w:id="55" w:name="_Toc15396613"/>
      <w:r>
        <w:rPr>
          <w:rFonts w:hint="eastAsia" w:ascii="黑体" w:hAnsi="黑体" w:eastAsia="黑体"/>
          <w:sz w:val="44"/>
          <w:szCs w:val="44"/>
        </w:rPr>
        <w:t>名</w:t>
      </w:r>
      <w:r>
        <w:rPr>
          <w:rStyle w:val="26"/>
          <w:rFonts w:hint="eastAsia" w:ascii="黑体" w:hAnsi="黑体" w:eastAsia="黑体"/>
          <w:b w:val="0"/>
        </w:rPr>
        <w:t>词解释</w:t>
      </w:r>
      <w:bookmarkEnd w:id="54"/>
      <w:bookmarkEnd w:id="55"/>
    </w:p>
    <w:p>
      <w:pPr>
        <w:spacing w:line="600" w:lineRule="exact"/>
        <w:jc w:val="left"/>
        <w:rPr>
          <w:rFonts w:ascii="宋体"/>
          <w:b/>
          <w:sz w:val="44"/>
          <w:szCs w:val="44"/>
        </w:rPr>
      </w:pPr>
    </w:p>
    <w:p>
      <w:pPr>
        <w:pStyle w:val="24"/>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4"/>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事业收入：指事业单位开展专业业务活动及辅助活动取得的收入。如：机关事业单位基本养老保险缴费、职业年金缴费、住房公积金等。</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其他收入：指单位取得的除上述收入以外的各项收入。主要是利息收入。</w:t>
      </w:r>
      <w:r>
        <w:rPr>
          <w:rFonts w:ascii="仿宋_GB2312" w:eastAsia="仿宋_GB2312"/>
          <w:sz w:val="32"/>
          <w:szCs w:val="32"/>
        </w:rPr>
        <w:t xml:space="preserve"> </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4"/>
        <w:spacing w:line="560" w:lineRule="exact"/>
        <w:ind w:firstLine="640" w:firstLineChars="200"/>
        <w:rPr>
          <w:rFonts w:ascii="仿宋_GB2312" w:eastAsia="仿宋_GB2312"/>
          <w:sz w:val="32"/>
          <w:szCs w:val="32"/>
        </w:rPr>
      </w:pPr>
      <w:r>
        <w:rPr>
          <w:rFonts w:hint="eastAsia" w:ascii="仿宋_GB2312" w:eastAsia="仿宋_GB2312"/>
          <w:sz w:val="32"/>
          <w:szCs w:val="32"/>
        </w:rPr>
        <w:t>5</w:t>
      </w:r>
      <w:r>
        <w:rPr>
          <w:rFonts w:ascii="仿宋_GB2312" w:eastAsia="仿宋_GB2312"/>
          <w:sz w:val="32"/>
          <w:szCs w:val="32"/>
        </w:rPr>
        <w:t>.</w:t>
      </w:r>
      <w:r>
        <w:rPr>
          <w:rFonts w:hint="eastAsia" w:ascii="仿宋_GB2312" w:eastAsia="仿宋_GB2312"/>
          <w:sz w:val="32"/>
          <w:szCs w:val="32"/>
        </w:rPr>
        <w:t>年末结转和结余：指单位按有关规定结转到下年或以后年度继续使用的资金。</w:t>
      </w:r>
    </w:p>
    <w:p>
      <w:pPr>
        <w:ind w:firstLine="640" w:firstLineChars="200"/>
        <w:rPr>
          <w:rFonts w:eastAsia="仿宋_GB2312"/>
          <w:sz w:val="32"/>
          <w:szCs w:val="32"/>
        </w:rPr>
      </w:pPr>
      <w:r>
        <w:rPr>
          <w:rFonts w:hint="eastAsia" w:ascii="仿宋_GB2312" w:eastAsia="仿宋_GB2312"/>
          <w:color w:val="000000"/>
          <w:sz w:val="32"/>
          <w:szCs w:val="32"/>
        </w:rPr>
        <w:t>6</w:t>
      </w:r>
      <w:r>
        <w:rPr>
          <w:rFonts w:ascii="仿宋_GB2312" w:eastAsia="仿宋_GB2312"/>
          <w:color w:val="000000"/>
          <w:sz w:val="32"/>
          <w:szCs w:val="32"/>
        </w:rPr>
        <w:t>.</w:t>
      </w:r>
      <w:r>
        <w:rPr>
          <w:rFonts w:eastAsia="仿宋_GB2312"/>
          <w:sz w:val="32"/>
          <w:szCs w:val="32"/>
        </w:rPr>
        <w:t xml:space="preserve"> 一般公共服务支出（类）民族事务（款）一般行政管理事务（项）：反映行政单位 (包括实行公务员 管理的事业单位)未单独设置项级科目的其他项目支出。</w:t>
      </w:r>
    </w:p>
    <w:p>
      <w:pPr>
        <w:ind w:firstLine="640" w:firstLineChars="200"/>
        <w:rPr>
          <w:rFonts w:eastAsia="仿宋_GB2312"/>
          <w:sz w:val="32"/>
          <w:szCs w:val="32"/>
        </w:rPr>
      </w:pPr>
      <w:r>
        <w:rPr>
          <w:rFonts w:hint="eastAsia" w:ascii="仿宋_GB2312" w:eastAsia="仿宋_GB2312"/>
          <w:color w:val="000000"/>
          <w:sz w:val="32"/>
          <w:szCs w:val="32"/>
        </w:rPr>
        <w:t>7</w:t>
      </w:r>
      <w:r>
        <w:rPr>
          <w:rFonts w:eastAsia="仿宋_GB2312"/>
          <w:sz w:val="32"/>
          <w:szCs w:val="32"/>
        </w:rPr>
        <w:t>.教育支出（类）职业教育（款）中专教育（项）：反映各部门举办的各类中等专业学校的支出。</w:t>
      </w:r>
    </w:p>
    <w:p>
      <w:pPr>
        <w:spacing w:line="580" w:lineRule="exact"/>
        <w:ind w:firstLine="640" w:firstLineChars="200"/>
        <w:rPr>
          <w:rFonts w:eastAsia="仿宋_GB2312"/>
          <w:sz w:val="32"/>
          <w:szCs w:val="32"/>
        </w:rPr>
      </w:pPr>
      <w:r>
        <w:rPr>
          <w:rFonts w:hint="eastAsia" w:eastAsia="仿宋_GB2312"/>
          <w:sz w:val="32"/>
          <w:szCs w:val="32"/>
        </w:rPr>
        <w:t>8</w:t>
      </w:r>
      <w:r>
        <w:rPr>
          <w:rFonts w:eastAsia="仿宋_GB2312"/>
          <w:sz w:val="32"/>
          <w:szCs w:val="32"/>
        </w:rPr>
        <w:t>基本支出：指为保障机构正常运转、完成日常工作任务而发生的人员支出和公用支出。</w:t>
      </w:r>
    </w:p>
    <w:p>
      <w:pPr>
        <w:spacing w:line="580" w:lineRule="exact"/>
        <w:ind w:firstLine="640" w:firstLineChars="200"/>
        <w:rPr>
          <w:rFonts w:eastAsia="仿宋_GB2312"/>
          <w:sz w:val="32"/>
          <w:szCs w:val="32"/>
        </w:rPr>
      </w:pPr>
      <w:r>
        <w:rPr>
          <w:rFonts w:hint="eastAsia" w:eastAsia="仿宋_GB2312"/>
          <w:sz w:val="32"/>
          <w:szCs w:val="32"/>
        </w:rPr>
        <w:t>9</w:t>
      </w:r>
      <w:r>
        <w:rPr>
          <w:rFonts w:eastAsia="仿宋_GB2312"/>
          <w:sz w:val="32"/>
          <w:szCs w:val="32"/>
        </w:rPr>
        <w:t xml:space="preserve">.项目支出：指在基本支出之外为完成特定行政任务和事业发展目标所发生的支出。 </w:t>
      </w:r>
    </w:p>
    <w:p>
      <w:pPr>
        <w:pStyle w:val="24"/>
        <w:spacing w:line="58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10.</w:t>
      </w:r>
      <w:r>
        <w:rPr>
          <w:rFonts w:ascii="Times New Roman" w:hAnsi="Times New Roman" w:eastAsia="仿宋_GB2312" w:cs="Times New Roman"/>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8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11</w:t>
      </w:r>
      <w:r>
        <w:rPr>
          <w:rFonts w:ascii="Times New Roman" w:hAnsi="Times New Roman" w:eastAsia="仿宋_GB2312" w:cs="Times New Roman"/>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3080" w:firstLineChars="700"/>
        <w:outlineLvl w:val="0"/>
        <w:rPr>
          <w:rFonts w:ascii="黑体" w:hAnsi="黑体" w:eastAsia="黑体"/>
          <w:color w:val="000000"/>
          <w:sz w:val="44"/>
          <w:szCs w:val="44"/>
        </w:rPr>
      </w:pPr>
    </w:p>
    <w:p>
      <w:pPr>
        <w:spacing w:line="600" w:lineRule="exact"/>
        <w:ind w:firstLine="3080" w:firstLineChars="700"/>
        <w:outlineLvl w:val="0"/>
        <w:rPr>
          <w:rFonts w:ascii="黑体" w:hAnsi="黑体" w:eastAsia="黑体"/>
          <w:color w:val="000000"/>
          <w:sz w:val="44"/>
          <w:szCs w:val="44"/>
        </w:rPr>
      </w:pPr>
    </w:p>
    <w:p>
      <w:pPr>
        <w:spacing w:line="600" w:lineRule="exact"/>
        <w:ind w:firstLine="3080" w:firstLineChars="700"/>
        <w:outlineLvl w:val="0"/>
        <w:rPr>
          <w:rFonts w:ascii="黑体" w:hAnsi="黑体" w:eastAsia="黑体"/>
          <w:color w:val="000000"/>
          <w:sz w:val="44"/>
          <w:szCs w:val="44"/>
        </w:rPr>
      </w:pPr>
    </w:p>
    <w:p>
      <w:pPr>
        <w:spacing w:line="600" w:lineRule="exact"/>
        <w:ind w:firstLine="3080" w:firstLineChars="700"/>
        <w:outlineLvl w:val="0"/>
        <w:rPr>
          <w:rFonts w:ascii="黑体" w:hAnsi="黑体" w:eastAsia="黑体"/>
          <w:color w:val="000000"/>
          <w:sz w:val="44"/>
          <w:szCs w:val="44"/>
        </w:rPr>
      </w:pPr>
    </w:p>
    <w:p>
      <w:pPr>
        <w:spacing w:line="600" w:lineRule="exact"/>
        <w:ind w:firstLine="3080" w:firstLineChars="700"/>
        <w:outlineLvl w:val="0"/>
        <w:rPr>
          <w:rFonts w:ascii="黑体" w:hAnsi="黑体" w:eastAsia="黑体"/>
          <w:color w:val="000000"/>
          <w:sz w:val="44"/>
          <w:szCs w:val="44"/>
        </w:rPr>
      </w:pPr>
    </w:p>
    <w:p>
      <w:pPr>
        <w:spacing w:line="600" w:lineRule="exact"/>
        <w:outlineLvl w:val="0"/>
        <w:rPr>
          <w:rFonts w:ascii="方正小标宋简体" w:hAnsi="宋体" w:eastAsia="方正小标宋简体"/>
          <w:color w:val="FF0000"/>
          <w:kern w:val="0"/>
          <w:sz w:val="44"/>
          <w:szCs w:val="44"/>
          <w:lang w:val="zh-CN"/>
        </w:rPr>
      </w:pPr>
    </w:p>
    <w:p>
      <w:pPr>
        <w:pStyle w:val="2"/>
        <w:spacing w:before="93"/>
        <w:rPr>
          <w:rFonts w:ascii="方正小标宋简体" w:hAnsi="宋体" w:eastAsia="方正小标宋简体"/>
          <w:color w:val="FF0000"/>
          <w:sz w:val="44"/>
          <w:szCs w:val="44"/>
          <w:lang w:val="zh-CN"/>
        </w:rPr>
      </w:pPr>
    </w:p>
    <w:p>
      <w:pPr>
        <w:spacing w:line="600" w:lineRule="exact"/>
        <w:jc w:val="center"/>
        <w:outlineLvl w:val="0"/>
        <w:rPr>
          <w:rFonts w:ascii="黑体" w:hAnsi="黑体" w:eastAsia="黑体"/>
          <w:sz w:val="44"/>
          <w:szCs w:val="44"/>
        </w:rPr>
      </w:pPr>
      <w:bookmarkStart w:id="56" w:name="_Toc15396614"/>
      <w:bookmarkStart w:id="57" w:name="_Toc15377226"/>
    </w:p>
    <w:p>
      <w:pPr>
        <w:spacing w:line="600" w:lineRule="exact"/>
        <w:jc w:val="center"/>
        <w:outlineLvl w:val="0"/>
        <w:rPr>
          <w:rFonts w:ascii="黑体" w:hAnsi="黑体" w:eastAsia="黑体"/>
          <w:sz w:val="44"/>
          <w:szCs w:val="44"/>
        </w:rPr>
      </w:pPr>
    </w:p>
    <w:p>
      <w:pPr>
        <w:pStyle w:val="2"/>
      </w:pPr>
    </w:p>
    <w:p>
      <w:pPr>
        <w:spacing w:line="600" w:lineRule="exact"/>
        <w:jc w:val="center"/>
        <w:outlineLvl w:val="0"/>
        <w:rPr>
          <w:rStyle w:val="26"/>
          <w:rFonts w:ascii="黑体" w:hAnsi="黑体" w:eastAsia="黑体"/>
          <w:b w:val="0"/>
        </w:rPr>
      </w:pPr>
      <w:r>
        <w:rPr>
          <w:rFonts w:hint="eastAsia" w:ascii="黑体" w:hAnsi="黑体" w:eastAsia="黑体"/>
          <w:sz w:val="44"/>
          <w:szCs w:val="44"/>
        </w:rPr>
        <w:t>第</w:t>
      </w:r>
      <w:r>
        <w:rPr>
          <w:rStyle w:val="26"/>
          <w:rFonts w:hint="eastAsia" w:ascii="黑体" w:hAnsi="黑体" w:eastAsia="黑体"/>
          <w:b w:val="0"/>
        </w:rPr>
        <w:t>四部分 附件</w:t>
      </w:r>
      <w:bookmarkEnd w:id="56"/>
    </w:p>
    <w:p>
      <w:pPr>
        <w:spacing w:line="600" w:lineRule="exact"/>
        <w:jc w:val="center"/>
        <w:rPr>
          <w:rFonts w:ascii="方正小标宋简体" w:hAnsi="宋体" w:eastAsia="方正小标宋简体"/>
          <w:kern w:val="0"/>
          <w:sz w:val="44"/>
          <w:szCs w:val="44"/>
          <w:lang w:val="zh-CN"/>
        </w:rPr>
      </w:pPr>
    </w:p>
    <w:p>
      <w:pPr>
        <w:spacing w:line="600" w:lineRule="exact"/>
        <w:jc w:val="center"/>
        <w:rPr>
          <w:rFonts w:ascii="方正小标宋简体" w:hAnsi="宋体" w:eastAsia="方正小标宋简体"/>
          <w:kern w:val="0"/>
          <w:sz w:val="44"/>
          <w:szCs w:val="44"/>
          <w:lang w:val="zh-CN"/>
        </w:rPr>
      </w:pPr>
    </w:p>
    <w:p>
      <w:pPr>
        <w:spacing w:line="600" w:lineRule="exact"/>
        <w:jc w:val="center"/>
        <w:rPr>
          <w:rFonts w:ascii="方正小标宋简体" w:hAnsi="宋体" w:eastAsia="方正小标宋简体"/>
          <w:kern w:val="0"/>
          <w:sz w:val="44"/>
          <w:szCs w:val="44"/>
          <w:lang w:val="zh-CN"/>
        </w:rPr>
      </w:pPr>
      <w:r>
        <w:rPr>
          <w:rFonts w:hint="eastAsia" w:ascii="方正小标宋简体" w:hAnsi="宋体" w:eastAsia="方正小标宋简体"/>
          <w:kern w:val="0"/>
          <w:sz w:val="44"/>
          <w:szCs w:val="44"/>
          <w:lang w:val="zh-CN"/>
        </w:rPr>
        <w:t>2021年学生宿舍（含食堂教室零星维修)                 项目支出绩效自评报告</w:t>
      </w:r>
    </w:p>
    <w:p>
      <w:pPr>
        <w:tabs>
          <w:tab w:val="left" w:pos="3885"/>
        </w:tabs>
        <w:snapToGrid w:val="0"/>
        <w:spacing w:line="600" w:lineRule="exact"/>
        <w:ind w:firstLine="640" w:firstLineChars="200"/>
        <w:jc w:val="left"/>
        <w:rPr>
          <w:rFonts w:eastAsia="黑体"/>
          <w:sz w:val="32"/>
          <w:szCs w:val="32"/>
        </w:rPr>
      </w:pPr>
    </w:p>
    <w:p>
      <w:pPr>
        <w:tabs>
          <w:tab w:val="left" w:pos="3885"/>
        </w:tabs>
        <w:snapToGrid w:val="0"/>
        <w:spacing w:line="600" w:lineRule="exact"/>
        <w:ind w:firstLine="640" w:firstLineChars="200"/>
        <w:jc w:val="left"/>
        <w:rPr>
          <w:rFonts w:eastAsia="黑体"/>
          <w:sz w:val="32"/>
          <w:szCs w:val="32"/>
        </w:rPr>
      </w:pPr>
      <w:r>
        <w:rPr>
          <w:rFonts w:eastAsia="黑体"/>
          <w:sz w:val="32"/>
          <w:szCs w:val="32"/>
        </w:rPr>
        <w:t>一、基本情况</w:t>
      </w:r>
    </w:p>
    <w:p>
      <w:pPr>
        <w:adjustRightInd w:val="0"/>
        <w:snapToGrid w:val="0"/>
        <w:spacing w:line="600" w:lineRule="exact"/>
        <w:ind w:firstLine="720"/>
        <w:rPr>
          <w:rFonts w:eastAsia="仿宋_GB2312"/>
          <w:b/>
          <w:sz w:val="32"/>
          <w:szCs w:val="32"/>
        </w:rPr>
      </w:pPr>
      <w:r>
        <w:rPr>
          <w:rFonts w:eastAsia="仿宋_GB2312"/>
          <w:b/>
          <w:sz w:val="32"/>
          <w:szCs w:val="32"/>
          <w:lang w:val="zh-CN"/>
        </w:rPr>
        <w:t>（一）</w:t>
      </w:r>
      <w:r>
        <w:rPr>
          <w:rFonts w:eastAsia="仿宋_GB2312"/>
          <w:b/>
          <w:sz w:val="32"/>
          <w:szCs w:val="32"/>
        </w:rPr>
        <w:t>项目概况</w:t>
      </w:r>
    </w:p>
    <w:p>
      <w:pPr>
        <w:ind w:firstLine="643" w:firstLineChars="200"/>
        <w:rPr>
          <w:rFonts w:eastAsia="仿宋_GB2312"/>
          <w:b/>
          <w:sz w:val="32"/>
          <w:szCs w:val="32"/>
          <w:lang w:val="zh-CN"/>
        </w:rPr>
      </w:pPr>
      <w:r>
        <w:rPr>
          <w:rFonts w:eastAsia="仿宋_GB2312"/>
          <w:b/>
          <w:sz w:val="32"/>
          <w:szCs w:val="32"/>
        </w:rPr>
        <w:t>1.单位</w:t>
      </w:r>
      <w:r>
        <w:rPr>
          <w:rFonts w:eastAsia="仿宋_GB2312"/>
          <w:b/>
          <w:sz w:val="32"/>
          <w:szCs w:val="32"/>
          <w:lang w:val="zh-CN"/>
        </w:rPr>
        <w:t>基本情况</w:t>
      </w:r>
    </w:p>
    <w:p>
      <w:pPr>
        <w:ind w:firstLine="640" w:firstLineChars="200"/>
        <w:rPr>
          <w:rFonts w:ascii="方正小标宋简体" w:hAnsi="宋体" w:eastAsia="方正小标宋简体"/>
          <w:color w:val="FF0000"/>
          <w:kern w:val="0"/>
          <w:sz w:val="44"/>
          <w:szCs w:val="44"/>
          <w:lang w:val="zh-CN"/>
        </w:rPr>
      </w:pPr>
      <w:r>
        <w:rPr>
          <w:rFonts w:hint="eastAsia" w:ascii="仿宋_GB2312" w:hAnsi="仿宋_GB2312" w:eastAsia="仿宋_GB2312" w:cs="仿宋_GB2312"/>
          <w:sz w:val="32"/>
        </w:rPr>
        <w:t>四川省藏文学校位于甘孜州康定市，于1981年8月31日经省人民政府批准成立，隶属四川省民族宗教事务委员会的中等专业学校。建校来,在省民宗委、甘孜州委、州府的领导下,学校为藏区的经济建设、社会稳定、民族团结、文化繁荣事业输送了近万名合格毕业生，做出了卓有成效的贡献，得到了各级党委、政府的首肯，赢得了社会、广大群众的认可和赞誉，是藏区政治稳定、经济发展、文化繁荣的人才摇篮；是民族团结和藏区和谐稳定的示范单位；是党和国家民族工作的外宣阵地。在校中职学生1635人，31个教学班。学校占地面积54亩，校舍建筑面积3</w:t>
      </w:r>
      <w:r>
        <w:rPr>
          <w:rFonts w:ascii="仿宋_GB2312" w:hAnsi="仿宋_GB2312" w:eastAsia="仿宋_GB2312" w:cs="仿宋_GB2312"/>
          <w:sz w:val="32"/>
        </w:rPr>
        <w:t>5231</w:t>
      </w:r>
      <w:r>
        <w:rPr>
          <w:rFonts w:hint="eastAsia" w:ascii="Segoe UI Symbol" w:hAnsi="Segoe UI Symbol" w:eastAsia="Segoe UI Symbol" w:cs="Segoe UI Symbol"/>
          <w:sz w:val="32"/>
        </w:rPr>
        <w:t>㎡</w:t>
      </w:r>
      <w:r>
        <w:rPr>
          <w:rFonts w:hint="eastAsia" w:ascii="仿宋_GB2312" w:hAnsi="仿宋_GB2312" w:eastAsia="仿宋_GB2312" w:cs="仿宋_GB2312"/>
          <w:sz w:val="32"/>
        </w:rPr>
        <w:t>。为消除学校安全隐患，提高综合教学能力，改善教学环境，完善教学设施，提升学校基础教学环境，能够更好的满足师生对良好教学环境的需要。</w:t>
      </w:r>
    </w:p>
    <w:p>
      <w:pPr>
        <w:pStyle w:val="13"/>
        <w:numPr>
          <w:ilvl w:val="0"/>
          <w:numId w:val="9"/>
        </w:numPr>
        <w:shd w:val="clear" w:color="auto" w:fill="FFFFFF"/>
        <w:spacing w:before="0" w:beforeAutospacing="0" w:after="0" w:afterAutospacing="0"/>
        <w:ind w:firstLine="516"/>
        <w:rPr>
          <w:rFonts w:ascii="楷体_GB2312" w:eastAsia="楷体_GB2312"/>
          <w:b/>
          <w:color w:val="FF0000"/>
          <w:sz w:val="32"/>
          <w:szCs w:val="32"/>
          <w:lang w:val="zh-CN"/>
        </w:rPr>
      </w:pPr>
      <w:r>
        <w:rPr>
          <w:rFonts w:hint="eastAsia" w:eastAsia="仿宋_GB2312"/>
          <w:b/>
          <w:sz w:val="32"/>
          <w:szCs w:val="32"/>
          <w:lang w:val="zh-CN"/>
        </w:rPr>
        <w:t>项目绩效目标</w:t>
      </w:r>
      <w:r>
        <w:rPr>
          <w:rFonts w:hint="eastAsia" w:ascii="楷体_GB2312" w:eastAsia="楷体_GB2312"/>
          <w:b/>
          <w:sz w:val="32"/>
          <w:szCs w:val="32"/>
          <w:lang w:val="zh-CN"/>
        </w:rPr>
        <w:t>。</w:t>
      </w:r>
    </w:p>
    <w:p>
      <w:pPr>
        <w:pStyle w:val="13"/>
        <w:shd w:val="clear" w:color="auto" w:fill="FFFFFF"/>
        <w:spacing w:before="0" w:beforeAutospacing="0" w:after="0" w:afterAutospacing="0"/>
        <w:ind w:firstLine="640" w:firstLineChars="200"/>
        <w:rPr>
          <w:rFonts w:ascii="Times New Roman" w:hAnsi="Times New Roman" w:eastAsia="仿宋_GB2312" w:cs="Times New Roman"/>
          <w:kern w:val="2"/>
          <w:sz w:val="32"/>
          <w:szCs w:val="32"/>
          <w:lang w:bidi="ar-SA"/>
        </w:rPr>
      </w:pPr>
      <w:r>
        <w:rPr>
          <w:rFonts w:ascii="Times New Roman" w:hAnsi="Times New Roman" w:eastAsia="仿宋_GB2312" w:cs="Times New Roman"/>
          <w:kern w:val="2"/>
          <w:sz w:val="32"/>
          <w:szCs w:val="32"/>
          <w:lang w:bidi="ar-SA"/>
        </w:rPr>
        <w:t>1</w:t>
      </w:r>
      <w:r>
        <w:rPr>
          <w:rFonts w:hint="eastAsia" w:ascii="Times New Roman" w:hAnsi="Times New Roman" w:eastAsia="仿宋_GB2312" w:cs="Times New Roman"/>
          <w:kern w:val="2"/>
          <w:sz w:val="32"/>
          <w:szCs w:val="32"/>
          <w:lang w:bidi="ar-SA"/>
        </w:rPr>
        <w:t>、预算绩效目标。项目预算目标35万元，全年执行35万元，执行率100%。</w:t>
      </w:r>
    </w:p>
    <w:p>
      <w:pPr>
        <w:pStyle w:val="13"/>
        <w:shd w:val="clear" w:color="auto" w:fill="FFFFFF"/>
        <w:spacing w:before="0" w:beforeAutospacing="0" w:after="0" w:afterAutospacing="0"/>
        <w:ind w:firstLine="336"/>
        <w:rPr>
          <w:rFonts w:ascii="Times New Roman" w:hAnsi="Times New Roman" w:eastAsia="仿宋_GB2312" w:cs="Times New Roman"/>
          <w:kern w:val="2"/>
          <w:sz w:val="32"/>
          <w:szCs w:val="32"/>
          <w:lang w:bidi="ar-SA"/>
        </w:rPr>
      </w:pPr>
      <w:r>
        <w:rPr>
          <w:rFonts w:hint="eastAsia" w:ascii="Times New Roman" w:hAnsi="Times New Roman" w:eastAsia="仿宋_GB2312" w:cs="Times New Roman"/>
          <w:kern w:val="2"/>
          <w:sz w:val="32"/>
          <w:szCs w:val="32"/>
          <w:lang w:bidi="ar-SA"/>
        </w:rPr>
        <w:t>2、产出指标。覆盖学校数，1个；工程验收合格率，100%，做到全过程监督，工程按期完成，严格控制成本造价，受益学生1600多人。</w:t>
      </w:r>
    </w:p>
    <w:p>
      <w:pPr>
        <w:pStyle w:val="13"/>
        <w:shd w:val="clear" w:color="auto" w:fill="FFFFFF"/>
        <w:spacing w:before="0" w:beforeAutospacing="0" w:after="0" w:afterAutospacing="0"/>
        <w:ind w:firstLine="516"/>
        <w:rPr>
          <w:rFonts w:ascii="Times New Roman" w:hAnsi="Times New Roman" w:eastAsia="仿宋_GB2312" w:cs="Times New Roman"/>
          <w:kern w:val="2"/>
          <w:sz w:val="32"/>
          <w:szCs w:val="32"/>
          <w:lang w:bidi="ar-SA"/>
        </w:rPr>
      </w:pPr>
      <w:r>
        <w:rPr>
          <w:rFonts w:hint="eastAsia" w:ascii="Times New Roman" w:hAnsi="Times New Roman" w:eastAsia="仿宋_GB2312" w:cs="Times New Roman"/>
          <w:kern w:val="2"/>
          <w:sz w:val="32"/>
          <w:szCs w:val="32"/>
          <w:lang w:bidi="ar-SA"/>
        </w:rPr>
        <w:t>3、效益指标。改善办学条件，已完成；创造生态优良、环境优美的教学环境，已完成；改善学生学习环境，保障学生安全，已完成；办学条件持续改善，办学条件逐年提高，长期，已完成。</w:t>
      </w:r>
    </w:p>
    <w:p>
      <w:pPr>
        <w:pStyle w:val="13"/>
        <w:shd w:val="clear" w:color="auto" w:fill="FFFFFF"/>
        <w:spacing w:before="0" w:beforeAutospacing="0" w:after="0" w:afterAutospacing="0"/>
        <w:ind w:firstLine="516"/>
        <w:rPr>
          <w:rFonts w:ascii="Times New Roman" w:hAnsi="Times New Roman" w:eastAsia="仿宋_GB2312" w:cs="Times New Roman"/>
          <w:kern w:val="2"/>
          <w:sz w:val="32"/>
          <w:szCs w:val="32"/>
          <w:lang w:val="zh-CN" w:bidi="ar-SA"/>
        </w:rPr>
      </w:pPr>
      <w:r>
        <w:rPr>
          <w:rFonts w:hint="eastAsia" w:ascii="Times New Roman" w:hAnsi="Times New Roman" w:eastAsia="仿宋_GB2312" w:cs="Times New Roman"/>
          <w:kern w:val="2"/>
          <w:sz w:val="32"/>
          <w:szCs w:val="32"/>
          <w:lang w:bidi="ar-SA"/>
        </w:rPr>
        <w:t>4、满意度指标。学生满意度，100%；教师满意度，100%。</w:t>
      </w:r>
    </w:p>
    <w:p>
      <w:pPr>
        <w:adjustRightInd w:val="0"/>
        <w:snapToGrid w:val="0"/>
        <w:spacing w:line="600" w:lineRule="exact"/>
        <w:ind w:firstLine="321" w:firstLineChars="100"/>
        <w:rPr>
          <w:rFonts w:ascii="楷体_GB2312" w:hAnsi="宋体" w:eastAsia="楷体_GB2312"/>
          <w:b/>
          <w:sz w:val="32"/>
          <w:szCs w:val="32"/>
          <w:lang w:val="zh-CN"/>
        </w:rPr>
      </w:pPr>
      <w:r>
        <w:rPr>
          <w:rFonts w:hint="eastAsia" w:ascii="楷体_GB2312" w:hAnsi="宋体" w:eastAsia="楷体_GB2312"/>
          <w:b/>
          <w:sz w:val="32"/>
          <w:szCs w:val="32"/>
          <w:lang w:val="zh-CN"/>
        </w:rPr>
        <w:t>（三）项目资金申报相符性。</w:t>
      </w:r>
    </w:p>
    <w:p>
      <w:pPr>
        <w:spacing w:line="600" w:lineRule="exact"/>
        <w:ind w:firstLine="640" w:firstLineChars="200"/>
        <w:rPr>
          <w:rFonts w:ascii="仿宋_GB2312" w:hAnsi="仿宋" w:eastAsia="仿宋_GB2312" w:cs="仿宋_GB2312"/>
          <w:sz w:val="32"/>
          <w:szCs w:val="32"/>
        </w:rPr>
      </w:pPr>
      <w:r>
        <w:rPr>
          <w:rFonts w:hint="eastAsia" w:eastAsia="仿宋_GB2312"/>
          <w:sz w:val="32"/>
          <w:szCs w:val="32"/>
        </w:rPr>
        <w:t>学生宿舍（含食堂教室零星维修)资金，与项目资金申报相符。</w:t>
      </w:r>
    </w:p>
    <w:p>
      <w:pPr>
        <w:adjustRightInd w:val="0"/>
        <w:snapToGrid w:val="0"/>
        <w:spacing w:line="600" w:lineRule="exact"/>
        <w:ind w:firstLine="960" w:firstLineChars="300"/>
        <w:rPr>
          <w:rFonts w:ascii="黑体" w:hAnsi="宋体" w:eastAsia="黑体"/>
          <w:sz w:val="32"/>
          <w:szCs w:val="32"/>
        </w:rPr>
      </w:pPr>
      <w:r>
        <w:rPr>
          <w:rFonts w:hint="eastAsia" w:ascii="黑体" w:hAnsi="宋体" w:eastAsia="黑体"/>
          <w:sz w:val="32"/>
          <w:szCs w:val="32"/>
        </w:rPr>
        <w:t>二、项目实施及管理情况</w:t>
      </w:r>
    </w:p>
    <w:p>
      <w:pPr>
        <w:adjustRightInd w:val="0"/>
        <w:snapToGrid w:val="0"/>
        <w:spacing w:line="600" w:lineRule="exact"/>
        <w:ind w:firstLine="720"/>
        <w:rPr>
          <w:rFonts w:ascii="楷体_GB2312" w:hAnsi="宋体" w:eastAsia="楷体_GB2312"/>
          <w:b/>
          <w:sz w:val="32"/>
          <w:szCs w:val="32"/>
          <w:lang w:val="zh-CN"/>
        </w:rPr>
      </w:pPr>
      <w:r>
        <w:rPr>
          <w:rFonts w:hint="eastAsia" w:ascii="仿宋_GB2312" w:hAnsi="宋体" w:eastAsia="仿宋_GB2312"/>
          <w:sz w:val="32"/>
          <w:szCs w:val="32"/>
          <w:lang w:val="zh-CN"/>
        </w:rPr>
        <w:tab/>
      </w:r>
      <w:r>
        <w:rPr>
          <w:rFonts w:hint="eastAsia" w:ascii="楷体_GB2312" w:hAnsi="宋体" w:eastAsia="楷体_GB2312"/>
          <w:b/>
          <w:sz w:val="32"/>
          <w:szCs w:val="32"/>
          <w:lang w:val="zh-CN"/>
        </w:rPr>
        <w:t>（一）资金计划、到位及使用情况。</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1．资金计划及到位。</w:t>
      </w:r>
    </w:p>
    <w:p>
      <w:pPr>
        <w:adjustRightInd w:val="0"/>
        <w:snapToGrid w:val="0"/>
        <w:spacing w:line="600" w:lineRule="exact"/>
        <w:ind w:firstLine="720"/>
        <w:rPr>
          <w:rFonts w:ascii="楷体_GB2312" w:hAnsi="宋体" w:eastAsia="楷体_GB2312"/>
          <w:color w:val="FF0000"/>
          <w:sz w:val="32"/>
          <w:szCs w:val="32"/>
          <w:lang w:val="zh-CN"/>
        </w:rPr>
      </w:pPr>
      <w:r>
        <w:rPr>
          <w:rFonts w:hint="eastAsia" w:eastAsia="仿宋_GB2312"/>
          <w:sz w:val="32"/>
          <w:szCs w:val="32"/>
        </w:rPr>
        <w:t>2021年，学生宿舍（含食堂教室零星维修)经费总预算35万元</w:t>
      </w:r>
      <w:r>
        <w:rPr>
          <w:rFonts w:hint="eastAsia" w:ascii="楷体_GB2312" w:hAnsi="宋体" w:eastAsia="楷体_GB2312"/>
          <w:color w:val="FF0000"/>
          <w:sz w:val="32"/>
          <w:szCs w:val="32"/>
          <w:lang w:val="zh-CN"/>
        </w:rPr>
        <w:t>，</w:t>
      </w:r>
      <w:r>
        <w:rPr>
          <w:rFonts w:eastAsia="仿宋_GB2312"/>
          <w:sz w:val="32"/>
          <w:szCs w:val="32"/>
        </w:rPr>
        <w:t>根据项目预算绩效管理要求，</w:t>
      </w:r>
      <w:r>
        <w:rPr>
          <w:rFonts w:hint="eastAsia" w:eastAsia="仿宋_GB2312"/>
          <w:sz w:val="32"/>
          <w:szCs w:val="32"/>
        </w:rPr>
        <w:t>四川省</w:t>
      </w:r>
      <w:r>
        <w:rPr>
          <w:rFonts w:eastAsia="仿宋_GB2312"/>
          <w:sz w:val="32"/>
          <w:szCs w:val="32"/>
        </w:rPr>
        <w:t>藏文学校</w:t>
      </w:r>
      <w:r>
        <w:rPr>
          <w:rFonts w:hint="eastAsia" w:eastAsia="仿宋_GB2312"/>
          <w:sz w:val="32"/>
          <w:szCs w:val="32"/>
        </w:rPr>
        <w:t>，</w:t>
      </w:r>
      <w:r>
        <w:rPr>
          <w:rFonts w:eastAsia="仿宋_GB2312"/>
          <w:sz w:val="32"/>
          <w:szCs w:val="32"/>
        </w:rPr>
        <w:t>负责项目资金管理和具体实施</w:t>
      </w:r>
      <w:r>
        <w:rPr>
          <w:rFonts w:hint="eastAsia" w:eastAsia="仿宋_GB2312"/>
          <w:sz w:val="32"/>
          <w:szCs w:val="32"/>
        </w:rPr>
        <w:t>。</w:t>
      </w:r>
    </w:p>
    <w:p>
      <w:pPr>
        <w:adjustRightInd w:val="0"/>
        <w:snapToGrid w:val="0"/>
        <w:spacing w:line="600" w:lineRule="exact"/>
        <w:ind w:firstLine="720"/>
        <w:rPr>
          <w:rFonts w:ascii="楷体_GB2312" w:hAnsi="宋体" w:eastAsia="楷体_GB2312"/>
          <w:color w:val="FF0000"/>
          <w:sz w:val="32"/>
          <w:szCs w:val="32"/>
          <w:lang w:val="zh-CN"/>
        </w:rPr>
      </w:pPr>
      <w:r>
        <w:rPr>
          <w:rFonts w:eastAsia="仿宋_GB2312"/>
          <w:sz w:val="32"/>
          <w:szCs w:val="32"/>
        </w:rPr>
        <w:t>全年，项目支出共计</w:t>
      </w:r>
      <w:r>
        <w:rPr>
          <w:rFonts w:hint="eastAsia" w:eastAsia="仿宋_GB2312"/>
          <w:sz w:val="32"/>
          <w:szCs w:val="32"/>
        </w:rPr>
        <w:t>35</w:t>
      </w:r>
      <w:r>
        <w:rPr>
          <w:rFonts w:eastAsia="仿宋_GB2312"/>
          <w:sz w:val="32"/>
          <w:szCs w:val="32"/>
        </w:rPr>
        <w:t>万元，预算执行率为100%</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sz w:val="32"/>
          <w:szCs w:val="32"/>
          <w:lang w:val="zh-CN"/>
        </w:rPr>
        <w:t>2．资金使用。</w:t>
      </w:r>
    </w:p>
    <w:p>
      <w:pPr>
        <w:ind w:firstLine="640" w:firstLineChars="200"/>
        <w:rPr>
          <w:rFonts w:ascii="仿宋_GB2312" w:hAnsi="宋体" w:eastAsia="仿宋_GB2312"/>
          <w:sz w:val="32"/>
          <w:szCs w:val="32"/>
          <w:lang w:val="zh-CN"/>
        </w:rPr>
      </w:pPr>
      <w:r>
        <w:rPr>
          <w:rFonts w:ascii="仿宋_GB2312" w:hAnsi="宋体" w:eastAsia="仿宋_GB2312"/>
          <w:sz w:val="32"/>
          <w:szCs w:val="32"/>
          <w:lang w:val="zh-CN"/>
        </w:rPr>
        <w:t>专项资金主要用于</w:t>
      </w:r>
      <w:r>
        <w:rPr>
          <w:rFonts w:hint="eastAsia" w:ascii="仿宋_GB2312" w:hAnsi="宋体" w:eastAsia="仿宋_GB2312"/>
          <w:sz w:val="32"/>
          <w:szCs w:val="32"/>
          <w:lang w:val="zh-CN"/>
        </w:rPr>
        <w:t>：</w:t>
      </w:r>
    </w:p>
    <w:p>
      <w:pPr>
        <w:ind w:firstLine="640" w:firstLineChars="200"/>
        <w:rPr>
          <w:rFonts w:ascii="仿宋_GB2312" w:hAnsi="宋体" w:eastAsia="仿宋_GB2312"/>
          <w:sz w:val="32"/>
          <w:szCs w:val="32"/>
          <w:lang w:val="zh-CN"/>
        </w:rPr>
      </w:pPr>
      <w:r>
        <w:rPr>
          <w:rFonts w:hint="eastAsia" w:ascii="仿宋_GB2312" w:hAnsi="宋体" w:eastAsia="仿宋_GB2312"/>
          <w:sz w:val="32"/>
          <w:szCs w:val="32"/>
        </w:rPr>
        <w:t>1.</w:t>
      </w:r>
      <w:r>
        <w:rPr>
          <w:rFonts w:hint="eastAsia" w:ascii="仿宋_GB2312" w:hAnsi="宋体" w:eastAsia="仿宋_GB2312"/>
          <w:sz w:val="32"/>
          <w:szCs w:val="32"/>
          <w:lang w:val="zh-CN"/>
        </w:rPr>
        <w:t>办公楼、两栋教学楼、</w:t>
      </w:r>
      <w:r>
        <w:rPr>
          <w:rFonts w:hint="eastAsia" w:ascii="仿宋_GB2312" w:hAnsi="宋体" w:eastAsia="仿宋_GB2312"/>
          <w:sz w:val="32"/>
          <w:szCs w:val="32"/>
        </w:rPr>
        <w:t>学生寝室前面，维修及新建校园宣传文化</w:t>
      </w:r>
      <w:r>
        <w:rPr>
          <w:rFonts w:hint="eastAsia" w:ascii="仿宋_GB2312" w:hAnsi="宋体" w:eastAsia="仿宋_GB2312"/>
          <w:sz w:val="32"/>
          <w:szCs w:val="32"/>
          <w:lang w:val="zh-CN"/>
        </w:rPr>
        <w:t>墙。</w:t>
      </w:r>
    </w:p>
    <w:p>
      <w:pPr>
        <w:pStyle w:val="2"/>
        <w:spacing w:before="93"/>
        <w:ind w:firstLine="640" w:firstLineChars="200"/>
        <w:rPr>
          <w:rFonts w:hAnsi="宋体"/>
          <w:sz w:val="32"/>
          <w:szCs w:val="32"/>
        </w:rPr>
      </w:pPr>
      <w:r>
        <w:rPr>
          <w:rFonts w:hint="eastAsia" w:hAnsi="宋体"/>
          <w:sz w:val="32"/>
          <w:szCs w:val="32"/>
        </w:rPr>
        <w:t>2.维修校园路面，减少安全隐患，增加学生活动区域。</w:t>
      </w:r>
    </w:p>
    <w:p>
      <w:pPr>
        <w:pStyle w:val="2"/>
        <w:spacing w:before="93"/>
        <w:ind w:firstLine="640" w:firstLineChars="200"/>
        <w:rPr>
          <w:rFonts w:hAnsi="宋体"/>
          <w:sz w:val="32"/>
          <w:szCs w:val="32"/>
        </w:rPr>
      </w:pPr>
      <w:r>
        <w:rPr>
          <w:rFonts w:hint="eastAsia" w:hAnsi="宋体"/>
          <w:sz w:val="32"/>
          <w:szCs w:val="32"/>
        </w:rPr>
        <w:t>3.维修学生寝室，改善住宿环境。</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资金支付符合财务规定，与预算相符。</w:t>
      </w:r>
    </w:p>
    <w:p>
      <w:pPr>
        <w:adjustRightInd w:val="0"/>
        <w:snapToGrid w:val="0"/>
        <w:spacing w:line="600" w:lineRule="exact"/>
        <w:ind w:firstLine="643" w:firstLineChars="200"/>
        <w:rPr>
          <w:rFonts w:ascii="楷体_GB2312" w:hAnsi="宋体" w:eastAsia="楷体_GB2312"/>
          <w:b/>
          <w:sz w:val="32"/>
          <w:szCs w:val="32"/>
          <w:lang w:val="zh-CN"/>
        </w:rPr>
      </w:pPr>
      <w:r>
        <w:rPr>
          <w:rFonts w:hint="eastAsia" w:ascii="楷体_GB2312" w:hAnsi="宋体" w:eastAsia="楷体_GB2312"/>
          <w:b/>
          <w:sz w:val="32"/>
          <w:szCs w:val="32"/>
          <w:lang w:val="zh-CN"/>
        </w:rPr>
        <w:t>（二）项目财务管理情况。</w:t>
      </w:r>
    </w:p>
    <w:p>
      <w:pPr>
        <w:pStyle w:val="11"/>
        <w:spacing w:before="93"/>
        <w:ind w:firstLine="640" w:firstLineChars="200"/>
        <w:rPr>
          <w:rFonts w:ascii="Times New Roman" w:hAnsi="Times New Roman" w:eastAsia="仿宋_GB2312"/>
          <w:sz w:val="32"/>
          <w:szCs w:val="32"/>
        </w:rPr>
      </w:pPr>
      <w:r>
        <w:rPr>
          <w:rFonts w:ascii="Times New Roman" w:hAnsi="Times New Roman" w:eastAsia="仿宋_GB2312"/>
          <w:sz w:val="32"/>
          <w:szCs w:val="32"/>
        </w:rPr>
        <w:t>项目支出均按照有关规章制度和项目实施完成情况进行支付。专项经费使用由办公室为主管理，严格按照委相关财务管理制度执行，并按要求完善记录，确保专款专用。</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（三）项目组织实施情况。</w:t>
      </w:r>
    </w:p>
    <w:p>
      <w:pPr>
        <w:adjustRightInd w:val="0"/>
        <w:snapToGrid w:val="0"/>
        <w:spacing w:line="600" w:lineRule="exact"/>
        <w:ind w:firstLine="720"/>
        <w:rPr>
          <w:rFonts w:eastAsia="仿宋_GB2312"/>
          <w:sz w:val="32"/>
          <w:szCs w:val="32"/>
        </w:rPr>
      </w:pPr>
      <w:r>
        <w:rPr>
          <w:rFonts w:eastAsia="仿宋_GB2312"/>
          <w:sz w:val="32"/>
          <w:szCs w:val="32"/>
        </w:rPr>
        <w:t>根据项目预算绩效管理要求，</w:t>
      </w:r>
      <w:r>
        <w:rPr>
          <w:rFonts w:hint="eastAsia" w:eastAsia="仿宋_GB2312"/>
          <w:sz w:val="32"/>
          <w:szCs w:val="32"/>
        </w:rPr>
        <w:t>四川省</w:t>
      </w:r>
      <w:r>
        <w:rPr>
          <w:rFonts w:eastAsia="仿宋_GB2312"/>
          <w:sz w:val="32"/>
          <w:szCs w:val="32"/>
        </w:rPr>
        <w:t>藏文学校负责项目资金管理和具体实施。</w:t>
      </w:r>
    </w:p>
    <w:p>
      <w:pPr>
        <w:ind w:firstLine="420" w:firstLineChars="200"/>
        <w:rPr>
          <w:rFonts w:eastAsia="仿宋_GB2312"/>
          <w:sz w:val="32"/>
          <w:szCs w:val="32"/>
        </w:rPr>
      </w:pPr>
      <w:r>
        <w:rPr>
          <w:rFonts w:hint="eastAsia"/>
        </w:rPr>
        <w:t xml:space="preserve">   </w:t>
      </w:r>
      <w:r>
        <w:rPr>
          <w:rFonts w:hint="eastAsia" w:eastAsia="仿宋_GB2312"/>
          <w:sz w:val="32"/>
          <w:szCs w:val="32"/>
        </w:rPr>
        <w:t>具体要求</w:t>
      </w:r>
      <w:r>
        <w:rPr>
          <w:rFonts w:hint="eastAsia"/>
        </w:rPr>
        <w:t>：</w:t>
      </w:r>
      <w:r>
        <w:rPr>
          <w:rFonts w:hint="eastAsia" w:eastAsia="仿宋_GB2312"/>
          <w:sz w:val="32"/>
          <w:szCs w:val="32"/>
        </w:rPr>
        <w:t>完善学校设施，改善办学条件，促进落实高标准、高质量的中职教育；消除校园安全，同时促进学校自身发展。</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三、项目绩效情况</w:t>
      </w:r>
      <w:r>
        <w:rPr>
          <w:rFonts w:hint="eastAsia" w:ascii="仿宋_GB2312" w:hAnsi="宋体" w:eastAsia="仿宋_GB2312"/>
          <w:sz w:val="32"/>
          <w:szCs w:val="32"/>
          <w:lang w:val="zh-CN"/>
        </w:rPr>
        <w:tab/>
      </w:r>
    </w:p>
    <w:p>
      <w:pPr>
        <w:ind w:firstLine="643" w:firstLineChars="20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ind w:firstLine="640" w:firstLineChars="200"/>
        <w:rPr>
          <w:rFonts w:ascii="仿宋_GB2312" w:hAnsi="仿宋_GB2312" w:eastAsia="仿宋_GB2312" w:cs="仿宋_GB2312"/>
          <w:sz w:val="32"/>
          <w:lang w:val="zh-CN"/>
        </w:rPr>
      </w:pPr>
      <w:r>
        <w:rPr>
          <w:rFonts w:hint="eastAsia" w:eastAsia="仿宋_GB2312"/>
          <w:sz w:val="32"/>
          <w:szCs w:val="32"/>
        </w:rPr>
        <w:t>学生宿舍（含食堂教室零星维修)</w:t>
      </w:r>
      <w:r>
        <w:rPr>
          <w:rFonts w:hint="eastAsia" w:ascii="仿宋_GB2312" w:hAnsi="仿宋_GB2312" w:eastAsia="仿宋_GB2312" w:cs="仿宋_GB2312"/>
          <w:sz w:val="32"/>
        </w:rPr>
        <w:t>专项资金及时足额支付到位，使学校的环境得到了很大改善，教育设施设备也进一点完善，使在校学生得到更好的教学环境，完成了预期的绩效目标。</w:t>
      </w:r>
    </w:p>
    <w:p>
      <w:pPr>
        <w:ind w:firstLine="643" w:firstLineChars="20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1.校园环境更加美丽、育人氛围更加浓厚，改善了办学条件，有效促进落实高质量、高标准的中职教育，进一步推进学校建设校舍维修工作，切实改善学校办学条件，促进教育事业持续、健康、和谐发展。</w:t>
      </w:r>
    </w:p>
    <w:p>
      <w:pPr>
        <w:ind w:firstLine="640" w:firstLineChars="200"/>
      </w:pPr>
      <w:r>
        <w:rPr>
          <w:rFonts w:hint="eastAsia" w:ascii="仿宋_GB2312" w:hAnsi="仿宋_GB2312" w:eastAsia="仿宋_GB2312" w:cs="仿宋_GB2312"/>
          <w:sz w:val="32"/>
        </w:rPr>
        <w:t>2.利用新建的宣传栏、黑板报、进行多种形式的文化宣传，让平等、团结、互助、和谐的社会主义新型民族关系在校内外得到更加巩固和更好发展。</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四、问题及建议</w:t>
      </w:r>
    </w:p>
    <w:p>
      <w:pPr>
        <w:adjustRightInd w:val="0"/>
        <w:snapToGrid w:val="0"/>
        <w:spacing w:line="620" w:lineRule="exact"/>
        <w:ind w:firstLine="640" w:firstLineChars="200"/>
        <w:rPr>
          <w:rFonts w:eastAsia="仿宋_GB2312"/>
          <w:sz w:val="32"/>
          <w:szCs w:val="32"/>
        </w:rPr>
      </w:pPr>
      <w:r>
        <w:rPr>
          <w:rFonts w:eastAsia="仿宋_GB2312"/>
          <w:sz w:val="32"/>
          <w:szCs w:val="32"/>
        </w:rPr>
        <w:t>本次自评，仍然存在少数问题待解决。主要</w:t>
      </w:r>
      <w:r>
        <w:rPr>
          <w:rFonts w:hint="eastAsia" w:eastAsia="仿宋_GB2312"/>
          <w:sz w:val="32"/>
          <w:szCs w:val="32"/>
        </w:rPr>
        <w:t>是</w:t>
      </w:r>
      <w:r>
        <w:rPr>
          <w:rFonts w:eastAsia="仿宋_GB2312"/>
          <w:sz w:val="32"/>
          <w:szCs w:val="32"/>
        </w:rPr>
        <w:t>绩效目标细化量化上尚不完善</w:t>
      </w:r>
      <w:r>
        <w:rPr>
          <w:rFonts w:hint="eastAsia" w:eastAsia="仿宋_GB2312"/>
          <w:sz w:val="32"/>
          <w:szCs w:val="32"/>
        </w:rPr>
        <w:t>。</w:t>
      </w:r>
    </w:p>
    <w:p>
      <w:pPr>
        <w:spacing w:line="600" w:lineRule="exact"/>
        <w:ind w:firstLine="643" w:firstLineChars="200"/>
        <w:rPr>
          <w:rFonts w:ascii="仿宋_GB2312" w:hAnsi="宋体" w:eastAsia="仿宋_GB2312"/>
          <w:sz w:val="32"/>
          <w:szCs w:val="32"/>
          <w:lang w:val="zh-CN"/>
        </w:rPr>
      </w:pPr>
      <w:r>
        <w:rPr>
          <w:rFonts w:hint="eastAsia" w:ascii="楷体_GB2312" w:hAnsi="宋体" w:eastAsia="楷体_GB2312"/>
          <w:b/>
          <w:sz w:val="32"/>
          <w:szCs w:val="32"/>
          <w:lang w:val="zh-CN"/>
        </w:rPr>
        <w:t>（二）相关建议。</w:t>
      </w:r>
    </w:p>
    <w:p>
      <w:pPr>
        <w:spacing w:line="600" w:lineRule="exact"/>
        <w:ind w:firstLine="640" w:firstLineChars="200"/>
        <w:rPr>
          <w:rFonts w:eastAsia="仿宋_GB2312"/>
          <w:sz w:val="32"/>
          <w:szCs w:val="32"/>
        </w:rPr>
      </w:pPr>
      <w:r>
        <w:rPr>
          <w:rFonts w:eastAsia="仿宋_GB2312"/>
          <w:sz w:val="32"/>
          <w:szCs w:val="32"/>
        </w:rPr>
        <w:t>一是提高预算编制的精准性。进一步细化量化</w:t>
      </w:r>
      <w:r>
        <w:rPr>
          <w:rFonts w:hint="eastAsia" w:eastAsia="仿宋_GB2312"/>
          <w:sz w:val="32"/>
          <w:szCs w:val="32"/>
        </w:rPr>
        <w:t>学生宿舍（含食堂教室零星维修)</w:t>
      </w:r>
      <w:r>
        <w:rPr>
          <w:rFonts w:eastAsia="仿宋_GB2312"/>
          <w:sz w:val="32"/>
          <w:szCs w:val="32"/>
        </w:rPr>
        <w:t>经费，更加精确把控项目的可行性</w:t>
      </w:r>
      <w:r>
        <w:rPr>
          <w:rFonts w:hint="eastAsia" w:eastAsia="仿宋_GB2312"/>
          <w:sz w:val="32"/>
          <w:szCs w:val="32"/>
        </w:rPr>
        <w:t>,</w:t>
      </w:r>
      <w:r>
        <w:rPr>
          <w:rFonts w:eastAsia="仿宋_GB2312"/>
          <w:sz w:val="32"/>
          <w:szCs w:val="32"/>
        </w:rPr>
        <w:t>合理测算预算，确保预算刚性约束。</w:t>
      </w:r>
    </w:p>
    <w:p>
      <w:pPr>
        <w:spacing w:line="600" w:lineRule="exact"/>
        <w:ind w:firstLine="640" w:firstLineChars="200"/>
        <w:rPr>
          <w:rFonts w:eastAsia="仿宋_GB2312"/>
          <w:sz w:val="32"/>
          <w:szCs w:val="32"/>
        </w:rPr>
      </w:pPr>
      <w:r>
        <w:rPr>
          <w:rFonts w:eastAsia="仿宋_GB2312"/>
          <w:sz w:val="32"/>
          <w:szCs w:val="32"/>
        </w:rPr>
        <w:t>二是加强执行中的动态监控。在预算执行过程中加强对预算及绩效的“双监控”。按照财政有关要求，动态调整预算，提高预算执行率，切实发挥财政资金的使用绩效。</w:t>
      </w:r>
    </w:p>
    <w:p>
      <w:pPr>
        <w:pStyle w:val="2"/>
        <w:spacing w:before="93"/>
      </w:pPr>
      <w:r>
        <w:rPr>
          <w:rFonts w:hint="eastAsia"/>
          <w:sz w:val="32"/>
          <w:szCs w:val="32"/>
        </w:rPr>
        <w:t xml:space="preserve">    三是优化审批程序，强化流程管理，确保支出及时有序。</w:t>
      </w:r>
    </w:p>
    <w:p>
      <w:pPr>
        <w:spacing w:line="572" w:lineRule="exact"/>
        <w:jc w:val="left"/>
        <w:outlineLvl w:val="0"/>
        <w:rPr>
          <w:rFonts w:ascii="黑体" w:hAnsi="黑体" w:eastAsia="黑体" w:cs="黑体"/>
          <w:sz w:val="32"/>
          <w:szCs w:val="32"/>
        </w:rPr>
      </w:pPr>
    </w:p>
    <w:p>
      <w:pPr>
        <w:spacing w:line="572" w:lineRule="exact"/>
        <w:jc w:val="left"/>
        <w:outlineLvl w:val="0"/>
        <w:rPr>
          <w:rFonts w:ascii="黑体" w:hAnsi="黑体" w:eastAsia="黑体" w:cs="黑体"/>
          <w:sz w:val="32"/>
          <w:szCs w:val="32"/>
        </w:rPr>
      </w:pPr>
    </w:p>
    <w:p>
      <w:pPr>
        <w:spacing w:line="572" w:lineRule="exact"/>
        <w:jc w:val="left"/>
        <w:outlineLvl w:val="0"/>
        <w:rPr>
          <w:rFonts w:ascii="黑体" w:hAnsi="黑体" w:eastAsia="黑体" w:cs="黑体"/>
          <w:sz w:val="32"/>
          <w:szCs w:val="32"/>
        </w:rPr>
      </w:pPr>
      <w:bookmarkStart w:id="72" w:name="_GoBack"/>
      <w:bookmarkEnd w:id="72"/>
    </w:p>
    <w:p>
      <w:pPr>
        <w:spacing w:line="572" w:lineRule="exact"/>
        <w:jc w:val="left"/>
        <w:outlineLvl w:val="0"/>
        <w:rPr>
          <w:rFonts w:ascii="仿宋_GB2312" w:hAnsi="仿宋_GB2312" w:eastAsia="仿宋_GB2312" w:cs="仿宋_GB2312"/>
          <w:sz w:val="32"/>
          <w:szCs w:val="32"/>
        </w:rPr>
      </w:pPr>
      <w:r>
        <w:rPr>
          <w:rFonts w:hint="eastAsia" w:ascii="黑体" w:hAnsi="黑体" w:eastAsia="黑体" w:cs="黑体"/>
          <w:sz w:val="32"/>
          <w:szCs w:val="32"/>
        </w:rPr>
        <w:t>附件</w:t>
      </w:r>
    </w:p>
    <w:tbl>
      <w:tblPr>
        <w:tblStyle w:val="14"/>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rPr>
          <w:trHeight w:val="675" w:hRule="atLeast"/>
        </w:trPr>
        <w:tc>
          <w:tcPr>
            <w:tcW w:w="9577"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rPr>
            </w:pPr>
            <w:bookmarkStart w:id="58" w:name="_Toc15396618"/>
            <w:r>
              <w:rPr>
                <w:rFonts w:hint="eastAsia" w:ascii="宋体" w:hAnsi="宋体" w:cs="宋体"/>
                <w:b/>
                <w:sz w:val="32"/>
                <w:szCs w:val="32"/>
              </w:rPr>
              <w:t>2021年100万元以上（含）特定目标类部门预算项目绩效目标自评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项目预算</w:t>
            </w:r>
          </w:p>
          <w:p>
            <w:pPr>
              <w:widowControl/>
              <w:spacing w:line="320" w:lineRule="exact"/>
              <w:jc w:val="center"/>
              <w:textAlignment w:val="center"/>
              <w:rPr>
                <w:rFonts w:ascii="宋体" w:hAnsi="宋体" w:cs="宋体"/>
                <w:kern w:val="0"/>
                <w:sz w:val="24"/>
              </w:rPr>
            </w:pPr>
            <w:r>
              <w:rPr>
                <w:rFonts w:hint="eastAsia" w:ascii="宋体" w:hAnsi="宋体" w:cs="宋体"/>
                <w:kern w:val="0"/>
                <w:sz w:val="24"/>
              </w:rPr>
              <w:t>执行情况</w:t>
            </w:r>
          </w:p>
          <w:p>
            <w:pPr>
              <w:widowControl/>
              <w:spacing w:line="320" w:lineRule="exact"/>
              <w:jc w:val="center"/>
              <w:textAlignment w:val="center"/>
              <w:rPr>
                <w:rFonts w:ascii="宋体" w:hAnsi="宋体" w:cs="宋体"/>
                <w:sz w:val="24"/>
              </w:rPr>
            </w:pP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效益</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bl>
    <w:p>
      <w:pPr>
        <w:spacing w:line="600" w:lineRule="exact"/>
        <w:jc w:val="center"/>
        <w:outlineLvl w:val="0"/>
        <w:rPr>
          <w:rFonts w:ascii="黑体" w:hAnsi="黑体" w:eastAsia="黑体"/>
          <w:sz w:val="44"/>
          <w:szCs w:val="44"/>
        </w:rPr>
      </w:pPr>
    </w:p>
    <w:p>
      <w:pPr>
        <w:widowControl/>
        <w:adjustRightInd w:val="0"/>
        <w:snapToGrid w:val="0"/>
        <w:spacing w:line="580" w:lineRule="exact"/>
        <w:contextualSpacing/>
        <w:jc w:val="left"/>
      </w:pPr>
      <w:r>
        <w:rPr>
          <w:rFonts w:hint="eastAsia" w:ascii="仿宋_GB2312" w:hAnsi="宋体" w:eastAsia="仿宋_GB2312" w:cs="宋体"/>
          <w:color w:val="000000"/>
          <w:kern w:val="0"/>
          <w:sz w:val="32"/>
          <w:szCs w:val="32"/>
          <w:shd w:val="clear" w:color="auto" w:fill="FFFFFF"/>
        </w:rPr>
        <w:t>（注：有两个及以上100万元以上（含）特定目标类部门预算项目的，需分别开展绩效目标自评并填写附表）</w:t>
      </w:r>
    </w:p>
    <w:p>
      <w:pPr>
        <w:spacing w:line="600" w:lineRule="exact"/>
        <w:jc w:val="center"/>
        <w:outlineLvl w:val="0"/>
        <w:rPr>
          <w:rFonts w:ascii="黑体" w:hAnsi="黑体" w:eastAsia="黑体"/>
          <w:sz w:val="44"/>
          <w:szCs w:val="44"/>
        </w:rPr>
      </w:pPr>
    </w:p>
    <w:p>
      <w:pPr>
        <w:pStyle w:val="2"/>
        <w:spacing w:before="93"/>
      </w:pPr>
    </w:p>
    <w:p>
      <w:pPr>
        <w:spacing w:line="600" w:lineRule="exact"/>
        <w:jc w:val="center"/>
        <w:outlineLvl w:val="0"/>
        <w:rPr>
          <w:rFonts w:ascii="黑体" w:hAnsi="黑体" w:eastAsia="黑体"/>
          <w:sz w:val="44"/>
          <w:szCs w:val="44"/>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6"/>
          <w:rFonts w:hint="eastAsia" w:ascii="黑体" w:hAnsi="黑体" w:eastAsia="黑体"/>
          <w:b w:val="0"/>
        </w:rPr>
        <w:t>五部分 附表</w:t>
      </w:r>
      <w:bookmarkEnd w:id="57"/>
      <w:bookmarkEnd w:id="58"/>
      <w:bookmarkStart w:id="59" w:name="_Toc15396619"/>
    </w:p>
    <w:p>
      <w:pPr>
        <w:pStyle w:val="4"/>
        <w:rPr>
          <w:rFonts w:ascii="仿宋" w:hAnsi="仿宋" w:eastAsia="仿宋"/>
        </w:rPr>
      </w:pPr>
      <w:r>
        <w:rPr>
          <w:rFonts w:hint="eastAsia" w:ascii="仿宋" w:hAnsi="仿宋" w:eastAsia="仿宋"/>
          <w:b w:val="0"/>
        </w:rPr>
        <w:t>一、收</w:t>
      </w:r>
      <w:r>
        <w:rPr>
          <w:rStyle w:val="27"/>
          <w:rFonts w:hint="eastAsia" w:ascii="仿宋" w:hAnsi="仿宋" w:eastAsia="仿宋"/>
          <w:b w:val="0"/>
          <w:bCs w:val="0"/>
        </w:rPr>
        <w:t>入支出决算总表</w:t>
      </w:r>
      <w:bookmarkEnd w:id="59"/>
    </w:p>
    <w:p>
      <w:pPr>
        <w:pStyle w:val="4"/>
        <w:rPr>
          <w:rFonts w:ascii="仿宋" w:hAnsi="仿宋" w:eastAsia="仿宋"/>
        </w:rPr>
      </w:pPr>
      <w:bookmarkStart w:id="60" w:name="_Toc15396620"/>
      <w:r>
        <w:rPr>
          <w:rFonts w:hint="eastAsia" w:ascii="仿宋" w:hAnsi="仿宋" w:eastAsia="仿宋"/>
          <w:b w:val="0"/>
        </w:rPr>
        <w:t>二、收</w:t>
      </w:r>
      <w:r>
        <w:rPr>
          <w:rStyle w:val="27"/>
          <w:rFonts w:hint="eastAsia" w:ascii="仿宋" w:hAnsi="仿宋" w:eastAsia="仿宋"/>
          <w:b w:val="0"/>
          <w:bCs w:val="0"/>
        </w:rPr>
        <w:t>入决算表</w:t>
      </w:r>
      <w:bookmarkEnd w:id="60"/>
    </w:p>
    <w:p>
      <w:pPr>
        <w:pStyle w:val="4"/>
        <w:rPr>
          <w:rFonts w:ascii="仿宋" w:hAnsi="仿宋" w:eastAsia="仿宋"/>
        </w:rPr>
      </w:pPr>
      <w:bookmarkStart w:id="61" w:name="_Toc15396621"/>
      <w:r>
        <w:rPr>
          <w:rStyle w:val="27"/>
          <w:rFonts w:hint="eastAsia" w:ascii="仿宋" w:hAnsi="仿宋" w:eastAsia="仿宋"/>
          <w:b w:val="0"/>
          <w:bCs w:val="0"/>
        </w:rPr>
        <w:t>三、</w:t>
      </w:r>
      <w:r>
        <w:rPr>
          <w:rFonts w:hint="eastAsia" w:ascii="仿宋" w:hAnsi="仿宋" w:eastAsia="仿宋"/>
          <w:b w:val="0"/>
        </w:rPr>
        <w:t>支</w:t>
      </w:r>
      <w:r>
        <w:rPr>
          <w:rStyle w:val="27"/>
          <w:rFonts w:hint="eastAsia" w:ascii="仿宋" w:hAnsi="仿宋" w:eastAsia="仿宋"/>
          <w:b w:val="0"/>
          <w:bCs w:val="0"/>
        </w:rPr>
        <w:t>出决算表</w:t>
      </w:r>
      <w:bookmarkEnd w:id="61"/>
    </w:p>
    <w:p>
      <w:pPr>
        <w:pStyle w:val="4"/>
        <w:rPr>
          <w:rFonts w:ascii="仿宋" w:hAnsi="仿宋" w:eastAsia="仿宋"/>
          <w:b w:val="0"/>
        </w:rPr>
      </w:pPr>
      <w:bookmarkStart w:id="62" w:name="_Toc15396622"/>
      <w:r>
        <w:rPr>
          <w:rStyle w:val="27"/>
          <w:rFonts w:hint="eastAsia" w:ascii="仿宋" w:hAnsi="仿宋" w:eastAsia="仿宋"/>
          <w:b w:val="0"/>
          <w:bCs w:val="0"/>
        </w:rPr>
        <w:t>四、</w:t>
      </w:r>
      <w:r>
        <w:rPr>
          <w:rFonts w:hint="eastAsia" w:ascii="仿宋" w:hAnsi="仿宋" w:eastAsia="仿宋"/>
          <w:b w:val="0"/>
        </w:rPr>
        <w:t>财</w:t>
      </w:r>
      <w:r>
        <w:rPr>
          <w:rStyle w:val="27"/>
          <w:rFonts w:hint="eastAsia" w:ascii="仿宋" w:hAnsi="仿宋" w:eastAsia="仿宋"/>
          <w:b w:val="0"/>
          <w:bCs w:val="0"/>
        </w:rPr>
        <w:t>政拨款收入支出决算总表</w:t>
      </w:r>
      <w:bookmarkEnd w:id="62"/>
    </w:p>
    <w:p>
      <w:pPr>
        <w:pStyle w:val="4"/>
        <w:rPr>
          <w:rStyle w:val="27"/>
          <w:rFonts w:ascii="仿宋" w:hAnsi="仿宋" w:eastAsia="仿宋"/>
          <w:b w:val="0"/>
          <w:bCs w:val="0"/>
        </w:rPr>
      </w:pPr>
      <w:bookmarkStart w:id="63" w:name="_Toc15396623"/>
      <w:r>
        <w:rPr>
          <w:rStyle w:val="27"/>
          <w:rFonts w:hint="eastAsia" w:ascii="仿宋" w:hAnsi="仿宋" w:eastAsia="仿宋"/>
          <w:b w:val="0"/>
          <w:bCs w:val="0"/>
        </w:rPr>
        <w:t>五、</w:t>
      </w:r>
      <w:r>
        <w:rPr>
          <w:rFonts w:hint="eastAsia" w:ascii="仿宋" w:hAnsi="仿宋" w:eastAsia="仿宋"/>
          <w:b w:val="0"/>
        </w:rPr>
        <w:t>财</w:t>
      </w:r>
      <w:r>
        <w:rPr>
          <w:rStyle w:val="27"/>
          <w:rFonts w:hint="eastAsia" w:ascii="仿宋" w:hAnsi="仿宋" w:eastAsia="仿宋"/>
          <w:b w:val="0"/>
          <w:bCs w:val="0"/>
        </w:rPr>
        <w:t>政拨款支出决算明细表</w:t>
      </w:r>
      <w:bookmarkEnd w:id="63"/>
      <w:bookmarkStart w:id="64" w:name="_Toc15396624"/>
    </w:p>
    <w:p>
      <w:pPr>
        <w:pStyle w:val="4"/>
        <w:rPr>
          <w:rFonts w:ascii="仿宋" w:hAnsi="仿宋" w:eastAsia="仿宋"/>
        </w:rPr>
      </w:pPr>
      <w:r>
        <w:rPr>
          <w:rStyle w:val="27"/>
          <w:rFonts w:hint="eastAsia" w:ascii="仿宋" w:hAnsi="仿宋" w:eastAsia="仿宋"/>
          <w:b w:val="0"/>
          <w:bCs w:val="0"/>
        </w:rPr>
        <w:t>六、</w:t>
      </w:r>
      <w:r>
        <w:rPr>
          <w:rFonts w:hint="eastAsia" w:ascii="仿宋" w:hAnsi="仿宋" w:eastAsia="仿宋"/>
          <w:b w:val="0"/>
        </w:rPr>
        <w:t>一</w:t>
      </w:r>
      <w:r>
        <w:rPr>
          <w:rStyle w:val="27"/>
          <w:rFonts w:hint="eastAsia" w:ascii="仿宋" w:hAnsi="仿宋" w:eastAsia="仿宋"/>
          <w:b w:val="0"/>
          <w:bCs w:val="0"/>
        </w:rPr>
        <w:t>般公共预算财政拨款支出决算表</w:t>
      </w:r>
      <w:bookmarkEnd w:id="64"/>
    </w:p>
    <w:p>
      <w:pPr>
        <w:pStyle w:val="4"/>
        <w:rPr>
          <w:rFonts w:ascii="仿宋" w:hAnsi="仿宋" w:eastAsia="仿宋"/>
        </w:rPr>
      </w:pPr>
      <w:bookmarkStart w:id="65" w:name="_Toc15396625"/>
      <w:r>
        <w:rPr>
          <w:rStyle w:val="27"/>
          <w:rFonts w:hint="eastAsia" w:ascii="仿宋" w:hAnsi="仿宋" w:eastAsia="仿宋"/>
          <w:b w:val="0"/>
          <w:bCs w:val="0"/>
        </w:rPr>
        <w:t>七、</w:t>
      </w:r>
      <w:r>
        <w:rPr>
          <w:rFonts w:hint="eastAsia" w:ascii="仿宋" w:hAnsi="仿宋" w:eastAsia="仿宋"/>
          <w:b w:val="0"/>
        </w:rPr>
        <w:t>一</w:t>
      </w:r>
      <w:r>
        <w:rPr>
          <w:rStyle w:val="27"/>
          <w:rFonts w:hint="eastAsia" w:ascii="仿宋" w:hAnsi="仿宋" w:eastAsia="仿宋"/>
          <w:b w:val="0"/>
          <w:bCs w:val="0"/>
        </w:rPr>
        <w:t>般公共预算财政拨款支出决算明细表</w:t>
      </w:r>
      <w:bookmarkEnd w:id="65"/>
    </w:p>
    <w:p>
      <w:pPr>
        <w:pStyle w:val="4"/>
        <w:rPr>
          <w:rFonts w:ascii="仿宋" w:hAnsi="仿宋" w:eastAsia="仿宋"/>
        </w:rPr>
      </w:pPr>
      <w:bookmarkStart w:id="66" w:name="_Toc15396626"/>
      <w:r>
        <w:rPr>
          <w:rStyle w:val="27"/>
          <w:rFonts w:hint="eastAsia" w:ascii="仿宋" w:hAnsi="仿宋" w:eastAsia="仿宋"/>
          <w:b w:val="0"/>
          <w:bCs w:val="0"/>
        </w:rPr>
        <w:t>八、</w:t>
      </w:r>
      <w:r>
        <w:rPr>
          <w:rFonts w:hint="eastAsia" w:ascii="仿宋" w:hAnsi="仿宋" w:eastAsia="仿宋"/>
          <w:b w:val="0"/>
        </w:rPr>
        <w:t>一</w:t>
      </w:r>
      <w:r>
        <w:rPr>
          <w:rStyle w:val="27"/>
          <w:rFonts w:hint="eastAsia" w:ascii="仿宋" w:hAnsi="仿宋" w:eastAsia="仿宋"/>
          <w:b w:val="0"/>
          <w:bCs w:val="0"/>
        </w:rPr>
        <w:t>般公共预算财政拨款基本支出决算表</w:t>
      </w:r>
      <w:bookmarkEnd w:id="66"/>
    </w:p>
    <w:p>
      <w:pPr>
        <w:pStyle w:val="4"/>
        <w:rPr>
          <w:rFonts w:ascii="仿宋" w:hAnsi="仿宋" w:eastAsia="仿宋"/>
        </w:rPr>
      </w:pPr>
      <w:bookmarkStart w:id="67" w:name="_Toc15396627"/>
      <w:r>
        <w:rPr>
          <w:rStyle w:val="27"/>
          <w:rFonts w:hint="eastAsia" w:ascii="仿宋" w:hAnsi="仿宋" w:eastAsia="仿宋"/>
          <w:b w:val="0"/>
          <w:bCs w:val="0"/>
        </w:rPr>
        <w:t>九、</w:t>
      </w:r>
      <w:r>
        <w:rPr>
          <w:rFonts w:hint="eastAsia" w:ascii="仿宋" w:hAnsi="仿宋" w:eastAsia="仿宋"/>
          <w:b w:val="0"/>
        </w:rPr>
        <w:t>一</w:t>
      </w:r>
      <w:r>
        <w:rPr>
          <w:rStyle w:val="27"/>
          <w:rFonts w:hint="eastAsia" w:ascii="仿宋" w:hAnsi="仿宋" w:eastAsia="仿宋"/>
          <w:b w:val="0"/>
          <w:bCs w:val="0"/>
        </w:rPr>
        <w:t>般公共预算财政拨款项目支出决算表</w:t>
      </w:r>
      <w:bookmarkEnd w:id="67"/>
    </w:p>
    <w:p>
      <w:pPr>
        <w:pStyle w:val="4"/>
        <w:rPr>
          <w:rFonts w:ascii="仿宋" w:hAnsi="仿宋" w:eastAsia="仿宋"/>
        </w:rPr>
      </w:pPr>
      <w:bookmarkStart w:id="68" w:name="_Toc15396628"/>
      <w:r>
        <w:rPr>
          <w:rStyle w:val="27"/>
          <w:rFonts w:hint="eastAsia" w:ascii="仿宋" w:hAnsi="仿宋" w:eastAsia="仿宋"/>
          <w:b w:val="0"/>
          <w:bCs w:val="0"/>
        </w:rPr>
        <w:t>十、</w:t>
      </w:r>
      <w:r>
        <w:rPr>
          <w:rFonts w:hint="eastAsia" w:ascii="仿宋" w:hAnsi="仿宋" w:eastAsia="仿宋"/>
          <w:b w:val="0"/>
        </w:rPr>
        <w:t>一</w:t>
      </w:r>
      <w:r>
        <w:rPr>
          <w:rStyle w:val="27"/>
          <w:rFonts w:hint="eastAsia" w:ascii="仿宋" w:hAnsi="仿宋" w:eastAsia="仿宋"/>
          <w:b w:val="0"/>
          <w:bCs w:val="0"/>
        </w:rPr>
        <w:t>般公共预算财政拨款“三公”经费支出决算表</w:t>
      </w:r>
      <w:bookmarkEnd w:id="68"/>
    </w:p>
    <w:p>
      <w:pPr>
        <w:pStyle w:val="4"/>
        <w:rPr>
          <w:rFonts w:ascii="仿宋" w:hAnsi="仿宋" w:eastAsia="仿宋"/>
        </w:rPr>
      </w:pPr>
      <w:bookmarkStart w:id="69" w:name="_Toc15396629"/>
      <w:r>
        <w:rPr>
          <w:rStyle w:val="27"/>
          <w:rFonts w:hint="eastAsia" w:ascii="仿宋" w:hAnsi="仿宋" w:eastAsia="仿宋"/>
          <w:b w:val="0"/>
          <w:bCs w:val="0"/>
        </w:rPr>
        <w:t>十一、</w:t>
      </w:r>
      <w:r>
        <w:rPr>
          <w:rFonts w:hint="eastAsia" w:ascii="仿宋" w:hAnsi="仿宋" w:eastAsia="仿宋"/>
          <w:b w:val="0"/>
        </w:rPr>
        <w:t>政</w:t>
      </w:r>
      <w:r>
        <w:rPr>
          <w:rStyle w:val="27"/>
          <w:rFonts w:hint="eastAsia" w:ascii="仿宋" w:hAnsi="仿宋" w:eastAsia="仿宋"/>
          <w:b w:val="0"/>
          <w:bCs w:val="0"/>
        </w:rPr>
        <w:t>府性基金预算财政拨款收入支出决算表</w:t>
      </w:r>
      <w:bookmarkEnd w:id="69"/>
    </w:p>
    <w:p>
      <w:pPr>
        <w:pStyle w:val="4"/>
        <w:rPr>
          <w:rFonts w:ascii="仿宋" w:hAnsi="仿宋" w:eastAsia="仿宋"/>
        </w:rPr>
      </w:pPr>
      <w:bookmarkStart w:id="70" w:name="_Toc15396630"/>
      <w:r>
        <w:rPr>
          <w:rStyle w:val="27"/>
          <w:rFonts w:hint="eastAsia" w:ascii="仿宋" w:hAnsi="仿宋" w:eastAsia="仿宋"/>
          <w:b w:val="0"/>
          <w:bCs w:val="0"/>
        </w:rPr>
        <w:t>十二、</w:t>
      </w:r>
      <w:r>
        <w:rPr>
          <w:rFonts w:hint="eastAsia" w:ascii="仿宋" w:hAnsi="仿宋" w:eastAsia="仿宋"/>
          <w:b w:val="0"/>
        </w:rPr>
        <w:t>政</w:t>
      </w:r>
      <w:r>
        <w:rPr>
          <w:rStyle w:val="27"/>
          <w:rFonts w:hint="eastAsia" w:ascii="仿宋" w:hAnsi="仿宋" w:eastAsia="仿宋"/>
          <w:b w:val="0"/>
          <w:bCs w:val="0"/>
        </w:rPr>
        <w:t>府性基金预算财政拨款“三公”经费支出决算表</w:t>
      </w:r>
      <w:bookmarkEnd w:id="70"/>
    </w:p>
    <w:p>
      <w:pPr>
        <w:pStyle w:val="4"/>
        <w:rPr>
          <w:rStyle w:val="27"/>
          <w:rFonts w:ascii="仿宋" w:hAnsi="仿宋" w:eastAsia="仿宋"/>
          <w:b w:val="0"/>
          <w:bCs w:val="0"/>
        </w:rPr>
      </w:pPr>
      <w:bookmarkStart w:id="71" w:name="_Toc15396631"/>
      <w:r>
        <w:rPr>
          <w:rStyle w:val="27"/>
          <w:rFonts w:hint="eastAsia" w:ascii="仿宋" w:hAnsi="仿宋" w:eastAsia="仿宋"/>
          <w:b w:val="0"/>
          <w:bCs w:val="0"/>
        </w:rPr>
        <w:t>十三、</w:t>
      </w:r>
      <w:r>
        <w:rPr>
          <w:rFonts w:hint="eastAsia" w:ascii="仿宋" w:hAnsi="仿宋" w:eastAsia="仿宋"/>
          <w:b w:val="0"/>
        </w:rPr>
        <w:t>国</w:t>
      </w:r>
      <w:r>
        <w:rPr>
          <w:rStyle w:val="27"/>
          <w:rFonts w:hint="eastAsia" w:ascii="仿宋" w:hAnsi="仿宋" w:eastAsia="仿宋"/>
          <w:b w:val="0"/>
          <w:bCs w:val="0"/>
        </w:rPr>
        <w:t>有资本经营预算财政拨款收入支出决算表</w:t>
      </w:r>
      <w:bookmarkEnd w:id="71"/>
    </w:p>
    <w:p>
      <w:pPr>
        <w:rPr>
          <w:rFonts w:eastAsia="仿宋"/>
        </w:rPr>
      </w:pPr>
      <w:r>
        <w:rPr>
          <w:rStyle w:val="27"/>
          <w:rFonts w:hint="eastAsia" w:ascii="仿宋" w:hAnsi="仿宋" w:eastAsia="仿宋"/>
          <w:b w:val="0"/>
          <w:bCs w:val="0"/>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11</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00E424"/>
    <w:multiLevelType w:val="singleLevel"/>
    <w:tmpl w:val="9100E424"/>
    <w:lvl w:ilvl="0" w:tentative="0">
      <w:start w:val="2"/>
      <w:numFmt w:val="chineseCounting"/>
      <w:suff w:val="nothing"/>
      <w:lvlText w:val="（%1）"/>
      <w:lvlJc w:val="left"/>
      <w:rPr>
        <w:rFonts w:hint="eastAsia"/>
        <w:color w:val="auto"/>
      </w:rPr>
    </w:lvl>
  </w:abstractNum>
  <w:abstractNum w:abstractNumId="1">
    <w:nsid w:val="A6D2953B"/>
    <w:multiLevelType w:val="singleLevel"/>
    <w:tmpl w:val="A6D2953B"/>
    <w:lvl w:ilvl="0" w:tentative="0">
      <w:start w:val="3"/>
      <w:numFmt w:val="decimal"/>
      <w:lvlText w:val="%1."/>
      <w:lvlJc w:val="left"/>
      <w:pPr>
        <w:tabs>
          <w:tab w:val="left" w:pos="312"/>
        </w:tabs>
      </w:pPr>
    </w:lvl>
  </w:abstractNum>
  <w:abstractNum w:abstractNumId="2">
    <w:nsid w:val="C98494B4"/>
    <w:multiLevelType w:val="singleLevel"/>
    <w:tmpl w:val="C98494B4"/>
    <w:lvl w:ilvl="0" w:tentative="0">
      <w:start w:val="1"/>
      <w:numFmt w:val="chineseCounting"/>
      <w:suff w:val="nothing"/>
      <w:lvlText w:val="%1、"/>
      <w:lvlJc w:val="left"/>
      <w:rPr>
        <w:rFonts w:hint="eastAsia"/>
      </w:rPr>
    </w:lvl>
  </w:abstractNum>
  <w:abstractNum w:abstractNumId="3">
    <w:nsid w:val="CF652CEC"/>
    <w:multiLevelType w:val="singleLevel"/>
    <w:tmpl w:val="CF652CEC"/>
    <w:lvl w:ilvl="0" w:tentative="0">
      <w:start w:val="9"/>
      <w:numFmt w:val="chineseCounting"/>
      <w:suff w:val="nothing"/>
      <w:lvlText w:val="%1、"/>
      <w:lvlJc w:val="left"/>
      <w:rPr>
        <w:rFonts w:hint="eastAsia"/>
      </w:rPr>
    </w:lvl>
  </w:abstractNum>
  <w:abstractNum w:abstractNumId="4">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5">
    <w:nsid w:val="0D076587"/>
    <w:multiLevelType w:val="multilevel"/>
    <w:tmpl w:val="0D076587"/>
    <w:lvl w:ilvl="0" w:tentative="0">
      <w:start w:val="3"/>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6A144AC6"/>
    <w:multiLevelType w:val="multilevel"/>
    <w:tmpl w:val="6A144AC6"/>
    <w:lvl w:ilvl="0" w:tentative="0">
      <w:start w:val="1"/>
      <w:numFmt w:val="japaneseCounting"/>
      <w:lvlText w:val="（%1）"/>
      <w:lvlJc w:val="left"/>
      <w:pPr>
        <w:ind w:left="1752" w:hanging="10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abstractNum w:abstractNumId="8">
    <w:nsid w:val="7FC4A831"/>
    <w:multiLevelType w:val="singleLevel"/>
    <w:tmpl w:val="7FC4A831"/>
    <w:lvl w:ilvl="0" w:tentative="0">
      <w:start w:val="1"/>
      <w:numFmt w:val="decimal"/>
      <w:lvlText w:val="%1."/>
      <w:lvlJc w:val="left"/>
      <w:pPr>
        <w:tabs>
          <w:tab w:val="left" w:pos="312"/>
        </w:tabs>
      </w:pPr>
    </w:lvl>
  </w:abstractNum>
  <w:num w:numId="1">
    <w:abstractNumId w:val="2"/>
  </w:num>
  <w:num w:numId="2">
    <w:abstractNumId w:val="7"/>
  </w:num>
  <w:num w:numId="3">
    <w:abstractNumId w:val="5"/>
  </w:num>
  <w:num w:numId="4">
    <w:abstractNumId w:val="6"/>
  </w:num>
  <w:num w:numId="5">
    <w:abstractNumId w:val="8"/>
  </w:num>
  <w:num w:numId="6">
    <w:abstractNumId w:val="1"/>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A0ZTBlOTg5ZTg4ODJjY2YwZjRkOTgxMzQ3NWYzYT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1758F"/>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0005"/>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55E0B"/>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16CBD"/>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66880"/>
    <w:rsid w:val="00B77EA6"/>
    <w:rsid w:val="00B81598"/>
    <w:rsid w:val="00B841F1"/>
    <w:rsid w:val="00B944D6"/>
    <w:rsid w:val="00BB4DF0"/>
    <w:rsid w:val="00BC289F"/>
    <w:rsid w:val="00BC2D50"/>
    <w:rsid w:val="00BC5361"/>
    <w:rsid w:val="00BC5460"/>
    <w:rsid w:val="00BC6B50"/>
    <w:rsid w:val="00BD0E25"/>
    <w:rsid w:val="00BE2D32"/>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6144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34C18"/>
    <w:rsid w:val="00E41F65"/>
    <w:rsid w:val="00E472B1"/>
    <w:rsid w:val="00E50624"/>
    <w:rsid w:val="00E568DF"/>
    <w:rsid w:val="00E62105"/>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623533D"/>
    <w:rsid w:val="063B369B"/>
    <w:rsid w:val="074424F7"/>
    <w:rsid w:val="09E932F4"/>
    <w:rsid w:val="0A2032A3"/>
    <w:rsid w:val="0AC260D6"/>
    <w:rsid w:val="0B464540"/>
    <w:rsid w:val="0B8A37D8"/>
    <w:rsid w:val="0BCB720C"/>
    <w:rsid w:val="0EDE42E0"/>
    <w:rsid w:val="10B837E3"/>
    <w:rsid w:val="10C055FF"/>
    <w:rsid w:val="10FC4108"/>
    <w:rsid w:val="118107EC"/>
    <w:rsid w:val="11DD6519"/>
    <w:rsid w:val="123B77F4"/>
    <w:rsid w:val="12797C36"/>
    <w:rsid w:val="14E37FBE"/>
    <w:rsid w:val="16BB723D"/>
    <w:rsid w:val="178D75B3"/>
    <w:rsid w:val="18015F3F"/>
    <w:rsid w:val="1924441F"/>
    <w:rsid w:val="1BE8440E"/>
    <w:rsid w:val="1C660C01"/>
    <w:rsid w:val="1D155CEE"/>
    <w:rsid w:val="1D792851"/>
    <w:rsid w:val="1E2A7078"/>
    <w:rsid w:val="20304A05"/>
    <w:rsid w:val="20F57F95"/>
    <w:rsid w:val="21BB58B9"/>
    <w:rsid w:val="240371BF"/>
    <w:rsid w:val="253E4703"/>
    <w:rsid w:val="25C741E6"/>
    <w:rsid w:val="27842671"/>
    <w:rsid w:val="27DA4F84"/>
    <w:rsid w:val="27E55E0B"/>
    <w:rsid w:val="292C081B"/>
    <w:rsid w:val="29FD04D3"/>
    <w:rsid w:val="2ABE7A3E"/>
    <w:rsid w:val="2AC468D8"/>
    <w:rsid w:val="2E474078"/>
    <w:rsid w:val="2EFA178C"/>
    <w:rsid w:val="2FF1705D"/>
    <w:rsid w:val="308544F5"/>
    <w:rsid w:val="30B46D73"/>
    <w:rsid w:val="319F7F4E"/>
    <w:rsid w:val="321B0FA2"/>
    <w:rsid w:val="33F30FCE"/>
    <w:rsid w:val="39AE70AB"/>
    <w:rsid w:val="3A7778EB"/>
    <w:rsid w:val="3BE16B74"/>
    <w:rsid w:val="3C0C0783"/>
    <w:rsid w:val="3DA556EE"/>
    <w:rsid w:val="3E085DCF"/>
    <w:rsid w:val="3F9F3A96"/>
    <w:rsid w:val="3FFF0096"/>
    <w:rsid w:val="401865B0"/>
    <w:rsid w:val="410773A0"/>
    <w:rsid w:val="434C6BAA"/>
    <w:rsid w:val="472D5909"/>
    <w:rsid w:val="493C27E9"/>
    <w:rsid w:val="496F39ED"/>
    <w:rsid w:val="49FF2A33"/>
    <w:rsid w:val="49FF41D3"/>
    <w:rsid w:val="4A4F47BD"/>
    <w:rsid w:val="4B054C48"/>
    <w:rsid w:val="4BE068DB"/>
    <w:rsid w:val="4BF6002B"/>
    <w:rsid w:val="4D761698"/>
    <w:rsid w:val="4DA842B5"/>
    <w:rsid w:val="4ECE2238"/>
    <w:rsid w:val="4F7C509C"/>
    <w:rsid w:val="510F2928"/>
    <w:rsid w:val="51DB4B86"/>
    <w:rsid w:val="51E360FA"/>
    <w:rsid w:val="528C002C"/>
    <w:rsid w:val="53BD200A"/>
    <w:rsid w:val="55333C3E"/>
    <w:rsid w:val="561A2EBA"/>
    <w:rsid w:val="563F2854"/>
    <w:rsid w:val="56CA5861"/>
    <w:rsid w:val="580E5A83"/>
    <w:rsid w:val="58C35A76"/>
    <w:rsid w:val="59571AD3"/>
    <w:rsid w:val="5DA614F9"/>
    <w:rsid w:val="5FA20321"/>
    <w:rsid w:val="603E0A66"/>
    <w:rsid w:val="63B9280C"/>
    <w:rsid w:val="64CA39A1"/>
    <w:rsid w:val="65065985"/>
    <w:rsid w:val="66F60CDF"/>
    <w:rsid w:val="68755EAC"/>
    <w:rsid w:val="69CE441C"/>
    <w:rsid w:val="6C2649F7"/>
    <w:rsid w:val="6C4A05C8"/>
    <w:rsid w:val="6D26267B"/>
    <w:rsid w:val="6FCC5EA3"/>
    <w:rsid w:val="6FCE7D11"/>
    <w:rsid w:val="72473AF3"/>
    <w:rsid w:val="72734D90"/>
    <w:rsid w:val="72D60C08"/>
    <w:rsid w:val="757B6DFF"/>
    <w:rsid w:val="75C76E4B"/>
    <w:rsid w:val="76072868"/>
    <w:rsid w:val="769F4EB5"/>
    <w:rsid w:val="79176A2E"/>
    <w:rsid w:val="79E7B28D"/>
    <w:rsid w:val="7A0F0E60"/>
    <w:rsid w:val="7AF16FF7"/>
    <w:rsid w:val="7B4A016A"/>
    <w:rsid w:val="7C4763B6"/>
    <w:rsid w:val="7C632029"/>
    <w:rsid w:val="7D667F1E"/>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3"/>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9"/>
    <w:semiHidden/>
    <w:unhideWhenUsed/>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able of figures"/>
    <w:basedOn w:val="1"/>
    <w:next w:val="1"/>
    <w:qFormat/>
    <w:uiPriority w:val="0"/>
    <w:pPr>
      <w:jc w:val="left"/>
    </w:pPr>
    <w:rPr>
      <w:rFonts w:ascii="Calibri" w:hAnsi="Calibri"/>
      <w:kern w:val="0"/>
      <w:szCs w:val="21"/>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lang w:bidi="bo-CN"/>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9"/>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8"/>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2"/>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3"/>
    <w:qFormat/>
    <w:uiPriority w:val="9"/>
    <w:rPr>
      <w:rFonts w:ascii="Times New Roman" w:hAnsi="Times New Roman"/>
      <w:b/>
      <w:bCs/>
      <w:kern w:val="44"/>
      <w:sz w:val="44"/>
      <w:szCs w:val="44"/>
    </w:rPr>
  </w:style>
  <w:style w:type="character" w:customStyle="1" w:styleId="27">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9">
    <w:name w:val="批注框文本 Char"/>
    <w:basedOn w:val="15"/>
    <w:link w:val="7"/>
    <w:semiHidden/>
    <w:qFormat/>
    <w:uiPriority w:val="99"/>
    <w:rPr>
      <w:rFonts w:ascii="Times New Roman" w:hAnsi="Times New Roman"/>
      <w:kern w:val="2"/>
      <w:sz w:val="18"/>
      <w:szCs w:val="18"/>
    </w:rPr>
  </w:style>
  <w:style w:type="character" w:customStyle="1" w:styleId="30">
    <w:name w:val="标题 3 Char"/>
    <w:basedOn w:val="15"/>
    <w:link w:val="5"/>
    <w:qFormat/>
    <w:uiPriority w:val="9"/>
    <w:rPr>
      <w:rFonts w:ascii="Times New Roman" w:hAnsi="Times New Roman"/>
      <w:b/>
      <w:bCs/>
      <w:kern w:val="2"/>
      <w:sz w:val="32"/>
      <w:szCs w:val="32"/>
    </w:rPr>
  </w:style>
  <w:style w:type="paragraph" w:customStyle="1" w:styleId="31">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1</a:t>
            </a:r>
            <a:r>
              <a:rPr altLang="en-US"/>
              <a:t>：收、支决算总计变动情况图</a:t>
            </a:r>
            <a:endParaRPr altLang="en-US"/>
          </a:p>
        </c:rich>
      </c:tx>
      <c:layout>
        <c:manualLayout>
          <c:xMode val="edge"/>
          <c:yMode val="edge"/>
          <c:x val="0.274125"/>
          <c:y val="0.022"/>
        </c:manualLayout>
      </c:layout>
      <c:overlay val="0"/>
      <c:spPr>
        <a:noFill/>
        <a:ln>
          <a:noFill/>
        </a:ln>
        <a:effectLst/>
      </c:spPr>
    </c:title>
    <c:autoTitleDeleted val="0"/>
    <c:plotArea>
      <c:layout>
        <c:manualLayout>
          <c:layoutTarget val="inner"/>
          <c:xMode val="edge"/>
          <c:yMode val="edge"/>
          <c:x val="0.0832"/>
          <c:y val="0.1295"/>
          <c:w val="0.8938"/>
          <c:h val="0.7164"/>
        </c:manualLayout>
      </c:layout>
      <c:barChart>
        <c:barDir val="col"/>
        <c:grouping val="clustered"/>
        <c:varyColors val="0"/>
        <c:ser>
          <c:idx val="0"/>
          <c:order val="0"/>
          <c:tx>
            <c:strRef>
              <c:f>Sheet1!$B$1</c:f>
              <c:strCache>
                <c:ptCount val="1"/>
                <c:pt idx="0">
                  <c:v>2020年度</c:v>
                </c:pt>
              </c:strCache>
            </c:strRef>
          </c:tx>
          <c:spPr>
            <a:solidFill>
              <a:schemeClr val="accent1"/>
            </a:solidFill>
            <a:ln>
              <a:noFill/>
            </a:ln>
            <a:effectLst/>
          </c:spPr>
          <c:invertIfNegative val="0"/>
          <c:dLbls>
            <c:dLbl>
              <c:idx val="0"/>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收支总计</c:v>
                </c:pt>
              </c:strCache>
            </c:strRef>
          </c:cat>
          <c:val>
            <c:numRef>
              <c:f>Sheet1!$B$2</c:f>
              <c:numCache>
                <c:formatCode>General</c:formatCode>
                <c:ptCount val="1"/>
                <c:pt idx="0">
                  <c:v>1827.44</c:v>
                </c:pt>
              </c:numCache>
            </c:numRef>
          </c:val>
        </c:ser>
        <c:ser>
          <c:idx val="1"/>
          <c:order val="1"/>
          <c:tx>
            <c:strRef>
              <c:f>Sheet1!$C$1</c:f>
              <c:strCache>
                <c:ptCount val="1"/>
                <c:pt idx="0">
                  <c:v>2021年度</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收支总计</c:v>
                </c:pt>
              </c:strCache>
            </c:strRef>
          </c:cat>
          <c:val>
            <c:numRef>
              <c:f>Sheet1!$C$2</c:f>
              <c:numCache>
                <c:formatCode>General</c:formatCode>
                <c:ptCount val="1"/>
                <c:pt idx="0">
                  <c:v>2125.51</c:v>
                </c:pt>
              </c:numCache>
            </c:numRef>
          </c:val>
        </c:ser>
        <c:dLbls>
          <c:showLegendKey val="0"/>
          <c:showVal val="0"/>
          <c:showCatName val="0"/>
          <c:showSerName val="0"/>
          <c:showPercent val="0"/>
          <c:showBubbleSize val="0"/>
        </c:dLbls>
        <c:gapWidth val="219"/>
        <c:overlap val="-27"/>
        <c:axId val="114560384"/>
        <c:axId val="114594944"/>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cat>
                  <c:strRef>
                    <c:extLst>
                      <c:ext uri="{02D57815-91ED-43cb-92C2-25804820EDAC}">
                        <c15:fullRef>
                          <c15:sqref/>
                        </c15:fullRef>
                        <c15:formulaRef>
                          <c15:sqref>Sheet1!$A$2</c15:sqref>
                        </c15:formulaRef>
                      </c:ext>
                    </c:extLst>
                    <c:strCache>
                      <c:ptCount val="1"/>
                      <c:pt idx="0">
                        <c:v>收支总计</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11456038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4594944"/>
        <c:crosses val="autoZero"/>
        <c:auto val="1"/>
        <c:lblAlgn val="ctr"/>
        <c:lblOffset val="100"/>
        <c:noMultiLvlLbl val="0"/>
      </c:catAx>
      <c:valAx>
        <c:axId val="11459494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4560384"/>
        <c:crosses val="autoZero"/>
        <c:crossBetween val="between"/>
      </c:valAx>
      <c:spPr>
        <a:noFill/>
        <a:ln>
          <a:noFill/>
        </a:ln>
        <a:effectLst/>
      </c:spPr>
    </c:plotArea>
    <c:legend>
      <c:legendPos val="b"/>
      <c:layout>
        <c:manualLayout>
          <c:xMode val="edge"/>
          <c:yMode val="edge"/>
          <c:x val="0.828875000000001"/>
          <c:y val="0.408833333333333"/>
          <c:w val="0.167375"/>
          <c:h val="0.17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：收入决算结构图</a:t>
            </a:r>
            <a:endParaRPr altLang="en-US"/>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3"/>
              <c:layout>
                <c:manualLayout>
                  <c:x val="0.00677572401863227"/>
                  <c:y val="0.01734036778171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一般公共预算财政拨款</c:v>
                </c:pt>
                <c:pt idx="1">
                  <c:v>事业收入</c:v>
                </c:pt>
                <c:pt idx="2">
                  <c:v>其他收入</c:v>
                </c:pt>
                <c:pt idx="3">
                  <c:v>年初结转和结余</c:v>
                </c:pt>
              </c:strCache>
            </c:strRef>
          </c:cat>
          <c:val>
            <c:numRef>
              <c:f>Sheet1!$B$2:$B$5</c:f>
              <c:numCache>
                <c:formatCode>0.00%</c:formatCode>
                <c:ptCount val="4"/>
                <c:pt idx="0">
                  <c:v>0.801</c:v>
                </c:pt>
                <c:pt idx="1">
                  <c:v>0.0504</c:v>
                </c:pt>
                <c:pt idx="2">
                  <c:v>0.0555</c:v>
                </c:pt>
                <c:pt idx="3">
                  <c:v>0.0931000000000001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690875"/>
          <c:y val="0.697833333333333"/>
          <c:w val="0.305375"/>
          <c:h val="0.2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图</a:t>
            </a:r>
            <a:r>
              <a:rPr lang="en-US" altLang="zh-CN"/>
              <a:t>3 </a:t>
            </a:r>
            <a:r>
              <a:rPr altLang="en-US"/>
              <a:t>：支出决算结构图</a:t>
            </a:r>
            <a:endParaRPr altLang="en-US"/>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基本支出</c:v>
                </c:pt>
                <c:pt idx="1">
                  <c:v>项目支出</c:v>
                </c:pt>
              </c:strCache>
            </c:strRef>
          </c:cat>
          <c:val>
            <c:numRef>
              <c:f>Sheet1!$B$2:$B$5</c:f>
              <c:numCache>
                <c:formatCode>0.00%</c:formatCode>
                <c:ptCount val="4"/>
                <c:pt idx="0">
                  <c:v>0.5199</c:v>
                </c:pt>
                <c:pt idx="1">
                  <c:v>0.4801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ayout>
        <c:manualLayout>
          <c:xMode val="edge"/>
          <c:yMode val="edge"/>
          <c:x val="0.750125000000001"/>
          <c:y val="0.610333333333333"/>
          <c:w val="0.17325"/>
          <c:h val="0.31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图4：财政拨款收、支决算总计变动情况</a:t>
            </a:r>
          </a:p>
        </c:rich>
      </c:tx>
      <c:layout>
        <c:manualLayout>
          <c:xMode val="edge"/>
          <c:yMode val="edge"/>
          <c:x val="0.174625"/>
          <c:y val="0.051386886047649"/>
        </c:manualLayout>
      </c:layout>
      <c:overlay val="0"/>
      <c:spPr>
        <a:noFill/>
        <a:ln>
          <a:noFill/>
        </a:ln>
        <a:effectLst/>
      </c:spPr>
    </c:title>
    <c:autoTitleDeleted val="0"/>
    <c:plotArea>
      <c:layout>
        <c:manualLayout>
          <c:layoutTarget val="inner"/>
          <c:xMode val="edge"/>
          <c:yMode val="edge"/>
          <c:x val="0.06995"/>
          <c:y val="0.216306853909034"/>
          <c:w val="0.910925"/>
          <c:h val="0.735485223223643"/>
        </c:manualLayout>
      </c:layout>
      <c:barChart>
        <c:barDir val="col"/>
        <c:grouping val="clustered"/>
        <c:varyColors val="0"/>
        <c:ser>
          <c:idx val="0"/>
          <c:order val="0"/>
          <c:tx>
            <c:strRef>
              <c:f>Sheet1!$B$1</c:f>
              <c:strCache>
                <c:ptCount val="1"/>
                <c:pt idx="0">
                  <c:v>2020年度</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xmlns:c15="http://schemas.microsoft.com/office/drawing/2012/chart" uri="{02D57815-91ED-43cb-92C2-25804820EDAC}">
                  <c15:fullRef>
                    <c15:sqref>Sheet1!$A$2:$A$5</c15:sqref>
                  </c15:fullRef>
                </c:ext>
              </c:extLst>
              <c:f>Sheet1!$A$2</c:f>
              <c:strCache>
                <c:ptCount val="1"/>
                <c:pt idx="0">
                  <c:v>类别 1</c:v>
                </c:pt>
              </c:strCache>
            </c:strRef>
          </c:cat>
          <c:val>
            <c:numRef>
              <c:extLst>
                <c:ext xmlns:c15="http://schemas.microsoft.com/office/drawing/2012/chart" uri="{02D57815-91ED-43cb-92C2-25804820EDAC}">
                  <c15:fullRef>
                    <c15:sqref>Sheet1!$B$2:$B$5</c15:sqref>
                  </c15:fullRef>
                </c:ext>
              </c:extLst>
              <c:f>Sheet1!$B$2</c:f>
              <c:numCache>
                <c:formatCode>General</c:formatCode>
                <c:ptCount val="1"/>
                <c:pt idx="0">
                  <c:v>1505.54</c:v>
                </c:pt>
              </c:numCache>
            </c:numRef>
          </c:val>
        </c:ser>
        <c:ser>
          <c:idx val="1"/>
          <c:order val="1"/>
          <c:tx>
            <c:strRef>
              <c:f>Sheet1!$C$1</c:f>
              <c:strCache>
                <c:ptCount val="1"/>
                <c:pt idx="0">
                  <c:v>2021年度</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xmlns:c15="http://schemas.microsoft.com/office/drawing/2012/chart" uri="{02D57815-91ED-43cb-92C2-25804820EDAC}">
                  <c15:fullRef>
                    <c15:sqref>Sheet1!$A$2:$A$5</c15:sqref>
                  </c15:fullRef>
                </c:ext>
              </c:extLst>
              <c:f>Sheet1!$A$2</c:f>
              <c:strCache>
                <c:ptCount val="1"/>
                <c:pt idx="0">
                  <c:v>类别 1</c:v>
                </c:pt>
              </c:strCache>
            </c:strRef>
          </c:cat>
          <c:val>
            <c:numRef>
              <c:extLst>
                <c:ext xmlns:c15="http://schemas.microsoft.com/office/drawing/2012/chart" uri="{02D57815-91ED-43cb-92C2-25804820EDAC}">
                  <c15:fullRef>
                    <c15:sqref>Sheet1!$C$2:$C$5</c15:sqref>
                  </c15:fullRef>
                </c:ext>
              </c:extLst>
              <c:f>Sheet1!$C$2</c:f>
              <c:numCache>
                <c:formatCode>General</c:formatCode>
                <c:ptCount val="1"/>
                <c:pt idx="0">
                  <c:v>1702.45</c:v>
                </c:pt>
              </c:numCache>
            </c:numRef>
          </c:val>
        </c:ser>
        <c:dLbls>
          <c:showLegendKey val="0"/>
          <c:showVal val="1"/>
          <c:showCatName val="0"/>
          <c:showSerName val="0"/>
          <c:showPercent val="0"/>
          <c:showBubbleSize val="0"/>
        </c:dLbls>
        <c:gapWidth val="219"/>
        <c:overlap val="-27"/>
        <c:axId val="138130176"/>
        <c:axId val="138131712"/>
      </c:barChart>
      <c:catAx>
        <c:axId val="138130176"/>
        <c:scaling>
          <c:orientation val="minMax"/>
        </c:scaling>
        <c:delete val="1"/>
        <c:axPos val="b"/>
        <c:majorTickMark val="none"/>
        <c:minorTickMark val="none"/>
        <c:tickLblPos val="none"/>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8131712"/>
        <c:crosses val="autoZero"/>
        <c:auto val="1"/>
        <c:lblAlgn val="ctr"/>
        <c:lblOffset val="100"/>
        <c:noMultiLvlLbl val="0"/>
      </c:catAx>
      <c:valAx>
        <c:axId val="1381317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8130176"/>
        <c:crosses val="autoZero"/>
        <c:crossBetween val="between"/>
      </c:valAx>
      <c:spPr>
        <a:noFill/>
        <a:ln>
          <a:noFill/>
        </a:ln>
        <a:effectLst/>
      </c:spPr>
    </c:plotArea>
    <c:legend>
      <c:legendPos val="b"/>
      <c:layout>
        <c:manualLayout>
          <c:xMode val="edge"/>
          <c:yMode val="edge"/>
          <c:x val="0.84625"/>
          <c:y val="0.560111835973905"/>
          <c:w val="0.15"/>
          <c:h val="0.20177073625349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5</a:t>
            </a:r>
            <a:r>
              <a:rPr altLang="en-US"/>
              <a:t>：一般公共预算财政拨款支出决算变动情况</a:t>
            </a:r>
            <a:endParaRPr altLang="en-US"/>
          </a:p>
        </c:rich>
      </c:tx>
      <c:layout>
        <c:manualLayout>
          <c:xMode val="edge"/>
          <c:yMode val="edge"/>
          <c:x val="0.139375"/>
          <c:y val="0.0848082662075488"/>
        </c:manualLayout>
      </c:layout>
      <c:overlay val="0"/>
      <c:spPr>
        <a:noFill/>
        <a:ln>
          <a:noFill/>
        </a:ln>
        <a:effectLst/>
      </c:spPr>
    </c:title>
    <c:autoTitleDeleted val="0"/>
    <c:plotArea>
      <c:layout>
        <c:manualLayout>
          <c:layoutTarget val="inner"/>
          <c:xMode val="edge"/>
          <c:yMode val="edge"/>
          <c:x val="0.0800750000000001"/>
          <c:y val="0.20043145714846"/>
          <c:w val="0.858175"/>
          <c:h val="0.74394979407727"/>
        </c:manualLayout>
      </c:layout>
      <c:barChart>
        <c:barDir val="col"/>
        <c:grouping val="clustered"/>
        <c:varyColors val="0"/>
        <c:ser>
          <c:idx val="0"/>
          <c:order val="0"/>
          <c:tx>
            <c:strRef>
              <c:f>Sheet1!$B$1</c:f>
              <c:strCache>
                <c:ptCount val="1"/>
                <c:pt idx="0">
                  <c:v>2020年度</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extLst>
                <c:ext xmlns:c15="http://schemas.microsoft.com/office/drawing/2012/chart" uri="{02D57815-91ED-43cb-92C2-25804820EDAC}">
                  <c15:fullRef>
                    <c15:sqref>Sheet1!$A$2:$A$5</c15:sqref>
                  </c15:fullRef>
                </c:ext>
              </c:extLst>
              <c:f>Sheet1!$A$2</c:f>
              <c:numCache>
                <c:formatCode>General</c:formatCode>
                <c:ptCount val="1"/>
              </c:numCache>
            </c:numRef>
          </c:cat>
          <c:val>
            <c:numRef>
              <c:extLst>
                <c:ext xmlns:c15="http://schemas.microsoft.com/office/drawing/2012/chart" uri="{02D57815-91ED-43cb-92C2-25804820EDAC}">
                  <c15:fullRef>
                    <c15:sqref>Sheet1!$B$2:$B$5</c15:sqref>
                  </c15:fullRef>
                </c:ext>
              </c:extLst>
              <c:f>Sheet1!$B$2</c:f>
              <c:numCache>
                <c:formatCode>General</c:formatCode>
                <c:ptCount val="1"/>
                <c:pt idx="0">
                  <c:v>1505.54</c:v>
                </c:pt>
              </c:numCache>
            </c:numRef>
          </c:val>
        </c:ser>
        <c:ser>
          <c:idx val="1"/>
          <c:order val="1"/>
          <c:tx>
            <c:strRef>
              <c:f>Sheet1!$C$1</c:f>
              <c:strCache>
                <c:ptCount val="1"/>
                <c:pt idx="0">
                  <c:v>2021年度</c:v>
                </c:pt>
              </c:strCache>
            </c:strRef>
          </c:tx>
          <c:spPr>
            <a:solidFill>
              <a:schemeClr val="accent2"/>
            </a:solidFill>
            <a:ln>
              <a:noFill/>
            </a:ln>
            <a:effectLst/>
          </c:spPr>
          <c:invertIfNegative val="0"/>
          <c:dLbls>
            <c:dLbl>
              <c:idx val="0"/>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extLst>
                <c:ext xmlns:c15="http://schemas.microsoft.com/office/drawing/2012/chart" uri="{02D57815-91ED-43cb-92C2-25804820EDAC}">
                  <c15:fullRef>
                    <c15:sqref>Sheet1!$A$2:$A$5</c15:sqref>
                  </c15:fullRef>
                </c:ext>
              </c:extLst>
              <c:f>Sheet1!$A$2</c:f>
              <c:numCache>
                <c:formatCode>General</c:formatCode>
                <c:ptCount val="1"/>
              </c:numCache>
            </c:numRef>
          </c:cat>
          <c:val>
            <c:numRef>
              <c:extLst>
                <c:ext xmlns:c15="http://schemas.microsoft.com/office/drawing/2012/chart" uri="{02D57815-91ED-43cb-92C2-25804820EDAC}">
                  <c15:fullRef>
                    <c15:sqref>Sheet1!$C$2:$C$5</c15:sqref>
                  </c15:fullRef>
                </c:ext>
              </c:extLst>
              <c:f>Sheet1!$C$2</c:f>
              <c:numCache>
                <c:formatCode>General</c:formatCode>
                <c:ptCount val="1"/>
                <c:pt idx="0">
                  <c:v>1702.45</c:v>
                </c:pt>
              </c:numCache>
            </c:numRef>
          </c:val>
        </c:ser>
        <c:dLbls>
          <c:showLegendKey val="0"/>
          <c:showVal val="0"/>
          <c:showCatName val="0"/>
          <c:showSerName val="0"/>
          <c:showPercent val="0"/>
          <c:showBubbleSize val="0"/>
        </c:dLbls>
        <c:gapWidth val="219"/>
        <c:overlap val="-27"/>
        <c:axId val="138015872"/>
        <c:axId val="138017408"/>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
                      </c:pt>
                    </c:strCache>
                  </c:strRef>
                </c:tx>
                <c:spPr>
                  <a:solidFill>
                    <a:schemeClr val="accent3"/>
                  </a:solidFill>
                  <a:ln>
                    <a:noFill/>
                  </a:ln>
                  <a:effectLst/>
                </c:spPr>
                <c:invertIfNegative val="0"/>
                <c:dLbls>
                  <c:delete val="1"/>
                </c:dLbls>
                <c:cat>
                  <c:numRef>
                    <c:extLst>
                      <c:ext uri="{02D57815-91ED-43cb-92C2-25804820EDAC}">
                        <c15:fullRef>
                          <c15:sqref>Sheet1!$A$2:$A$5</c15:sqref>
                        </c15:fullRef>
                        <c15:formulaRef>
                          <c15:sqref>Sheet1!$A$2</c15:sqref>
                        </c15:formulaRef>
                      </c:ext>
                    </c:extLst>
                    <c:numCache>
                      <c:formatCode>General</c:formatCode>
                      <c:ptCount val="1"/>
                    </c:numCache>
                  </c:numRef>
                </c:cat>
                <c:val>
                  <c:numRef>
                    <c:extLst>
                      <c:ext uri="{02D57815-91ED-43cb-92C2-25804820EDAC}">
                        <c15:fullRef>
                          <c15:sqref>Sheet1!$D$2:$D$5</c15:sqref>
                        </c15:fullRef>
                        <c15:formulaRef>
                          <c15:sqref>Sheet1!$D$2</c15:sqref>
                        </c15:formulaRef>
                      </c:ext>
                    </c:extLst>
                    <c:numCache>
                      <c:formatCode>General</c:formatCode>
                      <c:ptCount val="1"/>
                    </c:numCache>
                  </c:numRef>
                </c:val>
              </c15:ser>
            </c15:filteredBarSeries>
            <c15:filteredBarSeries>
              <c15:ser>
                <c:idx val="3"/>
                <c:order val="3"/>
                <c:tx>
                  <c:strRef>
                    <c:extLst>
                      <c:ext uri="{02D57815-91ED-43cb-92C2-25804820EDAC}">
                        <c15:formulaRef>
                          <c15:sqref>Sheet1!$E$1</c15:sqref>
                        </c15:formulaRef>
                      </c:ext>
                    </c:extLst>
                    <c:strCache>
                      <c:ptCount val="1"/>
                      <c:pt idx="0">
                        <c:v/>
                      </c:pt>
                    </c:strCache>
                  </c:strRef>
                </c:tx>
                <c:spPr>
                  <a:solidFill>
                    <a:schemeClr val="accent4"/>
                  </a:solidFill>
                  <a:ln>
                    <a:noFill/>
                  </a:ln>
                  <a:effectLst/>
                </c:spPr>
                <c:invertIfNegative val="0"/>
                <c:dLbls>
                  <c:delete val="1"/>
                </c:dLbls>
                <c:cat>
                  <c:numRef>
                    <c:extLst>
                      <c:ext uri="{02D57815-91ED-43cb-92C2-25804820EDAC}">
                        <c15:fullRef>
                          <c15:sqref>Sheet1!$A$2:$A$5</c15:sqref>
                        </c15:fullRef>
                        <c15:formulaRef>
                          <c15:sqref>Sheet1!$A$2</c15:sqref>
                        </c15:formulaRef>
                      </c:ext>
                    </c:extLst>
                    <c:numCache>
                      <c:formatCode>General</c:formatCode>
                      <c:ptCount val="1"/>
                    </c:numCache>
                  </c:numRef>
                </c:cat>
                <c:val>
                  <c:numRef>
                    <c:extLst>
                      <c:ext uri="{02D57815-91ED-43cb-92C2-25804820EDAC}">
                        <c15:fullRef>
                          <c15:sqref>Sheet1!$E$2:$E$5</c15:sqref>
                        </c15:fullRef>
                        <c15:formulaRef>
                          <c15:sqref>Sheet1!$E$2</c15:sqref>
                        </c15:formulaRef>
                      </c:ext>
                    </c:extLst>
                    <c:numCache>
                      <c:formatCode>General</c:formatCode>
                      <c:ptCount val="1"/>
                    </c:numCache>
                  </c:numRef>
                </c:val>
              </c15:ser>
            </c15:filteredBarSeries>
          </c:ext>
        </c:extLst>
      </c:barChart>
      <c:catAx>
        <c:axId val="138015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8017408"/>
        <c:crosses val="autoZero"/>
        <c:auto val="1"/>
        <c:lblAlgn val="ctr"/>
        <c:lblOffset val="100"/>
        <c:noMultiLvlLbl val="0"/>
      </c:catAx>
      <c:valAx>
        <c:axId val="13801740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8015872"/>
        <c:crosses val="autoZero"/>
        <c:crossBetween val="between"/>
      </c:valAx>
      <c:spPr>
        <a:noFill/>
        <a:ln>
          <a:noFill/>
        </a:ln>
        <a:effectLst/>
      </c:spPr>
    </c:plotArea>
    <c:legend>
      <c:legendPos val="b"/>
      <c:layout>
        <c:manualLayout>
          <c:xMode val="edge"/>
          <c:yMode val="edge"/>
          <c:x val="0.82425"/>
          <c:y val="0.425"/>
          <c:w val="0.15"/>
          <c:h val="0.2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6</a:t>
            </a:r>
            <a:r>
              <a:rPr altLang="en-US"/>
              <a:t>：一般公共预算财政拨款支出决算结构</a:t>
            </a:r>
            <a:endParaRPr altLang="en-US"/>
          </a:p>
        </c:rich>
      </c:tx>
      <c:layout/>
      <c:overlay val="0"/>
      <c:spPr>
        <a:noFill/>
        <a:ln>
          <a:noFill/>
        </a:ln>
        <a:effectLst/>
      </c:spPr>
    </c:title>
    <c:autoTitleDeleted val="0"/>
    <c:plotArea>
      <c:layout>
        <c:manualLayout>
          <c:layoutTarget val="inner"/>
          <c:xMode val="edge"/>
          <c:yMode val="edge"/>
          <c:x val="0.23329"/>
          <c:y val="0.197967479674797"/>
          <c:w val="0.45825"/>
          <c:h val="0.745121951219513"/>
        </c:manualLayout>
      </c:layout>
      <c:pieChart>
        <c:varyColors val="1"/>
        <c:ser>
          <c:idx val="0"/>
          <c:order val="0"/>
          <c:tx>
            <c:strRef>
              <c:f>Sheet1!$B$1</c:f>
              <c:strCache>
                <c:ptCount val="1"/>
                <c:pt idx="0">
                  <c:v>列1</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教育支出</c:v>
                </c:pt>
                <c:pt idx="1">
                  <c:v>一般公共服务</c:v>
                </c:pt>
              </c:strCache>
            </c:strRef>
          </c:cat>
          <c:val>
            <c:numRef>
              <c:extLst>
                <c:ext xmlns:c15="http://schemas.microsoft.com/office/drawing/2012/chart" uri="{02D57815-91ED-43cb-92C2-25804820EDAC}">
                  <c15:fullRef>
                    <c15:sqref>Sheet1!$B$2:$B$5</c15:sqref>
                  </c15:fullRef>
                </c:ext>
              </c:extLst>
              <c:f>Sheet1!$B$2:$B$3</c:f>
              <c:numCache>
                <c:formatCode>0.00%</c:formatCode>
                <c:ptCount val="2"/>
                <c:pt idx="0">
                  <c:v>0.9551</c:v>
                </c:pt>
                <c:pt idx="1">
                  <c:v>0.00490000000000001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747375"/>
          <c:y val="0.5345"/>
          <c:w val="0.231875"/>
          <c:h val="0.30183333333333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0">
                <a:latin typeface="宋体" panose="02010600030101010101" charset="-122"/>
                <a:ea typeface="宋体" panose="02010600030101010101" charset="-122"/>
                <a:cs typeface="宋体" panose="02010600030101010101" charset="-122"/>
              </a:rPr>
              <a:t>图</a:t>
            </a:r>
            <a:r>
              <a:rPr lang="en-US" altLang="zh-CN" b="0">
                <a:latin typeface="宋体" panose="02010600030101010101" charset="-122"/>
                <a:ea typeface="宋体" panose="02010600030101010101" charset="-122"/>
                <a:cs typeface="宋体" panose="02010600030101010101" charset="-122"/>
              </a:rPr>
              <a:t>7</a:t>
            </a:r>
            <a:r>
              <a:rPr altLang="en-US" b="0">
                <a:latin typeface="宋体" panose="02010600030101010101" charset="-122"/>
                <a:ea typeface="宋体" panose="02010600030101010101" charset="-122"/>
                <a:cs typeface="宋体" panose="02010600030101010101" charset="-122"/>
              </a:rPr>
              <a:t>：</a:t>
            </a:r>
            <a:r>
              <a:rPr lang="en-US" altLang="zh-CN" b="0">
                <a:latin typeface="宋体" panose="02010600030101010101" charset="-122"/>
                <a:ea typeface="宋体" panose="02010600030101010101" charset="-122"/>
                <a:cs typeface="宋体" panose="02010600030101010101" charset="-122"/>
              </a:rPr>
              <a:t>“</a:t>
            </a:r>
            <a:r>
              <a:rPr altLang="en-US" b="0">
                <a:latin typeface="宋体" panose="02010600030101010101" charset="-122"/>
                <a:ea typeface="宋体" panose="02010600030101010101" charset="-122"/>
                <a:cs typeface="宋体" panose="02010600030101010101" charset="-122"/>
              </a:rPr>
              <a:t>三公</a:t>
            </a:r>
            <a:r>
              <a:rPr lang="en-US" altLang="zh-CN" b="0">
                <a:latin typeface="宋体" panose="02010600030101010101" charset="-122"/>
                <a:ea typeface="宋体" panose="02010600030101010101" charset="-122"/>
                <a:cs typeface="宋体" panose="02010600030101010101" charset="-122"/>
              </a:rPr>
              <a:t>”</a:t>
            </a:r>
            <a:r>
              <a:rPr altLang="en-US" b="0">
                <a:latin typeface="宋体" panose="02010600030101010101" charset="-122"/>
                <a:ea typeface="宋体" panose="02010600030101010101" charset="-122"/>
                <a:cs typeface="宋体" panose="02010600030101010101" charset="-122"/>
              </a:rPr>
              <a:t>经费财政拨款支出结构</a:t>
            </a:r>
            <a:endParaRPr lang="en-US" altLang="zh-CN" b="0">
              <a:latin typeface="宋体" panose="02010600030101010101" charset="-122"/>
              <a:ea typeface="宋体" panose="02010600030101010101" charset="-122"/>
              <a:cs typeface="宋体" panose="02010600030101010101" charset="-122"/>
            </a:endParaRPr>
          </a:p>
        </c:rich>
      </c:tx>
      <c:layout>
        <c:manualLayout>
          <c:xMode val="edge"/>
          <c:yMode val="edge"/>
          <c:x val="0.21725"/>
          <c:y val="0.091"/>
        </c:manualLayout>
      </c:layout>
      <c:overlay val="0"/>
      <c:spPr>
        <a:noFill/>
        <a:ln>
          <a:noFill/>
        </a:ln>
        <a:effectLst/>
      </c:spPr>
    </c:title>
    <c:autoTitleDeleted val="0"/>
    <c:plotArea>
      <c:layout>
        <c:manualLayout>
          <c:layoutTarget val="inner"/>
          <c:xMode val="edge"/>
          <c:yMode val="edge"/>
          <c:x val="0.0881250000000001"/>
          <c:y val="0.2675"/>
          <c:w val="0.43425"/>
          <c:h val="0.579"/>
        </c:manualLayout>
      </c:layout>
      <c:pieChart>
        <c:varyColors val="1"/>
        <c:ser>
          <c:idx val="0"/>
          <c:order val="0"/>
          <c:tx>
            <c:strRef>
              <c:f>Sheet1!$B$1</c:f>
              <c:strCache>
                <c:ptCount val="1"/>
                <c:pt idx="0">
                  <c:v>列1</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xmlns:c15="http://schemas.microsoft.com/office/drawing/2012/chart" uri="{02D57815-91ED-43cb-92C2-25804820EDAC}">
                  <c15:fullRef>
                    <c15:sqref>Sheet1!$A$2:$A$5</c15:sqref>
                  </c15:fullRef>
                </c:ext>
              </c:extLst>
              <c:f>Sheet1!$A$2:$A$4</c:f>
              <c:strCache>
                <c:ptCount val="3"/>
                <c:pt idx="0">
                  <c:v>因公出国（境）费</c:v>
                </c:pt>
                <c:pt idx="1">
                  <c:v>公务用车购置及运行维护费</c:v>
                </c:pt>
                <c:pt idx="2">
                  <c:v>公务接待费</c:v>
                </c:pt>
              </c:strCache>
            </c:strRef>
          </c:cat>
          <c:val>
            <c:numRef>
              <c:extLst>
                <c:ext xmlns:c15="http://schemas.microsoft.com/office/drawing/2012/chart" uri="{02D57815-91ED-43cb-92C2-25804820EDAC}">
                  <c15:fullRef>
                    <c15:sqref>Sheet1!$B$2:$B$5</c15:sqref>
                  </c15:fullRef>
                </c:ext>
              </c:extLst>
              <c:f>Sheet1!$B$2:$B$4</c:f>
              <c:numCache>
                <c:formatCode>General</c:formatCode>
                <c:ptCount val="3"/>
                <c:pt idx="0">
                  <c:v>0</c:v>
                </c:pt>
                <c:pt idx="1" c:formatCode="0%">
                  <c:v>0.77</c:v>
                </c:pt>
                <c:pt idx="2" c:formatCode="0%">
                  <c:v>0.23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ayout>
        <c:manualLayout>
          <c:xMode val="edge"/>
          <c:yMode val="edge"/>
          <c:x val="0.62325"/>
          <c:y val="0.582833333333333"/>
          <c:w val="0.306875"/>
          <c:h val="0.3145"/>
        </c:manualLayout>
      </c:layout>
      <c:overlay val="0"/>
      <c:spPr>
        <a:noFill/>
        <a:ln>
          <a:noFill/>
        </a:ln>
        <a:effectLst/>
      </c:spPr>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b="1"/>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27</Pages>
  <Words>8500</Words>
  <Characters>11212</Characters>
  <Lines>82</Lines>
  <Paragraphs>23</Paragraphs>
  <TotalTime>4</TotalTime>
  <ScaleCrop>false</ScaleCrop>
  <LinksUpToDate>false</LinksUpToDate>
  <CharactersWithSpaces>11271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蓝色天际</cp:lastModifiedBy>
  <cp:lastPrinted>2022-08-06T02:23:00Z</cp:lastPrinted>
  <dcterms:modified xsi:type="dcterms:W3CDTF">2022-11-14T08:10:45Z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1E47A88BEAD04C139ED203CDE0F987F8</vt:lpwstr>
  </property>
</Properties>
</file>