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000000"/>
          <w:sz w:val="30"/>
          <w:szCs w:val="30"/>
          <w:lang w:val="en-US" w:eastAsia="zh-CN"/>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9"/>
        <w:rPr>
          <w:rFonts w:ascii="方正小标宋简体" w:hAnsi="宋体" w:eastAsia="方正小标宋简体"/>
          <w:color w:val="000000"/>
          <w:sz w:val="72"/>
          <w:szCs w:val="72"/>
        </w:rPr>
      </w:pPr>
      <w:bookmarkStart w:id="1" w:name="_Toc21965"/>
      <w:bookmarkStart w:id="2" w:name="_Toc15396475"/>
      <w:bookmarkStart w:id="3" w:name="_Toc15377425"/>
      <w:bookmarkStart w:id="4" w:name="_Toc15378441"/>
      <w:bookmarkStart w:id="5" w:name="_Toc4662"/>
      <w:bookmarkStart w:id="6" w:name="_Toc15377193"/>
      <w:bookmarkStart w:id="7" w:name="_Toc15396597"/>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9"/>
        <w:rPr>
          <w:rFonts w:hint="eastAsia" w:ascii="方正小标宋简体" w:hAnsi="宋体" w:eastAsia="方正小标宋简体"/>
          <w:color w:val="000000"/>
          <w:sz w:val="72"/>
          <w:szCs w:val="72"/>
          <w:lang w:eastAsia="zh-CN"/>
        </w:rPr>
      </w:pPr>
      <w:bookmarkStart w:id="8" w:name="_Toc27147"/>
      <w:bookmarkStart w:id="9" w:name="_Toc23698"/>
      <w:bookmarkStart w:id="10" w:name="_Toc15377194"/>
      <w:bookmarkStart w:id="11" w:name="_Toc15378442"/>
      <w:bookmarkStart w:id="12" w:name="_Toc15396476"/>
      <w:bookmarkStart w:id="13" w:name="_Toc15396598"/>
      <w:bookmarkStart w:id="14" w:name="_Toc15377426"/>
      <w:r>
        <w:rPr>
          <w:rFonts w:hint="eastAsia" w:ascii="方正小标宋简体" w:hAnsi="宋体" w:eastAsia="方正小标宋简体"/>
          <w:color w:val="000000"/>
          <w:sz w:val="72"/>
          <w:szCs w:val="72"/>
        </w:rPr>
        <w:t>四川</w:t>
      </w:r>
      <w:bookmarkEnd w:id="0"/>
      <w:bookmarkStart w:id="15" w:name="_Toc15306268"/>
      <w:r>
        <w:rPr>
          <w:rFonts w:hint="eastAsia" w:ascii="方正小标宋简体" w:hAnsi="宋体" w:eastAsia="方正小标宋简体"/>
          <w:color w:val="000000"/>
          <w:sz w:val="72"/>
          <w:szCs w:val="72"/>
          <w:lang w:eastAsia="zh-CN"/>
        </w:rPr>
        <w:t>尼众佛学院</w:t>
      </w:r>
      <w:bookmarkEnd w:id="8"/>
      <w:bookmarkEnd w:id="9"/>
    </w:p>
    <w:p>
      <w:pPr>
        <w:adjustRightInd w:val="0"/>
        <w:snapToGrid w:val="0"/>
        <w:spacing w:line="360" w:lineRule="auto"/>
        <w:jc w:val="center"/>
        <w:outlineLvl w:val="9"/>
        <w:rPr>
          <w:rFonts w:ascii="方正小标宋简体" w:hAnsi="宋体" w:eastAsia="方正小标宋简体"/>
          <w:color w:val="000000"/>
          <w:sz w:val="72"/>
          <w:szCs w:val="72"/>
        </w:rPr>
      </w:pPr>
      <w:bookmarkStart w:id="16" w:name="_Toc21410"/>
      <w:bookmarkStart w:id="17" w:name="_Toc20170"/>
      <w:r>
        <w:rPr>
          <w:rFonts w:hint="eastAsia" w:ascii="方正小标宋简体" w:hAnsi="宋体" w:eastAsia="方正小标宋简体"/>
          <w:color w:val="000000"/>
          <w:sz w:val="72"/>
          <w:szCs w:val="72"/>
          <w:lang w:eastAsia="zh-CN"/>
        </w:rPr>
        <w:t>部门</w:t>
      </w:r>
      <w:r>
        <w:rPr>
          <w:rFonts w:hint="eastAsia" w:ascii="方正小标宋简体" w:hAnsi="宋体" w:eastAsia="方正小标宋简体"/>
          <w:color w:val="000000"/>
          <w:sz w:val="72"/>
          <w:szCs w:val="72"/>
        </w:rPr>
        <w:t>决算</w:t>
      </w:r>
      <w:bookmarkEnd w:id="10"/>
      <w:bookmarkEnd w:id="11"/>
      <w:bookmarkEnd w:id="12"/>
      <w:bookmarkEnd w:id="13"/>
      <w:bookmarkEnd w:id="14"/>
      <w:bookmarkEnd w:id="15"/>
      <w:bookmarkEnd w:id="16"/>
      <w:bookmarkEnd w:id="17"/>
    </w:p>
    <w:p>
      <w:pPr>
        <w:widowControl/>
        <w:jc w:val="center"/>
        <w:rPr>
          <w:rFonts w:ascii="黑体" w:hAnsi="黑体" w:eastAsia="黑体" w:cstheme="minorBidi"/>
          <w:sz w:val="28"/>
          <w:szCs w:val="2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pStyle w:val="11"/>
        <w:rPr>
          <w:rFonts w:hint="eastAsia"/>
        </w:rPr>
      </w:pPr>
      <w:r>
        <w:rPr>
          <w:rFonts w:hint="eastAsia"/>
        </w:rPr>
        <w:t>公开时间：20</w:t>
      </w:r>
      <w:r>
        <w:rPr>
          <w:rFonts w:hint="eastAsia"/>
          <w:lang w:val="en-US" w:eastAsia="zh-CN"/>
        </w:rPr>
        <w:t>21</w:t>
      </w:r>
      <w:r>
        <w:rPr>
          <w:rFonts w:hint="eastAsia"/>
        </w:rPr>
        <w:t>年</w:t>
      </w:r>
      <w:r>
        <w:rPr>
          <w:rFonts w:hint="eastAsia"/>
          <w:lang w:val="en-US" w:eastAsia="zh-CN"/>
        </w:rPr>
        <w:t>9</w:t>
      </w:r>
      <w:r>
        <w:rPr>
          <w:rFonts w:hint="eastAsia"/>
        </w:rPr>
        <w:t>月</w:t>
      </w:r>
      <w:r>
        <w:rPr>
          <w:rFonts w:hint="eastAsia"/>
          <w:lang w:val="en-US" w:eastAsia="zh-CN"/>
        </w:rPr>
        <w:t>10</w:t>
      </w:r>
      <w:r>
        <w:rPr>
          <w:rFonts w:hint="eastAsia"/>
        </w:rPr>
        <w:t>日</w:t>
      </w:r>
    </w:p>
    <w:p>
      <w:pPr>
        <w:pStyle w:val="11"/>
        <w:tabs>
          <w:tab w:val="right" w:leader="dot" w:pos="8306"/>
          <w:tab w:val="clear" w:pos="8296"/>
        </w:tabs>
      </w:pPr>
      <w:r>
        <w:fldChar w:fldCharType="begin"/>
      </w:r>
      <w:r>
        <w:instrText xml:space="preserve">TOC \o "1-2" \h \u </w:instrText>
      </w:r>
      <w:r>
        <w:fldChar w:fldCharType="separate"/>
      </w:r>
      <w:r>
        <w:fldChar w:fldCharType="begin"/>
      </w:r>
      <w:r>
        <w:instrText xml:space="preserve"> HYPERLINK \l _Toc4701 </w:instrText>
      </w:r>
      <w:r>
        <w:fldChar w:fldCharType="separate"/>
      </w:r>
      <w:r>
        <w:rPr>
          <w:rFonts w:hint="eastAsia" w:ascii="Times New Roman" w:hAnsi="Times New Roman" w:eastAsia="黑体" w:cs="Times New Roman"/>
        </w:rPr>
        <w:t>第一部分</w:t>
      </w:r>
      <w:r>
        <w:rPr>
          <w:rFonts w:hint="default" w:ascii="Times New Roman" w:hAnsi="Times New Roman" w:eastAsia="黑体" w:cs="Times New Roman"/>
        </w:rPr>
        <w:t xml:space="preserve"> </w:t>
      </w:r>
      <w:r>
        <w:rPr>
          <w:rFonts w:hint="eastAsia" w:ascii="Times New Roman" w:hAnsi="Times New Roman" w:eastAsia="黑体" w:cs="Times New Roman"/>
          <w:lang w:eastAsia="zh-CN"/>
        </w:rPr>
        <w:t>单位</w:t>
      </w:r>
      <w:r>
        <w:rPr>
          <w:rFonts w:hint="eastAsia" w:ascii="Times New Roman" w:hAnsi="Times New Roman" w:eastAsia="黑体" w:cs="Times New Roman"/>
        </w:rPr>
        <w:t>概况</w:t>
      </w:r>
      <w:r>
        <w:tab/>
      </w:r>
      <w:r>
        <w:fldChar w:fldCharType="begin"/>
      </w:r>
      <w:r>
        <w:instrText xml:space="preserve"> PAGEREF _Toc4701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_Toc32280 </w:instrText>
      </w:r>
      <w:r>
        <w:fldChar w:fldCharType="separate"/>
      </w:r>
      <w:r>
        <w:rPr>
          <w:rFonts w:hint="eastAsia" w:ascii="Times New Roman" w:hAnsi="Times New Roman" w:eastAsia="黑体" w:cs="Times New Roman"/>
          <w:bCs/>
          <w:kern w:val="2"/>
          <w:szCs w:val="32"/>
          <w:lang w:val="en-US" w:eastAsia="zh-CN" w:bidi="ar-SA"/>
        </w:rPr>
        <w:t>一、职能简介</w:t>
      </w:r>
      <w:r>
        <w:tab/>
      </w:r>
      <w:r>
        <w:fldChar w:fldCharType="begin"/>
      </w:r>
      <w:r>
        <w:instrText xml:space="preserve"> PAGEREF _Toc32280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_Toc27646 </w:instrText>
      </w:r>
      <w:r>
        <w:fldChar w:fldCharType="separate"/>
      </w:r>
      <w:r>
        <w:rPr>
          <w:rFonts w:hint="eastAsia" w:ascii="Times New Roman" w:hAnsi="Times New Roman" w:eastAsia="黑体" w:cs="Times New Roman"/>
          <w:bCs/>
          <w:kern w:val="2"/>
          <w:szCs w:val="32"/>
          <w:lang w:val="en-US" w:eastAsia="zh-CN" w:bidi="ar-SA"/>
        </w:rPr>
        <w:t>二、2020年重点工作完成情况</w:t>
      </w:r>
      <w:r>
        <w:tab/>
      </w:r>
      <w:r>
        <w:fldChar w:fldCharType="begin"/>
      </w:r>
      <w:r>
        <w:instrText xml:space="preserve"> PAGEREF _Toc27646 \h </w:instrText>
      </w:r>
      <w:r>
        <w:fldChar w:fldCharType="separate"/>
      </w:r>
      <w:r>
        <w:t>1</w:t>
      </w:r>
      <w:r>
        <w:fldChar w:fldCharType="end"/>
      </w:r>
      <w:r>
        <w:fldChar w:fldCharType="end"/>
      </w:r>
    </w:p>
    <w:p>
      <w:pPr>
        <w:pStyle w:val="12"/>
        <w:tabs>
          <w:tab w:val="right" w:leader="dot" w:pos="8306"/>
          <w:tab w:val="clear" w:pos="8296"/>
        </w:tabs>
      </w:pPr>
      <w:r>
        <w:fldChar w:fldCharType="begin"/>
      </w:r>
      <w:r>
        <w:instrText xml:space="preserve"> HYPERLINK \l _Toc7671 </w:instrText>
      </w:r>
      <w:r>
        <w:fldChar w:fldCharType="separate"/>
      </w:r>
      <w:r>
        <w:rPr>
          <w:rFonts w:hint="eastAsia" w:ascii="黑体" w:hAnsi="黑体" w:eastAsia="黑体" w:cs="黑体"/>
          <w:szCs w:val="32"/>
          <w:lang w:val="en-US" w:eastAsia="zh-CN"/>
        </w:rPr>
        <w:t>三、机构设置情况</w:t>
      </w:r>
      <w:r>
        <w:tab/>
      </w:r>
      <w:r>
        <w:fldChar w:fldCharType="begin"/>
      </w:r>
      <w:r>
        <w:instrText xml:space="preserve"> PAGEREF _Toc7671 \h </w:instrText>
      </w:r>
      <w:r>
        <w:fldChar w:fldCharType="separate"/>
      </w:r>
      <w:r>
        <w:t>3</w:t>
      </w:r>
      <w:r>
        <w:fldChar w:fldCharType="end"/>
      </w:r>
      <w:r>
        <w:fldChar w:fldCharType="end"/>
      </w:r>
    </w:p>
    <w:p>
      <w:pPr>
        <w:pStyle w:val="11"/>
        <w:tabs>
          <w:tab w:val="right" w:leader="dot" w:pos="8306"/>
          <w:tab w:val="clear" w:pos="8296"/>
        </w:tabs>
      </w:pPr>
      <w:r>
        <w:fldChar w:fldCharType="begin"/>
      </w:r>
      <w:r>
        <w:instrText xml:space="preserve"> HYPERLINK \l _Toc10299 </w:instrText>
      </w:r>
      <w:r>
        <w:fldChar w:fldCharType="separate"/>
      </w:r>
      <w:r>
        <w:rPr>
          <w:rFonts w:hint="eastAsia" w:ascii="Times New Roman" w:hAnsi="Times New Roman" w:eastAsia="黑体" w:cs="Times New Roman"/>
          <w:bCs w:val="0"/>
        </w:rPr>
        <w:t>第二部分</w:t>
      </w:r>
      <w:r>
        <w:rPr>
          <w:rFonts w:hint="eastAsia" w:ascii="Times New Roman" w:hAnsi="Times New Roman" w:eastAsia="黑体" w:cs="Times New Roman"/>
          <w:bCs w:val="0"/>
          <w:lang w:val="en-US" w:eastAsia="zh-CN"/>
        </w:rPr>
        <w:t xml:space="preserve"> 2020年度</w:t>
      </w:r>
      <w:r>
        <w:rPr>
          <w:rFonts w:hint="eastAsia" w:ascii="Times New Roman" w:hAnsi="Times New Roman" w:eastAsia="黑体" w:cs="Times New Roman"/>
          <w:bCs w:val="0"/>
        </w:rPr>
        <w:t>部门决算情况说明</w:t>
      </w:r>
      <w:r>
        <w:tab/>
      </w:r>
      <w:r>
        <w:fldChar w:fldCharType="begin"/>
      </w:r>
      <w:r>
        <w:instrText xml:space="preserve"> PAGEREF _Toc10299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_Toc12116 </w:instrText>
      </w:r>
      <w:r>
        <w:fldChar w:fldCharType="separate"/>
      </w:r>
      <w:r>
        <w:rPr>
          <w:rFonts w:hint="eastAsia" w:ascii="黑体" w:hAnsi="黑体" w:eastAsia="黑体" w:cs="黑体"/>
          <w:szCs w:val="32"/>
        </w:rPr>
        <w:t>一、收入支出决算总体情况说明</w:t>
      </w:r>
      <w:r>
        <w:tab/>
      </w:r>
      <w:r>
        <w:fldChar w:fldCharType="begin"/>
      </w:r>
      <w:r>
        <w:instrText xml:space="preserve"> PAGEREF _Toc12116 \h </w:instrText>
      </w:r>
      <w:r>
        <w:fldChar w:fldCharType="separate"/>
      </w:r>
      <w:r>
        <w:t>3</w:t>
      </w:r>
      <w:r>
        <w:fldChar w:fldCharType="end"/>
      </w:r>
      <w:r>
        <w:fldChar w:fldCharType="end"/>
      </w:r>
    </w:p>
    <w:p>
      <w:pPr>
        <w:pStyle w:val="12"/>
        <w:tabs>
          <w:tab w:val="right" w:leader="dot" w:pos="8306"/>
          <w:tab w:val="clear" w:pos="8296"/>
        </w:tabs>
      </w:pPr>
      <w:r>
        <w:fldChar w:fldCharType="begin"/>
      </w:r>
      <w:r>
        <w:instrText xml:space="preserve"> HYPERLINK \l _Toc21774 </w:instrText>
      </w:r>
      <w:r>
        <w:fldChar w:fldCharType="separate"/>
      </w:r>
      <w:r>
        <w:rPr>
          <w:rFonts w:hint="eastAsia" w:ascii="黑体" w:hAnsi="黑体" w:eastAsia="黑体" w:cs="黑体"/>
          <w:szCs w:val="32"/>
        </w:rPr>
        <w:t>二、 收入决算情况说明</w:t>
      </w:r>
      <w:r>
        <w:tab/>
      </w:r>
      <w:r>
        <w:fldChar w:fldCharType="begin"/>
      </w:r>
      <w:r>
        <w:instrText xml:space="preserve"> PAGEREF _Toc21774 \h </w:instrText>
      </w:r>
      <w:r>
        <w:fldChar w:fldCharType="separate"/>
      </w:r>
      <w:r>
        <w:t>4</w:t>
      </w:r>
      <w:r>
        <w:fldChar w:fldCharType="end"/>
      </w:r>
      <w:r>
        <w:fldChar w:fldCharType="end"/>
      </w:r>
    </w:p>
    <w:p>
      <w:pPr>
        <w:pStyle w:val="12"/>
        <w:tabs>
          <w:tab w:val="right" w:leader="dot" w:pos="8306"/>
          <w:tab w:val="clear" w:pos="8296"/>
        </w:tabs>
      </w:pPr>
      <w:r>
        <w:fldChar w:fldCharType="begin"/>
      </w:r>
      <w:r>
        <w:instrText xml:space="preserve"> HYPERLINK \l _Toc27838 </w:instrText>
      </w:r>
      <w:r>
        <w:fldChar w:fldCharType="separate"/>
      </w:r>
      <w:r>
        <w:rPr>
          <w:rFonts w:hint="eastAsia" w:ascii="黑体" w:hAnsi="黑体" w:eastAsia="黑体" w:cs="黑体"/>
          <w:szCs w:val="32"/>
        </w:rPr>
        <w:t>三、 支出决算情况说明</w:t>
      </w:r>
      <w:r>
        <w:tab/>
      </w:r>
      <w:r>
        <w:fldChar w:fldCharType="begin"/>
      </w:r>
      <w:r>
        <w:instrText xml:space="preserve"> PAGEREF _Toc27838 \h </w:instrText>
      </w:r>
      <w:r>
        <w:fldChar w:fldCharType="separate"/>
      </w:r>
      <w:r>
        <w:t>5</w:t>
      </w:r>
      <w:r>
        <w:fldChar w:fldCharType="end"/>
      </w:r>
      <w:r>
        <w:fldChar w:fldCharType="end"/>
      </w:r>
    </w:p>
    <w:p>
      <w:pPr>
        <w:pStyle w:val="12"/>
        <w:tabs>
          <w:tab w:val="right" w:leader="dot" w:pos="8306"/>
          <w:tab w:val="clear" w:pos="8296"/>
        </w:tabs>
      </w:pPr>
      <w:r>
        <w:fldChar w:fldCharType="begin"/>
      </w:r>
      <w:r>
        <w:instrText xml:space="preserve"> HYPERLINK \l _Toc7489 </w:instrText>
      </w:r>
      <w:r>
        <w:fldChar w:fldCharType="separate"/>
      </w:r>
      <w:r>
        <w:rPr>
          <w:rFonts w:hint="eastAsia" w:ascii="黑体" w:hAnsi="黑体" w:eastAsia="黑体" w:cs="黑体"/>
          <w:szCs w:val="32"/>
        </w:rPr>
        <w:t>四、 财政拨款收入支出决算总体情况说明</w:t>
      </w:r>
      <w:r>
        <w:tab/>
      </w:r>
      <w:r>
        <w:fldChar w:fldCharType="begin"/>
      </w:r>
      <w:r>
        <w:instrText xml:space="preserve"> PAGEREF _Toc7489 \h </w:instrText>
      </w:r>
      <w:r>
        <w:fldChar w:fldCharType="separate"/>
      </w:r>
      <w:r>
        <w:t>5</w:t>
      </w:r>
      <w:r>
        <w:fldChar w:fldCharType="end"/>
      </w:r>
      <w:r>
        <w:fldChar w:fldCharType="end"/>
      </w:r>
    </w:p>
    <w:p>
      <w:pPr>
        <w:pStyle w:val="12"/>
        <w:tabs>
          <w:tab w:val="right" w:leader="dot" w:pos="8306"/>
          <w:tab w:val="clear" w:pos="8296"/>
        </w:tabs>
      </w:pPr>
      <w:r>
        <w:fldChar w:fldCharType="begin"/>
      </w:r>
      <w:r>
        <w:instrText xml:space="preserve"> HYPERLINK \l _Toc11886 </w:instrText>
      </w:r>
      <w:r>
        <w:fldChar w:fldCharType="separate"/>
      </w:r>
      <w:r>
        <w:rPr>
          <w:rFonts w:hint="eastAsia" w:ascii="黑体" w:hAnsi="黑体" w:eastAsia="黑体" w:cs="黑体"/>
          <w:szCs w:val="32"/>
        </w:rPr>
        <w:t>五、 一般公共预算财政拨款支出决算情况说明</w:t>
      </w:r>
      <w:r>
        <w:tab/>
      </w:r>
      <w:r>
        <w:fldChar w:fldCharType="begin"/>
      </w:r>
      <w:r>
        <w:instrText xml:space="preserve"> PAGEREF _Toc11886 \h </w:instrText>
      </w:r>
      <w:r>
        <w:fldChar w:fldCharType="separate"/>
      </w:r>
      <w:r>
        <w:t>6</w:t>
      </w:r>
      <w:r>
        <w:fldChar w:fldCharType="end"/>
      </w:r>
      <w:r>
        <w:fldChar w:fldCharType="end"/>
      </w:r>
    </w:p>
    <w:p>
      <w:pPr>
        <w:pStyle w:val="12"/>
        <w:tabs>
          <w:tab w:val="right" w:leader="dot" w:pos="8306"/>
          <w:tab w:val="clear" w:pos="8296"/>
        </w:tabs>
      </w:pPr>
      <w:r>
        <w:fldChar w:fldCharType="begin"/>
      </w:r>
      <w:r>
        <w:instrText xml:space="preserve"> HYPERLINK \l _Toc13945 </w:instrText>
      </w:r>
      <w:r>
        <w:fldChar w:fldCharType="separate"/>
      </w:r>
      <w:r>
        <w:rPr>
          <w:rFonts w:hint="eastAsia" w:ascii="黑体" w:hAnsi="黑体" w:eastAsia="黑体" w:cs="黑体"/>
          <w:szCs w:val="32"/>
        </w:rPr>
        <w:t>六、 一般公共预算财政拨款基本支出决算情况说明</w:t>
      </w:r>
      <w:r>
        <w:tab/>
      </w:r>
      <w:r>
        <w:fldChar w:fldCharType="begin"/>
      </w:r>
      <w:r>
        <w:instrText xml:space="preserve"> PAGEREF _Toc13945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_Toc16533 </w:instrText>
      </w:r>
      <w:r>
        <w:fldChar w:fldCharType="separate"/>
      </w:r>
      <w:r>
        <w:rPr>
          <w:rFonts w:hint="eastAsia" w:ascii="Times New Roman" w:hAnsi="Times New Roman" w:eastAsia="黑体" w:cs="Times New Roman"/>
          <w:lang w:val="en-US" w:eastAsia="zh-CN" w:bidi="ar-SA"/>
        </w:rPr>
        <w:t xml:space="preserve">七、 </w:t>
      </w:r>
      <w:r>
        <w:rPr>
          <w:rFonts w:hint="default" w:ascii="Times New Roman" w:hAnsi="Times New Roman" w:eastAsia="黑体" w:cs="Times New Roman"/>
          <w:lang w:val="en-US" w:eastAsia="zh-CN" w:bidi="ar-SA"/>
        </w:rPr>
        <w:t>“</w:t>
      </w:r>
      <w:r>
        <w:rPr>
          <w:rFonts w:hint="eastAsia" w:ascii="Times New Roman" w:hAnsi="Times New Roman" w:eastAsia="黑体" w:cs="Times New Roman"/>
          <w:lang w:val="en-US" w:eastAsia="zh-CN" w:bidi="ar-SA"/>
        </w:rPr>
        <w:t>三公”经费财政拨款支出决算情况说明</w:t>
      </w:r>
      <w:r>
        <w:tab/>
      </w:r>
      <w:r>
        <w:fldChar w:fldCharType="begin"/>
      </w:r>
      <w:r>
        <w:instrText xml:space="preserve"> PAGEREF _Toc16533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_Toc31926 </w:instrText>
      </w:r>
      <w:r>
        <w:fldChar w:fldCharType="separate"/>
      </w:r>
      <w:r>
        <w:rPr>
          <w:rFonts w:hint="eastAsia" w:ascii="Times New Roman" w:hAnsi="Times New Roman" w:eastAsia="黑体" w:cs="Times New Roman"/>
          <w:lang w:val="en-US" w:eastAsia="zh-CN" w:bidi="ar-SA"/>
        </w:rPr>
        <w:t>八、 政府性基金预算支出决算情况说明</w:t>
      </w:r>
      <w:r>
        <w:tab/>
      </w:r>
      <w:r>
        <w:fldChar w:fldCharType="begin"/>
      </w:r>
      <w:r>
        <w:instrText xml:space="preserve"> PAGEREF _Toc31926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_Toc13671 </w:instrText>
      </w:r>
      <w:r>
        <w:fldChar w:fldCharType="separate"/>
      </w:r>
      <w:r>
        <w:rPr>
          <w:rFonts w:hint="eastAsia" w:ascii="Times New Roman" w:hAnsi="Times New Roman" w:eastAsia="黑体" w:cs="Times New Roman"/>
          <w:lang w:val="en-US" w:eastAsia="zh-CN" w:bidi="ar-SA"/>
        </w:rPr>
        <w:t>九、 国有资本经营预算支出决算情况说明</w:t>
      </w:r>
      <w:r>
        <w:tab/>
      </w:r>
      <w:r>
        <w:fldChar w:fldCharType="begin"/>
      </w:r>
      <w:r>
        <w:instrText xml:space="preserve"> PAGEREF _Toc13671 \h </w:instrText>
      </w:r>
      <w:r>
        <w:fldChar w:fldCharType="separate"/>
      </w:r>
      <w:r>
        <w:t>8</w:t>
      </w:r>
      <w:r>
        <w:fldChar w:fldCharType="end"/>
      </w:r>
      <w:r>
        <w:fldChar w:fldCharType="end"/>
      </w:r>
    </w:p>
    <w:p>
      <w:pPr>
        <w:pStyle w:val="12"/>
        <w:tabs>
          <w:tab w:val="right" w:leader="dot" w:pos="8306"/>
          <w:tab w:val="clear" w:pos="8296"/>
        </w:tabs>
      </w:pPr>
      <w:r>
        <w:fldChar w:fldCharType="begin"/>
      </w:r>
      <w:r>
        <w:instrText xml:space="preserve"> HYPERLINK \l _Toc3786 </w:instrText>
      </w:r>
      <w:r>
        <w:fldChar w:fldCharType="separate"/>
      </w:r>
      <w:r>
        <w:rPr>
          <w:rFonts w:hint="eastAsia" w:ascii="黑体" w:hAnsi="黑体" w:eastAsia="黑体" w:cs="黑体"/>
          <w:szCs w:val="32"/>
        </w:rPr>
        <w:t>十、 其他重要事项的情况说明</w:t>
      </w:r>
      <w:r>
        <w:tab/>
      </w:r>
      <w:r>
        <w:fldChar w:fldCharType="begin"/>
      </w:r>
      <w:r>
        <w:instrText xml:space="preserve"> PAGEREF _Toc3786 \h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_Toc22573 </w:instrText>
      </w:r>
      <w:r>
        <w:fldChar w:fldCharType="separate"/>
      </w:r>
      <w:r>
        <w:rPr>
          <w:rFonts w:hint="eastAsia" w:ascii="Times New Roman" w:hAnsi="Times New Roman" w:eastAsia="黑体" w:cs="Times New Roman"/>
          <w:szCs w:val="44"/>
        </w:rPr>
        <w:t>第三部分</w:t>
      </w:r>
      <w:r>
        <w:rPr>
          <w:rFonts w:hint="default" w:ascii="Times New Roman" w:hAnsi="Times New Roman" w:eastAsia="黑体" w:cs="Times New Roman"/>
          <w:szCs w:val="44"/>
        </w:rPr>
        <w:t xml:space="preserve"> </w:t>
      </w:r>
      <w:r>
        <w:rPr>
          <w:rFonts w:hint="eastAsia" w:ascii="Times New Roman" w:hAnsi="Times New Roman" w:eastAsia="黑体" w:cs="Times New Roman"/>
          <w:szCs w:val="44"/>
        </w:rPr>
        <w:t>名词解释</w:t>
      </w:r>
      <w:r>
        <w:tab/>
      </w:r>
      <w:r>
        <w:fldChar w:fldCharType="begin"/>
      </w:r>
      <w:r>
        <w:instrText xml:space="preserve"> PAGEREF _Toc22573 \h </w:instrText>
      </w:r>
      <w:r>
        <w:fldChar w:fldCharType="separate"/>
      </w:r>
      <w:r>
        <w:t>8</w:t>
      </w:r>
      <w:r>
        <w:fldChar w:fldCharType="end"/>
      </w:r>
      <w:r>
        <w:fldChar w:fldCharType="end"/>
      </w:r>
    </w:p>
    <w:p>
      <w:pPr>
        <w:pStyle w:val="11"/>
        <w:tabs>
          <w:tab w:val="right" w:leader="dot" w:pos="8306"/>
          <w:tab w:val="clear" w:pos="8296"/>
        </w:tabs>
      </w:pPr>
      <w:r>
        <w:fldChar w:fldCharType="begin"/>
      </w:r>
      <w:r>
        <w:instrText xml:space="preserve"> HYPERLINK \l _Toc7061 </w:instrText>
      </w:r>
      <w:r>
        <w:fldChar w:fldCharType="separate"/>
      </w:r>
      <w:r>
        <w:rPr>
          <w:rFonts w:hint="eastAsia" w:ascii="Times New Roman" w:hAnsi="Times New Roman" w:eastAsia="黑体" w:cs="Times New Roman"/>
        </w:rPr>
        <w:t>第四部分 附件</w:t>
      </w:r>
      <w:r>
        <w:tab/>
      </w:r>
      <w:r>
        <w:fldChar w:fldCharType="begin"/>
      </w:r>
      <w:r>
        <w:instrText xml:space="preserve"> PAGEREF _Toc7061 \h </w:instrText>
      </w:r>
      <w:r>
        <w:fldChar w:fldCharType="separate"/>
      </w:r>
      <w:r>
        <w:t>10</w:t>
      </w:r>
      <w:r>
        <w:fldChar w:fldCharType="end"/>
      </w:r>
      <w:r>
        <w:fldChar w:fldCharType="end"/>
      </w:r>
    </w:p>
    <w:p>
      <w:pPr>
        <w:pStyle w:val="11"/>
        <w:tabs>
          <w:tab w:val="right" w:leader="dot" w:pos="8306"/>
          <w:tab w:val="clear" w:pos="8296"/>
        </w:tabs>
      </w:pPr>
      <w:r>
        <w:fldChar w:fldCharType="begin"/>
      </w:r>
      <w:r>
        <w:instrText xml:space="preserve"> HYPERLINK \l _Toc21018 </w:instrText>
      </w:r>
      <w:r>
        <w:fldChar w:fldCharType="separate"/>
      </w:r>
      <w:r>
        <w:rPr>
          <w:rFonts w:hint="eastAsia" w:ascii="Times New Roman" w:hAnsi="Times New Roman" w:eastAsia="黑体" w:cs="Times New Roman"/>
          <w:kern w:val="2"/>
          <w:szCs w:val="44"/>
          <w:lang w:val="en-US" w:eastAsia="zh-CN" w:bidi="ar-SA"/>
        </w:rPr>
        <w:t>第五部分</w:t>
      </w:r>
      <w:r>
        <w:rPr>
          <w:rFonts w:hint="default" w:ascii="Times New Roman" w:hAnsi="Times New Roman" w:eastAsia="黑体" w:cs="Times New Roman"/>
          <w:kern w:val="2"/>
          <w:szCs w:val="44"/>
          <w:lang w:val="en-US" w:eastAsia="zh-CN" w:bidi="ar-SA"/>
        </w:rPr>
        <w:t xml:space="preserve"> </w:t>
      </w:r>
      <w:r>
        <w:rPr>
          <w:rFonts w:hint="eastAsia" w:ascii="Times New Roman" w:hAnsi="Times New Roman" w:eastAsia="黑体" w:cs="Times New Roman"/>
          <w:kern w:val="2"/>
          <w:szCs w:val="44"/>
          <w:lang w:val="en-US" w:eastAsia="zh-CN" w:bidi="ar-SA"/>
        </w:rPr>
        <w:t>附表</w:t>
      </w:r>
      <w:r>
        <w:tab/>
      </w:r>
      <w:r>
        <w:fldChar w:fldCharType="begin"/>
      </w:r>
      <w:r>
        <w:instrText xml:space="preserve"> PAGEREF _Toc21018 \h </w:instrText>
      </w:r>
      <w:r>
        <w:fldChar w:fldCharType="separate"/>
      </w:r>
      <w:r>
        <w:t>10</w:t>
      </w:r>
      <w:r>
        <w:fldChar w:fldCharType="end"/>
      </w:r>
      <w:r>
        <w:fldChar w:fldCharType="end"/>
      </w:r>
    </w:p>
    <w:p>
      <w:pPr>
        <w:pStyle w:val="12"/>
        <w:tabs>
          <w:tab w:val="right" w:leader="dot" w:pos="8306"/>
          <w:tab w:val="clear" w:pos="8296"/>
        </w:tabs>
      </w:pPr>
      <w:r>
        <w:fldChar w:fldCharType="begin"/>
      </w:r>
      <w:r>
        <w:instrText xml:space="preserve"> HYPERLINK \l _Toc19972 </w:instrText>
      </w:r>
      <w:r>
        <w:fldChar w:fldCharType="separate"/>
      </w:r>
      <w:r>
        <w:rPr>
          <w:rFonts w:hint="eastAsia" w:ascii="Times New Roman" w:hAnsi="Times New Roman" w:eastAsia="黑体" w:cs="Times New Roman"/>
          <w:kern w:val="2"/>
          <w:szCs w:val="32"/>
          <w:lang w:val="en-US" w:eastAsia="zh-CN" w:bidi="ar-SA"/>
        </w:rPr>
        <w:t>一、收入支出决算总表</w:t>
      </w:r>
      <w:r>
        <w:tab/>
      </w:r>
      <w:r>
        <w:fldChar w:fldCharType="begin"/>
      </w:r>
      <w:r>
        <w:instrText xml:space="preserve"> PAGEREF _Toc19972 \h </w:instrText>
      </w:r>
      <w:r>
        <w:fldChar w:fldCharType="separate"/>
      </w:r>
      <w:r>
        <w:t>10</w:t>
      </w:r>
      <w:r>
        <w:fldChar w:fldCharType="end"/>
      </w:r>
      <w:r>
        <w:fldChar w:fldCharType="end"/>
      </w:r>
    </w:p>
    <w:p>
      <w:pPr>
        <w:pStyle w:val="12"/>
        <w:tabs>
          <w:tab w:val="right" w:leader="dot" w:pos="8306"/>
          <w:tab w:val="clear" w:pos="8296"/>
        </w:tabs>
      </w:pPr>
      <w:r>
        <w:fldChar w:fldCharType="begin"/>
      </w:r>
      <w:r>
        <w:instrText xml:space="preserve"> HYPERLINK \l _Toc22215 </w:instrText>
      </w:r>
      <w:r>
        <w:fldChar w:fldCharType="separate"/>
      </w:r>
      <w:r>
        <w:rPr>
          <w:rFonts w:hint="eastAsia" w:ascii="黑体" w:hAnsi="黑体" w:eastAsia="黑体" w:cs="黑体"/>
          <w:szCs w:val="32"/>
        </w:rPr>
        <w:t>二、 收入决算表</w:t>
      </w:r>
      <w:r>
        <w:tab/>
      </w:r>
      <w:r>
        <w:fldChar w:fldCharType="begin"/>
      </w:r>
      <w:r>
        <w:instrText xml:space="preserve"> PAGEREF _Toc22215 \h </w:instrText>
      </w:r>
      <w:r>
        <w:fldChar w:fldCharType="separate"/>
      </w:r>
      <w:r>
        <w:t>12</w:t>
      </w:r>
      <w:r>
        <w:fldChar w:fldCharType="end"/>
      </w:r>
      <w:r>
        <w:fldChar w:fldCharType="end"/>
      </w:r>
    </w:p>
    <w:p>
      <w:pPr>
        <w:pStyle w:val="12"/>
        <w:tabs>
          <w:tab w:val="right" w:leader="dot" w:pos="8306"/>
          <w:tab w:val="clear" w:pos="8296"/>
        </w:tabs>
      </w:pPr>
      <w:r>
        <w:fldChar w:fldCharType="begin"/>
      </w:r>
      <w:r>
        <w:instrText xml:space="preserve"> HYPERLINK \l _Toc7546 </w:instrText>
      </w:r>
      <w:r>
        <w:fldChar w:fldCharType="separate"/>
      </w:r>
      <w:r>
        <w:rPr>
          <w:rFonts w:hint="eastAsia" w:ascii="黑体" w:hAnsi="黑体" w:eastAsia="黑体" w:cs="黑体"/>
          <w:szCs w:val="32"/>
        </w:rPr>
        <w:t>三、 支出决算表</w:t>
      </w:r>
      <w:r>
        <w:tab/>
      </w:r>
      <w:r>
        <w:fldChar w:fldCharType="begin"/>
      </w:r>
      <w:r>
        <w:instrText xml:space="preserve"> PAGEREF _Toc7546 \h </w:instrText>
      </w:r>
      <w:r>
        <w:fldChar w:fldCharType="separate"/>
      </w:r>
      <w:r>
        <w:t>14</w:t>
      </w:r>
      <w:r>
        <w:fldChar w:fldCharType="end"/>
      </w:r>
      <w:r>
        <w:fldChar w:fldCharType="end"/>
      </w:r>
    </w:p>
    <w:p>
      <w:pPr>
        <w:pStyle w:val="12"/>
        <w:tabs>
          <w:tab w:val="right" w:leader="dot" w:pos="8306"/>
          <w:tab w:val="clear" w:pos="8296"/>
        </w:tabs>
      </w:pPr>
      <w:r>
        <w:fldChar w:fldCharType="begin"/>
      </w:r>
      <w:r>
        <w:instrText xml:space="preserve"> HYPERLINK \l _Toc21916 </w:instrText>
      </w:r>
      <w:r>
        <w:fldChar w:fldCharType="separate"/>
      </w:r>
      <w:r>
        <w:rPr>
          <w:rFonts w:hint="eastAsia" w:ascii="黑体" w:hAnsi="黑体" w:eastAsia="黑体" w:cs="黑体"/>
          <w:szCs w:val="32"/>
        </w:rPr>
        <w:t>四、 财政拨款收入支出决算总表</w:t>
      </w:r>
      <w:r>
        <w:tab/>
      </w:r>
      <w:r>
        <w:fldChar w:fldCharType="begin"/>
      </w:r>
      <w:r>
        <w:instrText xml:space="preserve"> PAGEREF _Toc21916 \h </w:instrText>
      </w:r>
      <w:r>
        <w:fldChar w:fldCharType="separate"/>
      </w:r>
      <w:r>
        <w:t>16</w:t>
      </w:r>
      <w:r>
        <w:fldChar w:fldCharType="end"/>
      </w:r>
      <w:r>
        <w:fldChar w:fldCharType="end"/>
      </w:r>
    </w:p>
    <w:p>
      <w:pPr>
        <w:pStyle w:val="12"/>
        <w:tabs>
          <w:tab w:val="right" w:leader="dot" w:pos="8306"/>
          <w:tab w:val="clear" w:pos="8296"/>
        </w:tabs>
      </w:pPr>
      <w:r>
        <w:fldChar w:fldCharType="begin"/>
      </w:r>
      <w:r>
        <w:instrText xml:space="preserve"> HYPERLINK \l _Toc3031 </w:instrText>
      </w:r>
      <w:r>
        <w:fldChar w:fldCharType="separate"/>
      </w:r>
      <w:r>
        <w:rPr>
          <w:rFonts w:hint="eastAsia" w:ascii="黑体" w:hAnsi="黑体" w:eastAsia="黑体" w:cs="黑体"/>
          <w:szCs w:val="32"/>
        </w:rPr>
        <w:t>五、 财政拨款支出决算明细表</w:t>
      </w:r>
      <w:r>
        <w:tab/>
      </w:r>
      <w:r>
        <w:fldChar w:fldCharType="begin"/>
      </w:r>
      <w:r>
        <w:instrText xml:space="preserve"> PAGEREF _Toc3031 \h </w:instrText>
      </w:r>
      <w:r>
        <w:fldChar w:fldCharType="separate"/>
      </w:r>
      <w:r>
        <w:t>18</w:t>
      </w:r>
      <w:r>
        <w:fldChar w:fldCharType="end"/>
      </w:r>
      <w:r>
        <w:fldChar w:fldCharType="end"/>
      </w:r>
    </w:p>
    <w:p>
      <w:pPr>
        <w:pStyle w:val="12"/>
        <w:tabs>
          <w:tab w:val="right" w:leader="dot" w:pos="8306"/>
          <w:tab w:val="clear" w:pos="8296"/>
        </w:tabs>
      </w:pPr>
      <w:r>
        <w:fldChar w:fldCharType="begin"/>
      </w:r>
      <w:r>
        <w:instrText xml:space="preserve"> HYPERLINK \l _Toc30747 </w:instrText>
      </w:r>
      <w:r>
        <w:fldChar w:fldCharType="separate"/>
      </w:r>
      <w:r>
        <w:rPr>
          <w:rFonts w:hint="eastAsia" w:ascii="黑体" w:hAnsi="黑体" w:eastAsia="黑体" w:cs="黑体"/>
          <w:szCs w:val="32"/>
        </w:rPr>
        <w:t>六、 一般公共预算财政拨款支出决算表</w:t>
      </w:r>
      <w:r>
        <w:tab/>
      </w:r>
      <w:r>
        <w:fldChar w:fldCharType="begin"/>
      </w:r>
      <w:r>
        <w:instrText xml:space="preserve"> PAGEREF _Toc30747 \h </w:instrText>
      </w:r>
      <w:r>
        <w:fldChar w:fldCharType="separate"/>
      </w:r>
      <w:r>
        <w:t>23</w:t>
      </w:r>
      <w:r>
        <w:fldChar w:fldCharType="end"/>
      </w:r>
      <w:r>
        <w:fldChar w:fldCharType="end"/>
      </w:r>
    </w:p>
    <w:p>
      <w:pPr>
        <w:pStyle w:val="12"/>
        <w:tabs>
          <w:tab w:val="right" w:leader="dot" w:pos="8306"/>
          <w:tab w:val="clear" w:pos="8296"/>
        </w:tabs>
      </w:pPr>
      <w:r>
        <w:fldChar w:fldCharType="begin"/>
      </w:r>
      <w:r>
        <w:instrText xml:space="preserve"> HYPERLINK \l _Toc26148 </w:instrText>
      </w:r>
      <w:r>
        <w:fldChar w:fldCharType="separate"/>
      </w:r>
      <w:r>
        <w:rPr>
          <w:rFonts w:hint="eastAsia" w:ascii="黑体" w:hAnsi="黑体" w:eastAsia="黑体" w:cs="黑体"/>
          <w:szCs w:val="32"/>
        </w:rPr>
        <w:t>七、 一般公共预算财政拨款支出决算明细表</w:t>
      </w:r>
      <w:r>
        <w:tab/>
      </w:r>
      <w:r>
        <w:fldChar w:fldCharType="begin"/>
      </w:r>
      <w:r>
        <w:instrText xml:space="preserve"> PAGEREF _Toc26148 \h </w:instrText>
      </w:r>
      <w:r>
        <w:fldChar w:fldCharType="separate"/>
      </w:r>
      <w:r>
        <w:t>24</w:t>
      </w:r>
      <w:r>
        <w:fldChar w:fldCharType="end"/>
      </w:r>
      <w:r>
        <w:fldChar w:fldCharType="end"/>
      </w:r>
    </w:p>
    <w:p>
      <w:pPr>
        <w:pStyle w:val="12"/>
        <w:tabs>
          <w:tab w:val="right" w:leader="dot" w:pos="8306"/>
          <w:tab w:val="clear" w:pos="8296"/>
        </w:tabs>
      </w:pPr>
      <w:r>
        <w:fldChar w:fldCharType="begin"/>
      </w:r>
      <w:r>
        <w:instrText xml:space="preserve"> HYPERLINK \l _Toc9341 </w:instrText>
      </w:r>
      <w:r>
        <w:fldChar w:fldCharType="separate"/>
      </w:r>
      <w:r>
        <w:rPr>
          <w:rFonts w:hint="eastAsia" w:ascii="黑体" w:hAnsi="黑体" w:eastAsia="黑体" w:cs="黑体"/>
          <w:szCs w:val="32"/>
        </w:rPr>
        <w:t>八、 一般公共预算财政拨款基本支出决算表</w:t>
      </w:r>
      <w:r>
        <w:tab/>
      </w:r>
      <w:r>
        <w:fldChar w:fldCharType="begin"/>
      </w:r>
      <w:r>
        <w:instrText xml:space="preserve"> PAGEREF _Toc9341 \h </w:instrText>
      </w:r>
      <w:r>
        <w:fldChar w:fldCharType="separate"/>
      </w:r>
      <w:r>
        <w:t>25</w:t>
      </w:r>
      <w:r>
        <w:fldChar w:fldCharType="end"/>
      </w:r>
      <w:r>
        <w:fldChar w:fldCharType="end"/>
      </w:r>
    </w:p>
    <w:p>
      <w:pPr>
        <w:pStyle w:val="12"/>
        <w:tabs>
          <w:tab w:val="right" w:leader="dot" w:pos="8306"/>
          <w:tab w:val="clear" w:pos="8296"/>
        </w:tabs>
      </w:pPr>
      <w:r>
        <w:fldChar w:fldCharType="begin"/>
      </w:r>
      <w:r>
        <w:instrText xml:space="preserve"> HYPERLINK \l _Toc11587 </w:instrText>
      </w:r>
      <w:r>
        <w:fldChar w:fldCharType="separate"/>
      </w:r>
      <w:r>
        <w:rPr>
          <w:rFonts w:hint="eastAsia" w:ascii="黑体" w:hAnsi="黑体" w:eastAsia="黑体" w:cs="黑体"/>
          <w:szCs w:val="32"/>
        </w:rPr>
        <w:t>九、 一般公共预算财政拨款项目支出决算表</w:t>
      </w:r>
      <w:r>
        <w:tab/>
      </w:r>
      <w:r>
        <w:fldChar w:fldCharType="begin"/>
      </w:r>
      <w:r>
        <w:instrText xml:space="preserve"> PAGEREF _Toc11587 \h </w:instrText>
      </w:r>
      <w:r>
        <w:fldChar w:fldCharType="separate"/>
      </w:r>
      <w:r>
        <w:t>27</w:t>
      </w:r>
      <w:r>
        <w:fldChar w:fldCharType="end"/>
      </w:r>
      <w:r>
        <w:fldChar w:fldCharType="end"/>
      </w:r>
    </w:p>
    <w:p>
      <w:pPr>
        <w:pStyle w:val="12"/>
        <w:tabs>
          <w:tab w:val="right" w:leader="dot" w:pos="8306"/>
          <w:tab w:val="clear" w:pos="8296"/>
        </w:tabs>
      </w:pPr>
      <w:r>
        <w:fldChar w:fldCharType="begin"/>
      </w:r>
      <w:r>
        <w:instrText xml:space="preserve"> HYPERLINK \l _Toc28660 </w:instrText>
      </w:r>
      <w:r>
        <w:fldChar w:fldCharType="separate"/>
      </w:r>
      <w:r>
        <w:rPr>
          <w:rFonts w:hint="eastAsia" w:ascii="黑体" w:hAnsi="黑体" w:eastAsia="黑体" w:cs="黑体"/>
          <w:szCs w:val="32"/>
        </w:rPr>
        <w:t>十、 一般公共预算财政拨款“三公”经费支出决算表</w:t>
      </w:r>
      <w:r>
        <w:tab/>
      </w:r>
      <w:r>
        <w:fldChar w:fldCharType="begin"/>
      </w:r>
      <w:r>
        <w:instrText xml:space="preserve"> PAGEREF _Toc28660 \h </w:instrText>
      </w:r>
      <w:r>
        <w:fldChar w:fldCharType="separate"/>
      </w:r>
      <w:r>
        <w:t>28</w:t>
      </w:r>
      <w:r>
        <w:fldChar w:fldCharType="end"/>
      </w:r>
      <w:r>
        <w:fldChar w:fldCharType="end"/>
      </w:r>
    </w:p>
    <w:p>
      <w:pPr>
        <w:pStyle w:val="12"/>
        <w:tabs>
          <w:tab w:val="right" w:leader="dot" w:pos="8306"/>
          <w:tab w:val="clear" w:pos="8296"/>
        </w:tabs>
      </w:pPr>
      <w:r>
        <w:fldChar w:fldCharType="begin"/>
      </w:r>
      <w:r>
        <w:instrText xml:space="preserve"> HYPERLINK \l _Toc22411 </w:instrText>
      </w:r>
      <w:r>
        <w:fldChar w:fldCharType="separate"/>
      </w:r>
      <w:r>
        <w:rPr>
          <w:rFonts w:hint="eastAsia"/>
        </w:rPr>
        <w:t xml:space="preserve">十一、 </w:t>
      </w:r>
      <w:r>
        <w:rPr>
          <w:rFonts w:hint="eastAsia" w:ascii="黑体" w:hAnsi="黑体" w:eastAsia="黑体" w:cs="黑体"/>
          <w:szCs w:val="32"/>
        </w:rPr>
        <w:t>政府性基金预算财政拨款收入支出决算表</w:t>
      </w:r>
      <w:r>
        <w:tab/>
      </w:r>
      <w:r>
        <w:fldChar w:fldCharType="begin"/>
      </w:r>
      <w:r>
        <w:instrText xml:space="preserve"> PAGEREF _Toc22411 \h </w:instrText>
      </w:r>
      <w:r>
        <w:fldChar w:fldCharType="separate"/>
      </w:r>
      <w:r>
        <w:t>29</w:t>
      </w:r>
      <w:r>
        <w:fldChar w:fldCharType="end"/>
      </w:r>
      <w:r>
        <w:fldChar w:fldCharType="end"/>
      </w:r>
    </w:p>
    <w:p>
      <w:pPr>
        <w:pStyle w:val="12"/>
        <w:tabs>
          <w:tab w:val="right" w:leader="dot" w:pos="8306"/>
          <w:tab w:val="clear" w:pos="8296"/>
        </w:tabs>
      </w:pPr>
      <w:r>
        <w:fldChar w:fldCharType="begin"/>
      </w:r>
      <w:r>
        <w:instrText xml:space="preserve"> HYPERLINK \l _Toc32183 </w:instrText>
      </w:r>
      <w:r>
        <w:fldChar w:fldCharType="separate"/>
      </w:r>
      <w:r>
        <w:rPr>
          <w:rFonts w:hint="eastAsia" w:ascii="黑体" w:hAnsi="黑体" w:eastAsia="黑体" w:cs="黑体"/>
          <w:szCs w:val="32"/>
        </w:rPr>
        <w:t>十二、 政府性基金预算财政拨款“三公”经费支出决算表</w:t>
      </w:r>
      <w:r>
        <w:tab/>
      </w:r>
      <w:r>
        <w:fldChar w:fldCharType="begin"/>
      </w:r>
      <w:r>
        <w:instrText xml:space="preserve"> PAGEREF _Toc32183 \h </w:instrText>
      </w:r>
      <w:r>
        <w:fldChar w:fldCharType="separate"/>
      </w:r>
      <w:r>
        <w:t>30</w:t>
      </w:r>
      <w:r>
        <w:fldChar w:fldCharType="end"/>
      </w:r>
      <w:r>
        <w:fldChar w:fldCharType="end"/>
      </w:r>
    </w:p>
    <w:p>
      <w:pPr>
        <w:pStyle w:val="12"/>
        <w:tabs>
          <w:tab w:val="right" w:leader="dot" w:pos="8306"/>
          <w:tab w:val="clear" w:pos="8296"/>
        </w:tabs>
      </w:pPr>
      <w:r>
        <w:fldChar w:fldCharType="begin"/>
      </w:r>
      <w:r>
        <w:instrText xml:space="preserve"> HYPERLINK \l _Toc28815 </w:instrText>
      </w:r>
      <w:r>
        <w:fldChar w:fldCharType="separate"/>
      </w:r>
      <w:r>
        <w:rPr>
          <w:rFonts w:hint="eastAsia" w:ascii="黑体" w:hAnsi="黑体" w:eastAsia="黑体" w:cs="黑体"/>
          <w:szCs w:val="32"/>
        </w:rPr>
        <w:t>十三、 国有资本经营预算</w:t>
      </w:r>
      <w:r>
        <w:rPr>
          <w:rFonts w:hint="eastAsia" w:ascii="黑体" w:hAnsi="黑体" w:eastAsia="黑体" w:cs="黑体"/>
          <w:szCs w:val="32"/>
          <w:lang w:eastAsia="zh-CN"/>
        </w:rPr>
        <w:t>财政拨款收入</w:t>
      </w:r>
      <w:r>
        <w:rPr>
          <w:rFonts w:hint="eastAsia" w:ascii="黑体" w:hAnsi="黑体" w:eastAsia="黑体" w:cs="黑体"/>
          <w:szCs w:val="32"/>
        </w:rPr>
        <w:t>支出决算表</w:t>
      </w:r>
      <w:r>
        <w:tab/>
      </w:r>
      <w:r>
        <w:fldChar w:fldCharType="begin"/>
      </w:r>
      <w:r>
        <w:instrText xml:space="preserve"> PAGEREF _Toc28815 \h </w:instrText>
      </w:r>
      <w:r>
        <w:fldChar w:fldCharType="separate"/>
      </w:r>
      <w:r>
        <w:t>31</w:t>
      </w:r>
      <w:r>
        <w:fldChar w:fldCharType="end"/>
      </w:r>
      <w:r>
        <w:fldChar w:fldCharType="end"/>
      </w:r>
    </w:p>
    <w:p>
      <w:pPr>
        <w:pStyle w:val="12"/>
        <w:tabs>
          <w:tab w:val="right" w:leader="dot" w:pos="8306"/>
          <w:tab w:val="clear" w:pos="8296"/>
        </w:tabs>
      </w:pPr>
      <w:r>
        <w:fldChar w:fldCharType="begin"/>
      </w:r>
      <w:r>
        <w:instrText xml:space="preserve"> HYPERLINK \l _Toc13155 </w:instrText>
      </w:r>
      <w:r>
        <w:fldChar w:fldCharType="separate"/>
      </w:r>
      <w:r>
        <w:rPr>
          <w:rFonts w:hint="eastAsia" w:ascii="黑体" w:hAnsi="黑体" w:eastAsia="黑体" w:cs="黑体"/>
          <w:szCs w:val="32"/>
          <w:lang w:val="en-US" w:eastAsia="zh-CN"/>
        </w:rPr>
        <w:t>十四、 国有资本经营预算财政拨款支出决算表</w:t>
      </w:r>
      <w:r>
        <w:tab/>
      </w:r>
      <w:r>
        <w:fldChar w:fldCharType="begin"/>
      </w:r>
      <w:r>
        <w:instrText xml:space="preserve"> PAGEREF _Toc13155 \h </w:instrText>
      </w:r>
      <w:r>
        <w:fldChar w:fldCharType="separate"/>
      </w:r>
      <w:r>
        <w:t>32</w:t>
      </w:r>
      <w:r>
        <w:fldChar w:fldCharType="end"/>
      </w:r>
      <w:r>
        <w:fldChar w:fldCharType="end"/>
      </w:r>
    </w:p>
    <w:p>
      <w:r>
        <w:fldChar w:fldCharType="end"/>
      </w:r>
    </w:p>
    <w:p>
      <w:pPr>
        <w:pStyle w:val="3"/>
        <w:jc w:val="both"/>
        <w:outlineLvl w:val="0"/>
        <w:rPr>
          <w:rFonts w:hint="eastAsia" w:ascii="Times New Roman" w:hAnsi="Times New Roman" w:eastAsia="黑体" w:cs="Times New Roman"/>
          <w:b w:val="0"/>
          <w:color w:val="auto"/>
        </w:rPr>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pPr>
      <w:bookmarkStart w:id="18" w:name="_Toc1656"/>
    </w:p>
    <w:p>
      <w:pPr>
        <w:pStyle w:val="3"/>
        <w:jc w:val="center"/>
        <w:outlineLvl w:val="0"/>
        <w:rPr>
          <w:rFonts w:hint="default" w:ascii="Times New Roman" w:hAnsi="Times New Roman" w:eastAsia="黑体" w:cs="Times New Roman"/>
          <w:b w:val="0"/>
          <w:color w:val="auto"/>
        </w:rPr>
      </w:pPr>
      <w:bookmarkStart w:id="19" w:name="_Toc4701"/>
      <w:r>
        <w:rPr>
          <w:rFonts w:hint="eastAsia" w:ascii="Times New Roman" w:hAnsi="Times New Roman" w:eastAsia="黑体" w:cs="Times New Roman"/>
          <w:b w:val="0"/>
          <w:color w:val="auto"/>
        </w:rPr>
        <w:t>第一部分</w:t>
      </w:r>
      <w:r>
        <w:rPr>
          <w:rFonts w:hint="default" w:ascii="Times New Roman" w:hAnsi="Times New Roman" w:eastAsia="黑体" w:cs="Times New Roman"/>
          <w:b w:val="0"/>
          <w:color w:val="auto"/>
        </w:rPr>
        <w:t xml:space="preserve"> </w:t>
      </w:r>
      <w:r>
        <w:rPr>
          <w:rFonts w:hint="eastAsia" w:ascii="Times New Roman" w:hAnsi="Times New Roman" w:eastAsia="黑体" w:cs="Times New Roman"/>
          <w:b w:val="0"/>
          <w:color w:val="auto"/>
          <w:lang w:eastAsia="zh-CN"/>
        </w:rPr>
        <w:t>单位</w:t>
      </w:r>
      <w:r>
        <w:rPr>
          <w:rFonts w:hint="eastAsia" w:ascii="Times New Roman" w:hAnsi="Times New Roman" w:eastAsia="黑体" w:cs="Times New Roman"/>
          <w:b w:val="0"/>
          <w:color w:val="auto"/>
        </w:rPr>
        <w:t>概况</w:t>
      </w:r>
      <w:bookmarkEnd w:id="18"/>
      <w:bookmarkEnd w:id="19"/>
    </w:p>
    <w:p>
      <w:pPr>
        <w:pStyle w:val="12"/>
        <w:adjustRightInd w:val="0"/>
        <w:snapToGrid w:val="0"/>
        <w:spacing w:line="440" w:lineRule="exact"/>
        <w:jc w:val="left"/>
        <w:outlineLvl w:val="1"/>
        <w:rPr>
          <w:rFonts w:hint="eastAsia" w:ascii="Times New Roman" w:hAnsi="Times New Roman" w:eastAsia="黑体" w:cs="Times New Roman"/>
          <w:b w:val="0"/>
          <w:bCs/>
          <w:color w:val="auto"/>
          <w:kern w:val="2"/>
          <w:sz w:val="32"/>
          <w:szCs w:val="32"/>
          <w:lang w:val="en-US" w:eastAsia="zh-CN" w:bidi="ar-SA"/>
        </w:rPr>
      </w:pPr>
      <w:bookmarkStart w:id="20" w:name="_Toc32280"/>
      <w:r>
        <w:rPr>
          <w:rFonts w:hint="eastAsia" w:ascii="Times New Roman" w:hAnsi="Times New Roman" w:eastAsia="黑体" w:cs="Times New Roman"/>
          <w:b w:val="0"/>
          <w:bCs/>
          <w:color w:val="auto"/>
          <w:kern w:val="2"/>
          <w:sz w:val="32"/>
          <w:szCs w:val="32"/>
          <w:lang w:val="en-US" w:eastAsia="zh-CN" w:bidi="ar-SA"/>
        </w:rPr>
        <w:t>一、职能简介</w:t>
      </w:r>
      <w:bookmarkEnd w:id="20"/>
    </w:p>
    <w:p>
      <w:pPr>
        <w:ind w:firstLine="800" w:firstLineChars="25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川尼众佛学院是根据《国务院办公厅转发国务院宗教事务局关于开办宗教院校的请示的通知》（国办发[1982]60号）和《四川省人民政府关于同意开办四所宗教院校的批复》（川府函[1983]14号）等有关文件精神开办，面向全国正式招生，学制四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培养佛教比丘尼中级、高级人员。2020年四川尼众佛学院有法师15人，外聘教师5人，在编职工3人，退休1人，在校生130人。</w:t>
      </w:r>
    </w:p>
    <w:p>
      <w:pPr>
        <w:rPr>
          <w:rFonts w:hint="eastAsia"/>
          <w:lang w:eastAsia="zh-CN"/>
        </w:rPr>
      </w:pPr>
    </w:p>
    <w:p>
      <w:pPr>
        <w:pStyle w:val="12"/>
        <w:adjustRightInd w:val="0"/>
        <w:snapToGrid w:val="0"/>
        <w:spacing w:line="440" w:lineRule="exact"/>
        <w:jc w:val="left"/>
        <w:outlineLvl w:val="1"/>
        <w:rPr>
          <w:rFonts w:hint="eastAsia" w:ascii="Times New Roman" w:hAnsi="Times New Roman" w:eastAsia="黑体" w:cs="Times New Roman"/>
          <w:b w:val="0"/>
          <w:bCs/>
          <w:color w:val="auto"/>
          <w:kern w:val="2"/>
          <w:sz w:val="32"/>
          <w:szCs w:val="32"/>
          <w:lang w:val="en-US" w:eastAsia="zh-CN" w:bidi="ar-SA"/>
        </w:rPr>
      </w:pPr>
      <w:bookmarkStart w:id="21" w:name="_Toc27646"/>
      <w:r>
        <w:rPr>
          <w:rFonts w:hint="eastAsia" w:ascii="Times New Roman" w:hAnsi="Times New Roman" w:eastAsia="黑体" w:cs="Times New Roman"/>
          <w:b w:val="0"/>
          <w:bCs/>
          <w:color w:val="auto"/>
          <w:kern w:val="2"/>
          <w:sz w:val="32"/>
          <w:szCs w:val="32"/>
          <w:lang w:val="en-US" w:eastAsia="zh-CN" w:bidi="ar-SA"/>
        </w:rPr>
        <w:t>二、2020年重点工作完成情况</w:t>
      </w:r>
      <w:bookmarkEnd w:id="21"/>
    </w:p>
    <w:p>
      <w:pPr>
        <w:ind w:firstLine="640" w:firstLineChars="200"/>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2020年，我院严格按照年初工作计划安排，严格落实省委统战部、省民宗委的部署安排，认真落实各项工作任务： </w:t>
      </w:r>
    </w:p>
    <w:p>
      <w:pPr>
        <w:spacing w:line="360" w:lineRule="auto"/>
        <w:ind w:firstLine="633" w:firstLineChars="198"/>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（一）认真落实疫情防控工作。</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严格落实疫情防控工作相关要求。1.召开专题会议。学院院务会及时就防控措施等事项召开专题会议，就我院实际情况部署安排防控工作，制定防控措施。2.做好疫情防控相关物质的储备。3.严格进行安全排查。4.落实院校彻底消杀。5.严格落实师生健康日报制度。</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二是及时调整学院重点工作及教学教务计划。专题研究部署疫情影响下的教学调整工作，重新安排部署并认真落实2020届毕业生工作。</w:t>
      </w:r>
    </w:p>
    <w:p>
      <w:pPr>
        <w:spacing w:line="360" w:lineRule="auto"/>
        <w:ind w:firstLine="633" w:firstLineChars="198"/>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（二）认真落实思想政治、公共课及各项教学教务任务。</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切实加强公共课建设，完善公共课课程体系。1.组织公共课教师做好复课前准备，特别是做好拟定教学计划和备课的准备，并加强督促和审核。2.按照国、省《宗教院校五年规划》要求增开《毛泽东思想和中国特色社会主义理论体系概论》《中国近现代史纲要》等课程，并自秋季学期起严格落实教学及相关任务。</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加强思想政治课建设，提高教学质量。1.健全完善思政政治课的课程设置和分班教学计划，并立即于2020年秋季学期予以落实。2.进一步建立健全思想政治课教学大纲及教学教案的管理制度，并定期予以集中梳理完善、严格审核。3.进一步加强课程效果的巩固和转化。积极将课程集中教学内容与学院的各项活动结合在一起，邀请专家讲授专题讲座。4.认真抓好十九届四中全会以及省委十一届六次全会、十九届五中全会精神等时事政治内容的学习。</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从严把握在思想政治在入学考试中的考核力度。加强本科及研究生入学考试中思想政治科目的考核力度，专题考核，特别是对于国内外重大时政、党和政府的重大方针政策及相关的法律法规等进行了考核，并设置合格分数线，未达者不予录取。</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（三）切实突出工作重点、抓好重点工作任务</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是加强新修订的《四川省宗教事务条例》宣传教育，积极落实“法治四川行”及法律进学院等相关活动。1.积极利用思想政治课集中教学安排，先后专题讲授《宪法》《民法典》《四川省宗教事务条例》基本知识等相关内容。2.丰富宣传形式和宣传载体，通过集中教学、学院展板、知识竞赛、公众号等形式进行宣传，并邀请专业律师为全院师生讲授《民法典》专题讲座，巩固宣传成果。</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是认真开展爱国主义主题教育活动。认真贯彻落实国、省《宗教院校五年规划》中有关丰富爱国主义主题教育活动形式的相关要求并于11月17日，组织全体师僧赴四川省蒲江县成都战役纪念馆开展“缅怀革命先烈”爱国主义教育活动。</w:t>
      </w:r>
    </w:p>
    <w:p>
      <w:pPr>
        <w:spacing w:line="360" w:lineRule="auto"/>
        <w:ind w:firstLine="633" w:firstLineChars="198"/>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是加强对新生的入学教育。开展为期一周的以“玉汝于成，慧灯无尽”为主题的“四川尼众佛学院2020新生入学成长营”，从我院的办学历史、教育理念、课程体系、师资构建、校纪校规等方面为新同学做了详尽的讲解，并就日常行住坐卧威仪等僧人必修课为新同学进行了示范，使她们尽快适应学院生活。</w:t>
      </w:r>
    </w:p>
    <w:p>
      <w:pPr>
        <w:pStyle w:val="2"/>
        <w:numPr>
          <w:numId w:val="0"/>
        </w:numPr>
        <w:outlineLvl w:val="1"/>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    </w:t>
      </w:r>
      <w:bookmarkStart w:id="22" w:name="_Toc7671"/>
      <w:r>
        <w:rPr>
          <w:rFonts w:hint="eastAsia" w:ascii="黑体" w:hAnsi="黑体" w:eastAsia="黑体" w:cs="黑体"/>
          <w:color w:val="000000"/>
          <w:sz w:val="32"/>
          <w:szCs w:val="32"/>
          <w:lang w:val="en-US" w:eastAsia="zh-CN"/>
        </w:rPr>
        <w:t>三、机构设置情况</w:t>
      </w:r>
      <w:bookmarkEnd w:id="22"/>
    </w:p>
    <w:p>
      <w:pPr>
        <w:numPr>
          <w:numId w:val="0"/>
        </w:numPr>
        <w:rPr>
          <w:rFonts w:hint="default" w:ascii="仿宋_GB2312" w:hAnsi="仿宋_GB2312" w:eastAsia="仿宋_GB2312" w:cs="仿宋_GB2312"/>
          <w:color w:val="000000"/>
          <w:sz w:val="32"/>
          <w:szCs w:val="32"/>
          <w:lang w:val="en-US" w:eastAsia="zh-CN"/>
        </w:rPr>
      </w:pPr>
      <w:r>
        <w:rPr>
          <w:rFonts w:hint="eastAsia"/>
          <w:lang w:val="en-US" w:eastAsia="zh-CN"/>
        </w:rPr>
        <w:t xml:space="preserve">   </w:t>
      </w:r>
      <w:r>
        <w:rPr>
          <w:rFonts w:hint="eastAsia" w:ascii="仿宋_GB2312" w:hAnsi="仿宋_GB2312" w:eastAsia="仿宋_GB2312" w:cs="仿宋_GB2312"/>
          <w:color w:val="000000"/>
          <w:sz w:val="32"/>
          <w:szCs w:val="32"/>
          <w:lang w:val="en-US" w:eastAsia="zh-CN"/>
        </w:rPr>
        <w:t xml:space="preserve">  本单位无内设机构。</w:t>
      </w:r>
      <w:bookmarkStart w:id="58" w:name="_GoBack"/>
      <w:bookmarkEnd w:id="58"/>
    </w:p>
    <w:p>
      <w:pPr>
        <w:pStyle w:val="3"/>
        <w:ind w:right="440"/>
        <w:jc w:val="right"/>
        <w:outlineLvl w:val="0"/>
        <w:rPr>
          <w:rStyle w:val="26"/>
          <w:rFonts w:hint="default" w:ascii="Times New Roman" w:hAnsi="Times New Roman" w:eastAsia="黑体" w:cs="Times New Roman"/>
          <w:b w:val="0"/>
          <w:bCs w:val="0"/>
          <w:color w:val="auto"/>
        </w:rPr>
      </w:pPr>
      <w:bookmarkStart w:id="23" w:name="_Toc5785"/>
      <w:bookmarkStart w:id="24" w:name="_Toc10299"/>
      <w:r>
        <w:rPr>
          <w:rStyle w:val="26"/>
          <w:rFonts w:hint="eastAsia" w:ascii="Times New Roman" w:hAnsi="Times New Roman" w:eastAsia="黑体" w:cs="Times New Roman"/>
          <w:b w:val="0"/>
          <w:bCs w:val="0"/>
          <w:color w:val="auto"/>
        </w:rPr>
        <w:t>第二部分</w:t>
      </w:r>
      <w:r>
        <w:rPr>
          <w:rStyle w:val="26"/>
          <w:rFonts w:hint="eastAsia" w:ascii="Times New Roman" w:hAnsi="Times New Roman" w:eastAsia="黑体" w:cs="Times New Roman"/>
          <w:b w:val="0"/>
          <w:bCs w:val="0"/>
          <w:color w:val="auto"/>
          <w:lang w:val="en-US" w:eastAsia="zh-CN"/>
        </w:rPr>
        <w:t xml:space="preserve"> 2020年度</w:t>
      </w:r>
      <w:r>
        <w:rPr>
          <w:rStyle w:val="26"/>
          <w:rFonts w:hint="eastAsia" w:ascii="Times New Roman" w:hAnsi="Times New Roman" w:eastAsia="黑体" w:cs="Times New Roman"/>
          <w:b w:val="0"/>
          <w:bCs w:val="0"/>
          <w:color w:val="auto"/>
        </w:rPr>
        <w:t>部门决算情况说明</w:t>
      </w:r>
      <w:bookmarkEnd w:id="23"/>
      <w:bookmarkEnd w:id="24"/>
    </w:p>
    <w:p>
      <w:pPr>
        <w:pStyle w:val="12"/>
        <w:adjustRightInd w:val="0"/>
        <w:snapToGrid w:val="0"/>
        <w:spacing w:line="440" w:lineRule="exact"/>
        <w:jc w:val="left"/>
        <w:outlineLvl w:val="1"/>
        <w:rPr>
          <w:rFonts w:hint="eastAsia" w:ascii="黑体" w:hAnsi="黑体" w:eastAsia="黑体" w:cs="黑体"/>
          <w:sz w:val="32"/>
          <w:szCs w:val="32"/>
        </w:rPr>
      </w:pPr>
      <w:bookmarkStart w:id="25" w:name="_Toc12116"/>
      <w:r>
        <w:rPr>
          <w:rFonts w:hint="eastAsia" w:ascii="黑体" w:hAnsi="黑体" w:eastAsia="黑体" w:cs="黑体"/>
          <w:sz w:val="32"/>
          <w:szCs w:val="32"/>
        </w:rPr>
        <w:t>一、收入支出决算总体情况说明</w:t>
      </w:r>
      <w:bookmarkEnd w:id="25"/>
    </w:p>
    <w:p>
      <w:pPr>
        <w:spacing w:line="600" w:lineRule="exact"/>
        <w:ind w:firstLine="640" w:firstLineChars="200"/>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年度收、支总计</w:t>
      </w:r>
      <w:r>
        <w:rPr>
          <w:rFonts w:hint="eastAsia" w:eastAsia="仿宋_GB2312" w:cs="Times New Roman"/>
          <w:color w:val="auto"/>
          <w:sz w:val="32"/>
          <w:szCs w:val="32"/>
          <w:lang w:val="en-US" w:eastAsia="zh-CN"/>
        </w:rPr>
        <w:t>313.18</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年相比，收、支总计</w:t>
      </w:r>
      <w:r>
        <w:rPr>
          <w:rFonts w:hint="eastAsia" w:eastAsia="仿宋_GB2312" w:cs="Times New Roman"/>
          <w:color w:val="auto"/>
          <w:sz w:val="32"/>
          <w:szCs w:val="32"/>
          <w:lang w:eastAsia="zh-CN"/>
        </w:rPr>
        <w:t>共</w:t>
      </w:r>
      <w:r>
        <w:rPr>
          <w:rFonts w:hint="default" w:ascii="Times New Roman" w:hAnsi="Times New Roman" w:eastAsia="仿宋_GB2312" w:cs="Times New Roman"/>
          <w:color w:val="auto"/>
          <w:sz w:val="32"/>
          <w:szCs w:val="32"/>
        </w:rPr>
        <w:t>减少</w:t>
      </w:r>
      <w:r>
        <w:rPr>
          <w:rFonts w:hint="eastAsia" w:eastAsia="仿宋_GB2312" w:cs="Times New Roman"/>
          <w:color w:val="auto"/>
          <w:sz w:val="32"/>
          <w:szCs w:val="32"/>
          <w:lang w:val="en-US" w:eastAsia="zh-CN"/>
        </w:rPr>
        <w:t>8.41</w:t>
      </w:r>
      <w:r>
        <w:rPr>
          <w:rFonts w:hint="default" w:ascii="Times New Roman" w:hAnsi="Times New Roman" w:eastAsia="仿宋_GB2312" w:cs="Times New Roman"/>
          <w:color w:val="auto"/>
          <w:sz w:val="32"/>
          <w:szCs w:val="32"/>
        </w:rPr>
        <w:t>万元，下降</w:t>
      </w:r>
      <w:r>
        <w:rPr>
          <w:rFonts w:hint="eastAsia" w:eastAsia="仿宋_GB2312" w:cs="Times New Roman"/>
          <w:color w:val="auto"/>
          <w:sz w:val="32"/>
          <w:szCs w:val="32"/>
          <w:lang w:val="en-US" w:eastAsia="zh-CN"/>
        </w:rPr>
        <w:t>2.7</w:t>
      </w:r>
      <w:r>
        <w:rPr>
          <w:rFonts w:hint="default" w:ascii="Times New Roman" w:hAnsi="Times New Roman" w:eastAsia="仿宋_GB2312" w:cs="Times New Roman"/>
          <w:color w:val="auto"/>
          <w:sz w:val="32"/>
          <w:szCs w:val="32"/>
        </w:rPr>
        <w:t>%。主要变动原因是</w:t>
      </w:r>
      <w:r>
        <w:rPr>
          <w:rFonts w:hint="default" w:ascii="Times New Roman" w:hAnsi="Times New Roman" w:eastAsia="仿宋_GB2312" w:cs="Times New Roman"/>
          <w:color w:val="auto"/>
          <w:sz w:val="32"/>
          <w:szCs w:val="32"/>
          <w:lang w:val="en-US" w:eastAsia="zh-CN"/>
        </w:rPr>
        <w:t>按照</w:t>
      </w:r>
      <w:r>
        <w:rPr>
          <w:rFonts w:hint="eastAsia" w:eastAsia="仿宋_GB2312" w:cs="Times New Roman"/>
          <w:color w:val="auto"/>
          <w:sz w:val="32"/>
          <w:szCs w:val="32"/>
          <w:lang w:val="en-US" w:eastAsia="zh-CN"/>
        </w:rPr>
        <w:t>“两暂停一延迟”</w:t>
      </w:r>
      <w:r>
        <w:rPr>
          <w:rFonts w:hint="default" w:ascii="Times New Roman" w:hAnsi="Times New Roman" w:eastAsia="仿宋_GB2312" w:cs="Times New Roman"/>
          <w:color w:val="auto"/>
          <w:sz w:val="32"/>
          <w:szCs w:val="32"/>
          <w:lang w:val="en-US" w:eastAsia="zh-CN"/>
        </w:rPr>
        <w:t>疫情防控要求，</w:t>
      </w:r>
      <w:r>
        <w:rPr>
          <w:rFonts w:hint="eastAsia" w:eastAsia="仿宋_GB2312" w:cs="Times New Roman"/>
          <w:color w:val="auto"/>
          <w:sz w:val="32"/>
          <w:szCs w:val="32"/>
          <w:lang w:val="en-US" w:eastAsia="zh-CN"/>
        </w:rPr>
        <w:t>暂停教学活动，延缓开学，课时费支出减少</w:t>
      </w:r>
      <w:r>
        <w:rPr>
          <w:rFonts w:hint="default" w:ascii="Times New Roman" w:hAnsi="Times New Roman" w:eastAsia="仿宋_GB2312" w:cs="Times New Roman"/>
          <w:color w:val="auto"/>
          <w:sz w:val="32"/>
          <w:szCs w:val="32"/>
          <w:lang w:val="en-US" w:eastAsia="zh-CN"/>
        </w:rPr>
        <w:t>。</w:t>
      </w:r>
    </w:p>
    <w:p>
      <w:r>
        <mc:AlternateContent>
          <mc:Choice Requires="wps">
            <w:drawing>
              <wp:anchor distT="0" distB="0" distL="114300" distR="114300" simplePos="0" relativeHeight="251660288" behindDoc="0" locked="0" layoutInCell="1" allowOverlap="1">
                <wp:simplePos x="0" y="0"/>
                <wp:positionH relativeFrom="column">
                  <wp:posOffset>4219575</wp:posOffset>
                </wp:positionH>
                <wp:positionV relativeFrom="paragraph">
                  <wp:posOffset>209550</wp:posOffset>
                </wp:positionV>
                <wp:extent cx="761365" cy="334010"/>
                <wp:effectExtent l="0" t="0" r="635" b="8890"/>
                <wp:wrapNone/>
                <wp:docPr id="4" name="文本框 3"/>
                <wp:cNvGraphicFramePr/>
                <a:graphic xmlns:a="http://schemas.openxmlformats.org/drawingml/2006/main">
                  <a:graphicData uri="http://schemas.microsoft.com/office/word/2010/wordprocessingShape">
                    <wps:wsp>
                      <wps:cNvSpPr txBox="1"/>
                      <wps:spPr>
                        <a:xfrm>
                          <a:off x="0" y="0"/>
                          <a:ext cx="761365" cy="3340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13"/>
                              <w:kinsoku/>
                              <w:ind w:left="0"/>
                              <w:jc w:val="left"/>
                            </w:pPr>
                            <w:r>
                              <w:rPr>
                                <w:rFonts w:asciiTheme="minorAscii" w:hAnsiTheme="minorBidi" w:eastAsiaTheme="minorEastAsia"/>
                                <w:color w:val="000000" w:themeColor="dark1"/>
                                <w:kern w:val="24"/>
                                <w:sz w:val="18"/>
                                <w:szCs w:val="18"/>
                                <w14:textFill>
                                  <w14:solidFill>
                                    <w14:schemeClr w14:val="dk1"/>
                                  </w14:solidFill>
                                </w14:textFill>
                              </w:rPr>
                              <w:t>单位：万元</w:t>
                            </w:r>
                          </w:p>
                        </w:txbxContent>
                      </wps:txbx>
                      <wps:bodyPr vertOverflow="clip" horzOverflow="clip" wrap="square" rtlCol="0" anchor="t"/>
                    </wps:wsp>
                  </a:graphicData>
                </a:graphic>
              </wp:anchor>
            </w:drawing>
          </mc:Choice>
          <mc:Fallback>
            <w:pict>
              <v:shape id="文本框 3" o:spid="_x0000_s1026" o:spt="202" type="#_x0000_t202" style="position:absolute;left:0pt;margin-left:332.25pt;margin-top:16.5pt;height:26.3pt;width:59.95pt;z-index:251660288;mso-width-relative:page;mso-height-relative:page;" filled="f" stroked="f" coordsize="21600,21600" o:gfxdata="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Dk7pO1wAAAAkBAAAPAAAAAAAA&#10;AAEAIAAAACIAAABkcnMvZG93bnJldi54bWxQSwECFAAUAAAACACHTuJAEXbng9oBAAChAwAADgAA&#10;AAAAAAABACAAAAAmAQAAZHJzL2Uyb0RvYy54bWxQSwUGAAAAAAYABgBZAQAAcgUAAAAA&#10;">
                <v:fill on="f" focussize="0,0"/>
                <v:stroke on="f"/>
                <v:imagedata o:title=""/>
                <o:lock v:ext="edit" aspectratio="f"/>
                <v:textbox>
                  <w:txbxContent>
                    <w:p>
                      <w:pPr>
                        <w:pStyle w:val="13"/>
                        <w:kinsoku/>
                        <w:ind w:left="0"/>
                        <w:jc w:val="left"/>
                      </w:pPr>
                      <w:r>
                        <w:rPr>
                          <w:rFonts w:asciiTheme="minorAscii" w:hAnsiTheme="minorBidi" w:eastAsiaTheme="minorEastAsia"/>
                          <w:color w:val="000000" w:themeColor="dark1"/>
                          <w:kern w:val="24"/>
                          <w:sz w:val="18"/>
                          <w:szCs w:val="18"/>
                          <w14:textFill>
                            <w14:solidFill>
                              <w14:schemeClr w14:val="dk1"/>
                            </w14:solidFill>
                          </w14:textFill>
                        </w:rPr>
                        <w:t>单位：万元</w:t>
                      </w:r>
                    </w:p>
                  </w:txbxContent>
                </v:textbox>
              </v:shape>
            </w:pict>
          </mc:Fallback>
        </mc:AlternateContent>
      </w:r>
      <w:r>
        <w:rPr>
          <w:rFonts w:hint="eastAsia"/>
          <w:lang w:val="en-US" w:eastAsia="zh-CN"/>
        </w:rPr>
        <w:t xml:space="preserve">      </w:t>
      </w:r>
      <w:r>
        <w:drawing>
          <wp:inline distT="0" distB="0" distL="114300" distR="114300">
            <wp:extent cx="4572000" cy="2743200"/>
            <wp:effectExtent l="4445" t="4445" r="14605" b="14605"/>
            <wp:docPr id="2" name="图表 1" descr="7b0a202020202263686172745265734964223a2022383733373033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pPr>
        <w:pStyle w:val="12"/>
        <w:numPr>
          <w:ilvl w:val="0"/>
          <w:numId w:val="1"/>
        </w:numPr>
        <w:adjustRightInd w:val="0"/>
        <w:snapToGrid w:val="0"/>
        <w:spacing w:line="440" w:lineRule="exact"/>
        <w:jc w:val="left"/>
        <w:outlineLvl w:val="1"/>
        <w:rPr>
          <w:rFonts w:hint="eastAsia" w:ascii="黑体" w:hAnsi="黑体" w:eastAsia="黑体" w:cs="黑体"/>
          <w:sz w:val="32"/>
          <w:szCs w:val="32"/>
        </w:rPr>
      </w:pPr>
      <w:bookmarkStart w:id="26" w:name="_Toc21774"/>
      <w:r>
        <w:rPr>
          <w:rFonts w:hint="eastAsia" w:ascii="黑体" w:hAnsi="黑体" w:eastAsia="黑体" w:cs="黑体"/>
          <w:sz w:val="32"/>
          <w:szCs w:val="32"/>
        </w:rPr>
        <w:t>收入决算情况说明</w:t>
      </w:r>
      <w:bookmarkEnd w:id="26"/>
    </w:p>
    <w:p>
      <w:pPr>
        <w:spacing w:line="600" w:lineRule="exact"/>
        <w:ind w:firstLine="560" w:firstLineChars="200"/>
        <w:outlineLvl w:val="9"/>
        <w:rPr>
          <w:rFonts w:hint="default" w:ascii="Times New Roman" w:hAnsi="Times New Roman" w:eastAsia="仿宋_GB2312" w:cs="Times New Roman"/>
          <w:color w:val="auto"/>
          <w:sz w:val="32"/>
          <w:szCs w:val="32"/>
        </w:rPr>
      </w:pPr>
      <w:bookmarkStart w:id="27" w:name="_Toc23102"/>
      <w:r>
        <w:rPr>
          <w:rFonts w:hint="eastAsia" w:asciiTheme="minorEastAsia" w:hAnsiTheme="minorEastAsia" w:eastAsiaTheme="minorEastAsia"/>
          <w:sz w:val="28"/>
          <w:szCs w:val="28"/>
        </w:rPr>
        <w:t>2020年</w:t>
      </w:r>
      <w:r>
        <w:rPr>
          <w:rFonts w:hint="eastAsia" w:asciiTheme="minorEastAsia" w:hAnsiTheme="minorEastAsia" w:eastAsiaTheme="minorEastAsia"/>
          <w:sz w:val="28"/>
          <w:szCs w:val="28"/>
          <w:lang w:eastAsia="zh-CN"/>
        </w:rPr>
        <w:t>本年</w:t>
      </w:r>
      <w:r>
        <w:rPr>
          <w:rFonts w:hint="eastAsia" w:asciiTheme="minorEastAsia" w:hAnsiTheme="minorEastAsia" w:eastAsiaTheme="minorEastAsia"/>
          <w:sz w:val="28"/>
          <w:szCs w:val="28"/>
        </w:rPr>
        <w:t>收入</w:t>
      </w:r>
      <w:r>
        <w:rPr>
          <w:rFonts w:hint="eastAsia" w:asciiTheme="minorEastAsia" w:hAnsiTheme="minorEastAsia" w:eastAsiaTheme="minorEastAsia"/>
          <w:sz w:val="28"/>
          <w:szCs w:val="28"/>
          <w:lang w:eastAsia="zh-CN"/>
        </w:rPr>
        <w:t>合计</w:t>
      </w:r>
      <w:r>
        <w:rPr>
          <w:rFonts w:hint="eastAsia" w:asciiTheme="minorEastAsia" w:hAnsiTheme="minorEastAsia" w:eastAsiaTheme="minorEastAsia"/>
          <w:sz w:val="28"/>
          <w:szCs w:val="28"/>
          <w:lang w:val="en-US" w:eastAsia="zh-CN"/>
        </w:rPr>
        <w:t>154.24</w:t>
      </w:r>
      <w:r>
        <w:rPr>
          <w:rFonts w:hint="eastAsia" w:asciiTheme="minorEastAsia" w:hAnsiTheme="minorEastAsia" w:eastAsiaTheme="minorEastAsia"/>
          <w:sz w:val="28"/>
          <w:szCs w:val="28"/>
          <w:lang w:eastAsia="zh-CN"/>
        </w:rPr>
        <w:t>万</w:t>
      </w:r>
      <w:r>
        <w:rPr>
          <w:rFonts w:hint="eastAsia" w:asciiTheme="minorEastAsia" w:hAnsiTheme="minorEastAsia" w:eastAsiaTheme="minorEastAsia"/>
          <w:sz w:val="28"/>
          <w:szCs w:val="28"/>
        </w:rPr>
        <w:t>元</w:t>
      </w:r>
      <w:r>
        <w:rPr>
          <w:rFonts w:hint="eastAsia" w:asciiTheme="minorEastAsia" w:hAnsiTheme="minorEastAsia" w:eastAsiaTheme="minorEastAsia"/>
          <w:sz w:val="28"/>
          <w:szCs w:val="28"/>
          <w:lang w:eastAsia="zh-CN"/>
        </w:rPr>
        <w:t>，</w:t>
      </w:r>
      <w:r>
        <w:rPr>
          <w:rFonts w:hint="default" w:ascii="Times New Roman" w:hAnsi="Times New Roman" w:eastAsia="仿宋_GB2312" w:cs="Times New Roman"/>
          <w:color w:val="auto"/>
          <w:sz w:val="32"/>
          <w:szCs w:val="32"/>
        </w:rPr>
        <w:t>其中：一般公共预算财政拨款收入</w:t>
      </w:r>
      <w:r>
        <w:rPr>
          <w:rFonts w:hint="eastAsia" w:eastAsia="仿宋_GB2312" w:cs="Times New Roman"/>
          <w:color w:val="auto"/>
          <w:sz w:val="32"/>
          <w:szCs w:val="32"/>
          <w:lang w:val="en-US" w:eastAsia="zh-CN"/>
        </w:rPr>
        <w:t>105.78</w:t>
      </w:r>
      <w:r>
        <w:rPr>
          <w:rFonts w:hint="eastAsia" w:asciiTheme="minorEastAsia" w:hAnsiTheme="minorEastAsia" w:eastAsiaTheme="minorEastAsia"/>
          <w:sz w:val="28"/>
          <w:szCs w:val="28"/>
          <w:lang w:eastAsia="zh-CN"/>
        </w:rPr>
        <w:t>万</w:t>
      </w:r>
      <w:r>
        <w:rPr>
          <w:rFonts w:hint="eastAsia" w:asciiTheme="minorEastAsia" w:hAnsiTheme="minorEastAsia" w:eastAsiaTheme="minorEastAsia"/>
          <w:sz w:val="28"/>
          <w:szCs w:val="28"/>
        </w:rPr>
        <w:t>元</w:t>
      </w:r>
      <w:r>
        <w:rPr>
          <w:rFonts w:hint="default" w:ascii="Times New Roman" w:hAnsi="Times New Roman" w:eastAsia="仿宋_GB2312" w:cs="Times New Roman"/>
          <w:color w:val="auto"/>
          <w:sz w:val="32"/>
          <w:szCs w:val="32"/>
        </w:rPr>
        <w:t>，占</w:t>
      </w:r>
      <w:r>
        <w:rPr>
          <w:rFonts w:hint="eastAsia" w:eastAsia="仿宋_GB2312" w:cs="Times New Roman"/>
          <w:color w:val="auto"/>
          <w:sz w:val="32"/>
          <w:szCs w:val="32"/>
          <w:lang w:val="en-US" w:eastAsia="zh-CN"/>
        </w:rPr>
        <w:t>68.58</w:t>
      </w:r>
      <w:r>
        <w:rPr>
          <w:rFonts w:hint="default" w:ascii="Times New Roman" w:hAnsi="Times New Roman" w:eastAsia="仿宋_GB2312" w:cs="Times New Roman"/>
          <w:color w:val="auto"/>
          <w:sz w:val="32"/>
          <w:szCs w:val="32"/>
        </w:rPr>
        <w:t>%；政府性基金预算财政拨款收入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%；上级补助收入</w:t>
      </w:r>
      <w:r>
        <w:rPr>
          <w:rFonts w:hint="eastAsia" w:eastAsia="仿宋_GB2312" w:cs="Times New Roman"/>
          <w:color w:val="auto"/>
          <w:sz w:val="32"/>
          <w:szCs w:val="32"/>
          <w:lang w:val="en-US" w:eastAsia="zh-CN"/>
        </w:rPr>
        <w:t>48.38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31.37</w:t>
      </w:r>
      <w:r>
        <w:rPr>
          <w:rFonts w:hint="default" w:ascii="Times New Roman" w:hAnsi="Times New Roman" w:eastAsia="仿宋_GB2312" w:cs="Times New Roman"/>
          <w:color w:val="auto"/>
          <w:sz w:val="32"/>
          <w:szCs w:val="32"/>
        </w:rPr>
        <w:t>%；事业收入</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%；附属单位上缴收入</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%；其他收入</w:t>
      </w:r>
      <w:r>
        <w:rPr>
          <w:rFonts w:hint="eastAsia" w:eastAsia="仿宋_GB2312" w:cs="Times New Roman"/>
          <w:color w:val="auto"/>
          <w:sz w:val="32"/>
          <w:szCs w:val="32"/>
          <w:lang w:val="en-US" w:eastAsia="zh-CN"/>
        </w:rPr>
        <w:t>0.08</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0.05</w:t>
      </w:r>
      <w:r>
        <w:rPr>
          <w:rFonts w:hint="default" w:ascii="Times New Roman" w:hAnsi="Times New Roman" w:eastAsia="仿宋_GB2312" w:cs="Times New Roman"/>
          <w:color w:val="auto"/>
          <w:sz w:val="32"/>
          <w:szCs w:val="32"/>
        </w:rPr>
        <w:t>%。</w:t>
      </w:r>
      <w:bookmarkEnd w:id="27"/>
    </w:p>
    <w:p>
      <w:pPr>
        <w:numPr>
          <w:ilvl w:val="0"/>
          <w:numId w:val="0"/>
        </w:numPr>
        <w:rPr>
          <w:rFonts w:hint="default" w:eastAsia="宋体"/>
          <w:lang w:val="en-US" w:eastAsia="zh-CN"/>
        </w:rPr>
      </w:pPr>
      <w:r>
        <w:rPr>
          <w:rFonts w:hint="eastAsia"/>
          <w:lang w:val="en-US" w:eastAsia="zh-CN"/>
        </w:rPr>
        <w:t xml:space="preserve">    </w:t>
      </w:r>
      <w:r>
        <w:drawing>
          <wp:inline distT="0" distB="0" distL="114300" distR="114300">
            <wp:extent cx="4572000" cy="2743200"/>
            <wp:effectExtent l="4445" t="4445" r="14605" b="1460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pPr>
        <w:pStyle w:val="12"/>
        <w:numPr>
          <w:ilvl w:val="0"/>
          <w:numId w:val="1"/>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28" w:name="_Toc27838"/>
      <w:r>
        <w:rPr>
          <w:rFonts w:hint="eastAsia" w:ascii="黑体" w:hAnsi="黑体" w:eastAsia="黑体" w:cs="黑体"/>
          <w:sz w:val="32"/>
          <w:szCs w:val="32"/>
        </w:rPr>
        <w:t>支出决算情况说明</w:t>
      </w:r>
      <w:bookmarkEnd w:id="28"/>
    </w:p>
    <w:p>
      <w:pPr>
        <w:spacing w:line="600" w:lineRule="exact"/>
        <w:ind w:firstLine="640" w:firstLineChars="200"/>
        <w:outlineLvl w:val="9"/>
        <w:rPr>
          <w:rFonts w:hint="default"/>
        </w:rPr>
      </w:pPr>
      <w:bookmarkStart w:id="29" w:name="_Toc10599"/>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年本年支出合计</w:t>
      </w:r>
      <w:r>
        <w:rPr>
          <w:rFonts w:hint="eastAsia" w:eastAsia="仿宋_GB2312" w:cs="Times New Roman"/>
          <w:color w:val="auto"/>
          <w:sz w:val="32"/>
          <w:szCs w:val="32"/>
          <w:lang w:val="en-US" w:eastAsia="zh-CN"/>
        </w:rPr>
        <w:t>158.94</w:t>
      </w:r>
      <w:r>
        <w:rPr>
          <w:rFonts w:hint="default" w:ascii="Times New Roman" w:hAnsi="Times New Roman" w:eastAsia="仿宋_GB2312" w:cs="Times New Roman"/>
          <w:color w:val="auto"/>
          <w:sz w:val="32"/>
          <w:szCs w:val="32"/>
        </w:rPr>
        <w:t>万元，其中：基本支出</w:t>
      </w:r>
      <w:r>
        <w:rPr>
          <w:rFonts w:hint="eastAsia" w:eastAsia="仿宋_GB2312" w:cs="Times New Roman"/>
          <w:color w:val="auto"/>
          <w:sz w:val="32"/>
          <w:szCs w:val="32"/>
          <w:lang w:val="en-US" w:eastAsia="zh-CN"/>
        </w:rPr>
        <w:t>82.47</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51.89</w:t>
      </w:r>
      <w:r>
        <w:rPr>
          <w:rFonts w:hint="default" w:ascii="Times New Roman" w:hAnsi="Times New Roman" w:eastAsia="仿宋_GB2312" w:cs="Times New Roman"/>
          <w:color w:val="auto"/>
          <w:sz w:val="32"/>
          <w:szCs w:val="32"/>
        </w:rPr>
        <w:t>%；项目支出</w:t>
      </w:r>
      <w:r>
        <w:rPr>
          <w:rFonts w:hint="eastAsia" w:eastAsia="仿宋_GB2312" w:cs="Times New Roman"/>
          <w:color w:val="auto"/>
          <w:sz w:val="32"/>
          <w:szCs w:val="32"/>
          <w:lang w:val="en-US" w:eastAsia="zh-CN"/>
        </w:rPr>
        <w:t>76.47</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48.11</w:t>
      </w:r>
      <w:r>
        <w:rPr>
          <w:rFonts w:hint="default" w:ascii="Times New Roman" w:hAnsi="Times New Roman" w:eastAsia="仿宋_GB2312" w:cs="Times New Roman"/>
          <w:color w:val="auto"/>
          <w:sz w:val="32"/>
          <w:szCs w:val="32"/>
        </w:rPr>
        <w:t>%；上缴上级支出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%；经营支出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%；对附属单位补助支出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w:t>
      </w:r>
      <w:bookmarkEnd w:id="29"/>
    </w:p>
    <w:p>
      <w:pPr>
        <w:numPr>
          <w:ilvl w:val="0"/>
          <w:numId w:val="0"/>
        </w:numPr>
        <w:ind w:leftChars="200"/>
      </w:pPr>
      <w:r>
        <w:drawing>
          <wp:inline distT="0" distB="0" distL="114300" distR="114300">
            <wp:extent cx="4572000" cy="2743200"/>
            <wp:effectExtent l="4445" t="4445" r="14605" b="14605"/>
            <wp:docPr id="7"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pPr>
        <w:pStyle w:val="12"/>
        <w:numPr>
          <w:ilvl w:val="0"/>
          <w:numId w:val="1"/>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30" w:name="_Toc7489"/>
      <w:r>
        <w:rPr>
          <w:rFonts w:hint="eastAsia" w:ascii="黑体" w:hAnsi="黑体" w:eastAsia="黑体" w:cs="黑体"/>
          <w:sz w:val="32"/>
          <w:szCs w:val="32"/>
        </w:rPr>
        <w:t>财政拨款收入支出决算总体情况说明</w:t>
      </w:r>
      <w:bookmarkEnd w:id="30"/>
    </w:p>
    <w:p>
      <w:pPr>
        <w:spacing w:line="600" w:lineRule="exact"/>
        <w:ind w:firstLine="64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年财政拨款收、支总计</w:t>
      </w:r>
      <w:r>
        <w:rPr>
          <w:rFonts w:hint="eastAsia" w:eastAsia="仿宋_GB2312" w:cs="Times New Roman"/>
          <w:color w:val="auto"/>
          <w:sz w:val="32"/>
          <w:szCs w:val="32"/>
          <w:lang w:val="en-US" w:eastAsia="zh-CN"/>
        </w:rPr>
        <w:t>211.56</w:t>
      </w:r>
      <w:r>
        <w:rPr>
          <w:rFonts w:hint="default" w:ascii="Times New Roman" w:hAnsi="Times New Roman" w:eastAsia="仿宋_GB2312" w:cs="Times New Roman"/>
          <w:color w:val="auto"/>
          <w:sz w:val="32"/>
          <w:szCs w:val="32"/>
        </w:rPr>
        <w:t>万元。与201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年相比，财政拨款收、支总计</w:t>
      </w:r>
      <w:r>
        <w:rPr>
          <w:rFonts w:hint="eastAsia" w:eastAsia="仿宋_GB2312" w:cs="Times New Roman"/>
          <w:color w:val="auto"/>
          <w:sz w:val="32"/>
          <w:szCs w:val="32"/>
          <w:lang w:eastAsia="zh-CN"/>
        </w:rPr>
        <w:t>共增加</w:t>
      </w:r>
      <w:r>
        <w:rPr>
          <w:rFonts w:hint="eastAsia" w:eastAsia="仿宋_GB2312" w:cs="Times New Roman"/>
          <w:color w:val="auto"/>
          <w:sz w:val="32"/>
          <w:szCs w:val="32"/>
          <w:lang w:val="en-US" w:eastAsia="zh-CN"/>
        </w:rPr>
        <w:t>5.8</w:t>
      </w:r>
      <w:r>
        <w:rPr>
          <w:rFonts w:hint="default" w:ascii="Times New Roman" w:hAnsi="Times New Roman" w:eastAsia="仿宋_GB2312" w:cs="Times New Roman"/>
          <w:color w:val="auto"/>
          <w:sz w:val="32"/>
          <w:szCs w:val="32"/>
        </w:rPr>
        <w:t>万元，</w:t>
      </w:r>
      <w:r>
        <w:rPr>
          <w:rFonts w:hint="eastAsia" w:eastAsia="仿宋_GB2312" w:cs="Times New Roman"/>
          <w:color w:val="auto"/>
          <w:sz w:val="32"/>
          <w:szCs w:val="32"/>
          <w:lang w:eastAsia="zh-CN"/>
        </w:rPr>
        <w:t>上涨</w:t>
      </w:r>
      <w:r>
        <w:rPr>
          <w:rFonts w:hint="eastAsia" w:eastAsia="仿宋_GB2312" w:cs="Times New Roman"/>
          <w:color w:val="auto"/>
          <w:sz w:val="32"/>
          <w:szCs w:val="32"/>
          <w:lang w:val="en-US" w:eastAsia="zh-CN"/>
        </w:rPr>
        <w:t>2.74</w:t>
      </w:r>
      <w:r>
        <w:rPr>
          <w:rFonts w:hint="default" w:ascii="Times New Roman" w:hAnsi="Times New Roman" w:eastAsia="仿宋_GB2312" w:cs="Times New Roman"/>
          <w:color w:val="auto"/>
          <w:sz w:val="32"/>
          <w:szCs w:val="32"/>
        </w:rPr>
        <w:t>%。</w:t>
      </w:r>
    </w:p>
    <w:p>
      <w:pPr>
        <w:numPr>
          <w:ilvl w:val="0"/>
          <w:numId w:val="0"/>
        </w:numPr>
        <w:ind w:leftChars="200"/>
      </w:pPr>
      <w: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228600</wp:posOffset>
                </wp:positionV>
                <wp:extent cx="761365" cy="334010"/>
                <wp:effectExtent l="0" t="0" r="0" b="0"/>
                <wp:wrapNone/>
                <wp:docPr id="10" name="文本框 9"/>
                <wp:cNvGraphicFramePr/>
                <a:graphic xmlns:a="http://schemas.openxmlformats.org/drawingml/2006/main">
                  <a:graphicData uri="http://schemas.microsoft.com/office/word/2010/wordprocessingShape">
                    <wps:wsp>
                      <wps:cNvSpPr txBox="1"/>
                      <wps:spPr>
                        <a:xfrm>
                          <a:off x="0" y="0"/>
                          <a:ext cx="761365" cy="33401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pPr>
                              <w:pStyle w:val="13"/>
                              <w:kinsoku/>
                              <w:ind w:left="0"/>
                              <w:jc w:val="left"/>
                            </w:pPr>
                            <w:r>
                              <w:rPr>
                                <w:rFonts w:ascii="Calibri" w:hAnsi="Times New Roman" w:eastAsia="宋体"/>
                                <w:color w:val="000000"/>
                                <w:kern w:val="24"/>
                                <w:sz w:val="18"/>
                                <w:szCs w:val="18"/>
                              </w:rPr>
                              <w:t>单位：万元</w:t>
                            </w:r>
                          </w:p>
                        </w:txbxContent>
                      </wps:txbx>
                      <wps:bodyPr vertOverflow="clip" horzOverflow="clip" wrap="square" rtlCol="0" anchor="t"/>
                    </wps:wsp>
                  </a:graphicData>
                </a:graphic>
              </wp:anchor>
            </w:drawing>
          </mc:Choice>
          <mc:Fallback>
            <w:pict>
              <v:shape id="文本框 9" o:spid="_x0000_s1026" o:spt="202" type="#_x0000_t202" style="position:absolute;left:0pt;margin-left:320.25pt;margin-top:18pt;height:26.3pt;width:59.95pt;z-index:251661312;mso-width-relative:page;mso-height-relative:page;" filled="f" stroked="f" coordsize="21600,21600" o:gfxdata="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SpejPWAAAACQEAAA8AAAAAAAAA&#10;AQAgAAAAIgAAAGRycy9kb3ducmV2LnhtbFBLAQIUABQAAAAIAIdO4kAKCLRm2gEAAKIDAAAOAAAA&#10;AAAAAAEAIAAAACUBAABkcnMvZTJvRG9jLnhtbFBLBQYAAAAABgAGAFkBAABxBQAAAAA=&#10;">
                <v:fill on="f" focussize="0,0"/>
                <v:stroke on="f"/>
                <v:imagedata o:title=""/>
                <o:lock v:ext="edit" aspectratio="f"/>
                <v:textbox>
                  <w:txbxContent>
                    <w:p>
                      <w:pPr>
                        <w:pStyle w:val="13"/>
                        <w:kinsoku/>
                        <w:ind w:left="0"/>
                        <w:jc w:val="left"/>
                      </w:pPr>
                      <w:r>
                        <w:rPr>
                          <w:rFonts w:ascii="Calibri" w:hAnsi="Times New Roman" w:eastAsia="宋体"/>
                          <w:color w:val="000000"/>
                          <w:kern w:val="24"/>
                          <w:sz w:val="18"/>
                          <w:szCs w:val="18"/>
                        </w:rPr>
                        <w:t>单位：万元</w:t>
                      </w:r>
                    </w:p>
                  </w:txbxContent>
                </v:textbox>
              </v:shape>
            </w:pict>
          </mc:Fallback>
        </mc:AlternateContent>
      </w: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pPr>
        <w:pStyle w:val="12"/>
        <w:numPr>
          <w:ilvl w:val="0"/>
          <w:numId w:val="1"/>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31" w:name="_Toc11886"/>
      <w:r>
        <w:rPr>
          <w:rFonts w:hint="eastAsia" w:ascii="黑体" w:hAnsi="黑体" w:eastAsia="黑体" w:cs="黑体"/>
          <w:sz w:val="32"/>
          <w:szCs w:val="32"/>
        </w:rPr>
        <w:t>一般公共预算财政拨款支出决算情况说明</w:t>
      </w:r>
      <w:bookmarkEnd w:id="31"/>
    </w:p>
    <w:p>
      <w:pPr>
        <w:spacing w:line="600" w:lineRule="exact"/>
        <w:ind w:firstLine="643" w:firstLineChars="200"/>
        <w:outlineLvl w:val="2"/>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（一）一般公共预算财政拨款支出决算总体情况</w:t>
      </w:r>
    </w:p>
    <w:p>
      <w:pPr>
        <w:numPr>
          <w:ilvl w:val="0"/>
          <w:numId w:val="0"/>
        </w:numPr>
        <w:ind w:firstLine="640" w:firstLineChars="200"/>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w:t>
      </w:r>
      <w:r>
        <w:rPr>
          <w:rFonts w:hint="eastAsia" w:eastAsia="仿宋_GB2312" w:cs="Times New Roman"/>
          <w:color w:val="auto"/>
          <w:sz w:val="32"/>
          <w:szCs w:val="32"/>
          <w:lang w:val="en-US" w:eastAsia="zh-CN"/>
        </w:rPr>
        <w:t>105.78</w:t>
      </w:r>
      <w:r>
        <w:rPr>
          <w:rFonts w:hint="default" w:ascii="Times New Roman" w:hAnsi="Times New Roman" w:eastAsia="仿宋_GB2312" w:cs="Times New Roman"/>
          <w:color w:val="auto"/>
          <w:sz w:val="32"/>
          <w:szCs w:val="32"/>
        </w:rPr>
        <w:t>万元，占本年支出合计的</w:t>
      </w:r>
      <w:r>
        <w:rPr>
          <w:rFonts w:hint="eastAsia" w:eastAsia="仿宋_GB2312" w:cs="Times New Roman"/>
          <w:color w:val="auto"/>
          <w:sz w:val="32"/>
          <w:szCs w:val="32"/>
          <w:lang w:val="en-US" w:eastAsia="zh-CN"/>
        </w:rPr>
        <w:t>68.58</w:t>
      </w:r>
      <w:r>
        <w:rPr>
          <w:rFonts w:hint="default" w:ascii="Times New Roman" w:hAnsi="Times New Roman" w:eastAsia="仿宋_GB2312" w:cs="Times New Roman"/>
          <w:color w:val="auto"/>
          <w:sz w:val="32"/>
          <w:szCs w:val="32"/>
        </w:rPr>
        <w:t>%。与201</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年相比，一般公共预算财政拨款</w:t>
      </w:r>
      <w:r>
        <w:rPr>
          <w:rFonts w:hint="eastAsia" w:eastAsia="仿宋_GB2312" w:cs="Times New Roman"/>
          <w:color w:val="auto"/>
          <w:sz w:val="32"/>
          <w:szCs w:val="32"/>
          <w:lang w:eastAsia="zh-CN"/>
        </w:rPr>
        <w:t>增加</w:t>
      </w:r>
      <w:r>
        <w:rPr>
          <w:rFonts w:hint="eastAsia" w:eastAsia="仿宋_GB2312" w:cs="Times New Roman"/>
          <w:color w:val="auto"/>
          <w:sz w:val="32"/>
          <w:szCs w:val="32"/>
          <w:lang w:val="en-US" w:eastAsia="zh-CN"/>
        </w:rPr>
        <w:t>2.9</w:t>
      </w:r>
      <w:r>
        <w:rPr>
          <w:rFonts w:hint="default" w:ascii="Times New Roman" w:hAnsi="Times New Roman" w:eastAsia="仿宋_GB2312" w:cs="Times New Roman"/>
          <w:color w:val="auto"/>
          <w:sz w:val="32"/>
          <w:szCs w:val="32"/>
          <w:lang w:val="en-US" w:eastAsia="zh-CN"/>
        </w:rPr>
        <w:t>万元，</w:t>
      </w:r>
      <w:r>
        <w:rPr>
          <w:rFonts w:hint="eastAsia" w:eastAsia="仿宋_GB2312" w:cs="Times New Roman"/>
          <w:color w:val="auto"/>
          <w:sz w:val="32"/>
          <w:szCs w:val="32"/>
          <w:lang w:eastAsia="zh-CN"/>
        </w:rPr>
        <w:t>上涨</w:t>
      </w:r>
      <w:r>
        <w:rPr>
          <w:rFonts w:hint="eastAsia" w:eastAsia="仿宋_GB2312" w:cs="Times New Roman"/>
          <w:color w:val="auto"/>
          <w:sz w:val="32"/>
          <w:szCs w:val="32"/>
          <w:lang w:val="en-US" w:eastAsia="zh-CN"/>
        </w:rPr>
        <w:t>2.82</w:t>
      </w:r>
      <w:r>
        <w:rPr>
          <w:rFonts w:hint="default" w:ascii="Times New Roman" w:hAnsi="Times New Roman" w:eastAsia="仿宋_GB2312" w:cs="Times New Roman"/>
          <w:color w:val="auto"/>
          <w:sz w:val="32"/>
          <w:szCs w:val="32"/>
        </w:rPr>
        <w:t>%。</w:t>
      </w:r>
    </w:p>
    <w:p>
      <w:pPr>
        <w:spacing w:line="600" w:lineRule="exact"/>
        <w:ind w:firstLine="643" w:firstLineChars="200"/>
        <w:outlineLvl w:val="2"/>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（二）一般公共预算财政拨款支出决算结构情况</w:t>
      </w:r>
    </w:p>
    <w:p>
      <w:pPr>
        <w:spacing w:line="600" w:lineRule="exact"/>
        <w:ind w:firstLine="640"/>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年一般公共预算财政拨款支出10</w:t>
      </w:r>
      <w:r>
        <w:rPr>
          <w:rFonts w:hint="eastAsia" w:eastAsia="仿宋_GB2312" w:cs="Times New Roman"/>
          <w:color w:val="auto"/>
          <w:sz w:val="32"/>
          <w:szCs w:val="32"/>
          <w:lang w:val="en-US" w:eastAsia="zh-CN"/>
        </w:rPr>
        <w:t>5.78</w:t>
      </w:r>
      <w:r>
        <w:rPr>
          <w:rFonts w:hint="default" w:ascii="Times New Roman" w:hAnsi="Times New Roman" w:eastAsia="仿宋_GB2312" w:cs="Times New Roman"/>
          <w:color w:val="auto"/>
          <w:sz w:val="32"/>
          <w:szCs w:val="32"/>
        </w:rPr>
        <w:t>万元，主要用于以下方面:</w:t>
      </w:r>
      <w:r>
        <w:rPr>
          <w:rFonts w:hint="default" w:ascii="Times New Roman" w:hAnsi="Times New Roman" w:eastAsia="仿宋_GB2312" w:cs="Times New Roman"/>
          <w:b/>
          <w:color w:val="auto"/>
          <w:sz w:val="32"/>
          <w:szCs w:val="32"/>
        </w:rPr>
        <w:t>一般公共服务（类）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教育支出（类）</w:t>
      </w:r>
      <w:r>
        <w:rPr>
          <w:rFonts w:hint="eastAsia" w:eastAsia="仿宋_GB2312" w:cs="Times New Roman"/>
          <w:color w:val="auto"/>
          <w:sz w:val="32"/>
          <w:szCs w:val="32"/>
          <w:lang w:val="en-US" w:eastAsia="zh-CN"/>
        </w:rPr>
        <w:t>98.79</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93.39</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color w:val="auto"/>
          <w:sz w:val="32"/>
          <w:szCs w:val="32"/>
        </w:rPr>
        <w:t>科学技术（类）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b/>
          <w:color w:val="auto"/>
          <w:sz w:val="32"/>
          <w:szCs w:val="32"/>
        </w:rPr>
        <w:t>社会保障和就业（类）</w:t>
      </w:r>
      <w:r>
        <w:rPr>
          <w:rFonts w:hint="default" w:ascii="Times New Roman" w:hAnsi="Times New Roman" w:eastAsia="仿宋_GB2312" w:cs="Times New Roman"/>
          <w:color w:val="auto"/>
          <w:sz w:val="32"/>
          <w:szCs w:val="32"/>
        </w:rPr>
        <w:t>支出</w:t>
      </w:r>
      <w:r>
        <w:rPr>
          <w:rFonts w:hint="eastAsia" w:eastAsia="仿宋_GB2312" w:cs="Times New Roman"/>
          <w:color w:val="auto"/>
          <w:sz w:val="32"/>
          <w:szCs w:val="32"/>
          <w:lang w:val="en-US" w:eastAsia="zh-CN"/>
        </w:rPr>
        <w:t>3.53</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3.34</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医疗卫生支出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color w:val="auto"/>
          <w:sz w:val="32"/>
          <w:szCs w:val="32"/>
          <w:lang w:val="en-US" w:eastAsia="zh-CN"/>
        </w:rPr>
        <w:t>1.53</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1.45</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住房保障支出</w:t>
      </w:r>
      <w:r>
        <w:rPr>
          <w:rFonts w:hint="default" w:ascii="Times New Roman" w:hAnsi="Times New Roman" w:eastAsia="仿宋_GB2312" w:cs="Times New Roman"/>
          <w:b/>
          <w:color w:val="auto"/>
          <w:sz w:val="32"/>
          <w:szCs w:val="32"/>
        </w:rPr>
        <w:t>（类）</w:t>
      </w:r>
      <w:r>
        <w:rPr>
          <w:rFonts w:hint="default" w:ascii="Times New Roman" w:hAnsi="Times New Roman" w:eastAsia="仿宋_GB2312" w:cs="Times New Roman"/>
          <w:b w:val="0"/>
          <w:bCs/>
          <w:color w:val="auto"/>
          <w:sz w:val="32"/>
          <w:szCs w:val="32"/>
          <w:lang w:val="en-US" w:eastAsia="zh-CN"/>
        </w:rPr>
        <w:t>支出</w:t>
      </w:r>
      <w:r>
        <w:rPr>
          <w:rFonts w:hint="eastAsia" w:eastAsia="仿宋_GB2312" w:cs="Times New Roman"/>
          <w:color w:val="auto"/>
          <w:sz w:val="32"/>
          <w:szCs w:val="32"/>
          <w:lang w:val="en-US" w:eastAsia="zh-CN"/>
        </w:rPr>
        <w:t>1.93</w:t>
      </w:r>
      <w:r>
        <w:rPr>
          <w:rFonts w:hint="default" w:ascii="Times New Roman" w:hAnsi="Times New Roman" w:eastAsia="仿宋_GB2312" w:cs="Times New Roman"/>
          <w:color w:val="auto"/>
          <w:sz w:val="32"/>
          <w:szCs w:val="32"/>
        </w:rPr>
        <w:t>万元，占</w:t>
      </w:r>
      <w:r>
        <w:rPr>
          <w:rFonts w:hint="eastAsia" w:eastAsia="仿宋_GB2312" w:cs="Times New Roman"/>
          <w:color w:val="auto"/>
          <w:sz w:val="32"/>
          <w:szCs w:val="32"/>
          <w:lang w:val="en-US" w:eastAsia="zh-CN"/>
        </w:rPr>
        <w:t>1.82</w:t>
      </w:r>
      <w:r>
        <w:rPr>
          <w:rFonts w:hint="default" w:ascii="Times New Roman" w:hAnsi="Times New Roman" w:eastAsia="仿宋_GB2312" w:cs="Times New Roman"/>
          <w:color w:val="auto"/>
          <w:sz w:val="32"/>
          <w:szCs w:val="32"/>
          <w:lang w:val="en-US" w:eastAsia="zh-CN"/>
        </w:rPr>
        <w:t>%。</w:t>
      </w:r>
    </w:p>
    <w:p>
      <w:pPr>
        <w:pStyle w:val="6"/>
      </w:pPr>
      <w:r>
        <w:rPr>
          <w:rFonts w:hint="eastAsia"/>
          <w:lang w:val="en-US" w:eastAsia="zh-CN"/>
        </w:rPr>
        <w:t xml:space="preserve">    </w:t>
      </w:r>
      <w:r>
        <w:drawing>
          <wp:inline distT="0" distB="0" distL="114300" distR="114300">
            <wp:extent cx="4572000" cy="2743200"/>
            <wp:effectExtent l="4445" t="4445" r="14605" b="1460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pPr>
        <w:spacing w:line="600" w:lineRule="exact"/>
        <w:ind w:firstLine="643" w:firstLineChars="200"/>
        <w:outlineLvl w:val="2"/>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（三）一般公共预算财政拨款支出决算具体情况</w:t>
      </w:r>
    </w:p>
    <w:p>
      <w:pPr>
        <w:spacing w:line="600" w:lineRule="exact"/>
        <w:ind w:firstLine="643" w:firstLineChars="200"/>
        <w:outlineLvl w:val="2"/>
        <w:rPr>
          <w:rStyle w:val="16"/>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
          <w:color w:val="auto"/>
          <w:sz w:val="32"/>
          <w:szCs w:val="32"/>
        </w:rPr>
        <w:t>20</w:t>
      </w:r>
      <w:r>
        <w:rPr>
          <w:rFonts w:hint="default" w:ascii="Times New Roman" w:hAnsi="Times New Roman" w:eastAsia="仿宋_GB2312" w:cs="Times New Roman"/>
          <w:b/>
          <w:color w:val="auto"/>
          <w:sz w:val="32"/>
          <w:szCs w:val="32"/>
          <w:lang w:val="en-US" w:eastAsia="zh-CN"/>
        </w:rPr>
        <w:t>20</w:t>
      </w:r>
      <w:r>
        <w:rPr>
          <w:rFonts w:hint="default" w:ascii="Times New Roman" w:hAnsi="Times New Roman" w:eastAsia="仿宋_GB2312" w:cs="Times New Roman"/>
          <w:b/>
          <w:color w:val="auto"/>
          <w:sz w:val="32"/>
          <w:szCs w:val="32"/>
        </w:rPr>
        <w:t>年</w:t>
      </w:r>
      <w:r>
        <w:rPr>
          <w:rFonts w:hint="eastAsia" w:eastAsia="仿宋_GB2312" w:cs="Times New Roman"/>
          <w:b/>
          <w:color w:val="auto"/>
          <w:sz w:val="32"/>
          <w:szCs w:val="32"/>
          <w:lang w:eastAsia="zh-CN"/>
        </w:rPr>
        <w:t>一</w:t>
      </w:r>
      <w:r>
        <w:rPr>
          <w:rFonts w:hint="default" w:ascii="Times New Roman" w:hAnsi="Times New Roman" w:eastAsia="仿宋_GB2312" w:cs="Times New Roman"/>
          <w:b/>
          <w:color w:val="auto"/>
          <w:sz w:val="32"/>
          <w:szCs w:val="32"/>
        </w:rPr>
        <w:t>般公共预算支出决算数为</w:t>
      </w:r>
      <w:r>
        <w:rPr>
          <w:rFonts w:hint="eastAsia" w:eastAsia="仿宋_GB2312" w:cs="Times New Roman"/>
          <w:b/>
          <w:color w:val="auto"/>
          <w:sz w:val="32"/>
          <w:szCs w:val="32"/>
          <w:lang w:val="en-US" w:eastAsia="zh-CN"/>
        </w:rPr>
        <w:t>105.78万元</w:t>
      </w:r>
      <w:r>
        <w:rPr>
          <w:rFonts w:hint="default" w:ascii="Times New Roman" w:hAnsi="Times New Roman" w:eastAsia="仿宋_GB2312" w:cs="Times New Roman"/>
          <w:color w:val="auto"/>
          <w:sz w:val="32"/>
          <w:szCs w:val="32"/>
        </w:rPr>
        <w:t>，</w:t>
      </w:r>
      <w:r>
        <w:rPr>
          <w:rStyle w:val="16"/>
          <w:rFonts w:hint="default" w:ascii="Times New Roman" w:hAnsi="Times New Roman" w:eastAsia="仿宋_GB2312" w:cs="Times New Roman"/>
          <w:bCs/>
          <w:color w:val="auto"/>
          <w:sz w:val="32"/>
          <w:szCs w:val="32"/>
        </w:rPr>
        <w:t>完成预算</w:t>
      </w:r>
      <w:r>
        <w:rPr>
          <w:rStyle w:val="16"/>
          <w:rFonts w:hint="eastAsia" w:eastAsia="仿宋_GB2312" w:cs="Times New Roman"/>
          <w:bCs/>
          <w:color w:val="auto"/>
          <w:sz w:val="32"/>
          <w:szCs w:val="32"/>
          <w:lang w:val="en-US" w:eastAsia="zh-CN"/>
        </w:rPr>
        <w:t>70</w:t>
      </w:r>
      <w:r>
        <w:rPr>
          <w:rStyle w:val="16"/>
          <w:rFonts w:hint="default" w:ascii="Times New Roman" w:hAnsi="Times New Roman" w:eastAsia="仿宋_GB2312" w:cs="Times New Roman"/>
          <w:bCs/>
          <w:color w:val="auto"/>
          <w:sz w:val="32"/>
          <w:szCs w:val="32"/>
        </w:rPr>
        <w:t>%。其中：</w:t>
      </w:r>
    </w:p>
    <w:p>
      <w:pPr>
        <w:numPr>
          <w:ilvl w:val="0"/>
          <w:numId w:val="0"/>
        </w:numPr>
        <w:spacing w:line="600" w:lineRule="exact"/>
        <w:ind w:firstLine="643" w:firstLineChars="200"/>
        <w:rPr>
          <w:rStyle w:val="16"/>
          <w:rFonts w:hint="default" w:ascii="Times New Roman" w:hAnsi="Times New Roman" w:eastAsia="仿宋_GB2312" w:cs="Times New Roman"/>
          <w:b w:val="0"/>
          <w:bCs/>
          <w:color w:val="auto"/>
          <w:sz w:val="32"/>
          <w:szCs w:val="32"/>
          <w:lang w:eastAsia="zh-CN"/>
        </w:rPr>
      </w:pPr>
      <w:r>
        <w:rPr>
          <w:rStyle w:val="16"/>
          <w:rFonts w:hint="eastAsia" w:ascii="Times New Roman" w:hAnsi="Times New Roman" w:eastAsia="仿宋_GB2312" w:cs="Times New Roman"/>
          <w:bCs/>
          <w:color w:val="auto"/>
          <w:sz w:val="32"/>
          <w:szCs w:val="32"/>
          <w:lang w:val="en-US" w:eastAsia="zh-CN"/>
        </w:rPr>
        <w:t>1.</w:t>
      </w:r>
      <w:r>
        <w:rPr>
          <w:rStyle w:val="16"/>
          <w:rFonts w:hint="default" w:ascii="Times New Roman" w:hAnsi="Times New Roman" w:eastAsia="仿宋_GB2312" w:cs="Times New Roman"/>
          <w:bCs/>
          <w:color w:val="auto"/>
          <w:sz w:val="32"/>
          <w:szCs w:val="32"/>
        </w:rPr>
        <w:t>教育</w:t>
      </w:r>
      <w:r>
        <w:rPr>
          <w:rStyle w:val="16"/>
          <w:rFonts w:hint="default" w:ascii="Times New Roman" w:hAnsi="Times New Roman" w:eastAsia="仿宋_GB2312" w:cs="Times New Roman"/>
          <w:bCs/>
          <w:color w:val="auto"/>
          <w:sz w:val="32"/>
          <w:szCs w:val="32"/>
          <w:lang w:eastAsia="zh-CN"/>
        </w:rPr>
        <w:t>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其他教育支出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其他教育支出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 xml:space="preserve"> 支出决算为</w:t>
      </w:r>
      <w:r>
        <w:rPr>
          <w:rStyle w:val="16"/>
          <w:rFonts w:hint="eastAsia" w:ascii="Times New Roman" w:hAnsi="Times New Roman" w:eastAsia="仿宋_GB2312" w:cs="Times New Roman"/>
          <w:b w:val="0"/>
          <w:bCs/>
          <w:color w:val="auto"/>
          <w:sz w:val="32"/>
          <w:szCs w:val="32"/>
          <w:lang w:val="en-US" w:eastAsia="zh-CN"/>
        </w:rPr>
        <w:t>12.48</w:t>
      </w:r>
      <w:r>
        <w:rPr>
          <w:rStyle w:val="16"/>
          <w:rFonts w:hint="default" w:ascii="Times New Roman" w:hAnsi="Times New Roman" w:eastAsia="仿宋_GB2312" w:cs="Times New Roman"/>
          <w:b w:val="0"/>
          <w:bCs/>
          <w:color w:val="auto"/>
          <w:sz w:val="32"/>
          <w:szCs w:val="32"/>
        </w:rPr>
        <w:t>万元，完成预算</w:t>
      </w:r>
      <w:r>
        <w:rPr>
          <w:rStyle w:val="16"/>
          <w:rFonts w:hint="eastAsia" w:ascii="Times New Roman" w:hAnsi="Times New Roman" w:eastAsia="仿宋_GB2312" w:cs="Times New Roman"/>
          <w:b w:val="0"/>
          <w:bCs/>
          <w:color w:val="auto"/>
          <w:sz w:val="32"/>
          <w:szCs w:val="32"/>
          <w:lang w:val="en-US" w:eastAsia="zh-CN"/>
        </w:rPr>
        <w:t>22.69</w:t>
      </w:r>
      <w:r>
        <w:rPr>
          <w:rStyle w:val="16"/>
          <w:rFonts w:hint="default" w:ascii="Times New Roman" w:hAnsi="Times New Roman" w:eastAsia="仿宋_GB2312" w:cs="Times New Roman"/>
          <w:b w:val="0"/>
          <w:bCs/>
          <w:color w:val="auto"/>
          <w:sz w:val="32"/>
          <w:szCs w:val="32"/>
        </w:rPr>
        <w:t>%。决算数小于预算数的主要原因是</w:t>
      </w:r>
      <w:r>
        <w:rPr>
          <w:rStyle w:val="16"/>
          <w:rFonts w:hint="default" w:ascii="Times New Roman" w:hAnsi="Times New Roman" w:eastAsia="仿宋_GB2312" w:cs="Times New Roman"/>
          <w:b w:val="0"/>
          <w:bCs/>
          <w:color w:val="auto"/>
          <w:sz w:val="32"/>
          <w:szCs w:val="32"/>
          <w:lang w:val="en-US" w:eastAsia="zh-CN"/>
        </w:rPr>
        <w:t>院校部分</w:t>
      </w:r>
      <w:r>
        <w:rPr>
          <w:rStyle w:val="16"/>
          <w:rFonts w:hint="default" w:ascii="Times New Roman" w:hAnsi="Times New Roman" w:eastAsia="仿宋_GB2312" w:cs="Times New Roman"/>
          <w:b w:val="0"/>
          <w:bCs/>
          <w:color w:val="auto"/>
          <w:sz w:val="32"/>
          <w:szCs w:val="32"/>
          <w:lang w:eastAsia="zh-CN"/>
        </w:rPr>
        <w:t>工作因</w:t>
      </w:r>
      <w:r>
        <w:rPr>
          <w:rStyle w:val="16"/>
          <w:rFonts w:hint="default" w:ascii="Times New Roman" w:hAnsi="Times New Roman" w:eastAsia="仿宋_GB2312" w:cs="Times New Roman"/>
          <w:b w:val="0"/>
          <w:bCs/>
          <w:color w:val="auto"/>
          <w:sz w:val="32"/>
          <w:szCs w:val="32"/>
          <w:lang w:val="en-US" w:eastAsia="zh-CN"/>
        </w:rPr>
        <w:t>新冠肺炎疫情</w:t>
      </w:r>
      <w:r>
        <w:rPr>
          <w:rStyle w:val="16"/>
          <w:rFonts w:hint="default" w:ascii="Times New Roman" w:hAnsi="Times New Roman" w:eastAsia="仿宋_GB2312" w:cs="Times New Roman"/>
          <w:b w:val="0"/>
          <w:bCs/>
          <w:color w:val="auto"/>
          <w:sz w:val="32"/>
          <w:szCs w:val="32"/>
          <w:lang w:eastAsia="zh-CN"/>
        </w:rPr>
        <w:t>原因未开展。</w:t>
      </w:r>
    </w:p>
    <w:p>
      <w:pPr>
        <w:spacing w:line="600" w:lineRule="exact"/>
        <w:ind w:firstLine="643" w:firstLineChars="200"/>
        <w:rPr>
          <w:rFonts w:hint="default"/>
          <w:lang w:val="en-US" w:eastAsia="zh-CN"/>
        </w:rPr>
      </w:pPr>
      <w:r>
        <w:rPr>
          <w:rStyle w:val="16"/>
          <w:rFonts w:hint="eastAsia" w:ascii="Times New Roman" w:hAnsi="Times New Roman" w:eastAsia="仿宋_GB2312" w:cs="Times New Roman"/>
          <w:bCs/>
          <w:color w:val="auto"/>
          <w:sz w:val="32"/>
          <w:szCs w:val="32"/>
          <w:lang w:val="en-US" w:eastAsia="zh-CN"/>
        </w:rPr>
        <w:t>2</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社会保障和就业支出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机关事业单位基本养老保险缴费支出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hAnsi="Times New Roman" w:eastAsia="仿宋_GB2312" w:cs="Times New Roman"/>
          <w:b w:val="0"/>
          <w:bCs/>
          <w:color w:val="auto"/>
          <w:sz w:val="32"/>
          <w:szCs w:val="32"/>
          <w:lang w:val="en-US" w:eastAsia="zh-CN"/>
        </w:rPr>
        <w:t>2.42</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9</w:t>
      </w:r>
      <w:r>
        <w:rPr>
          <w:rStyle w:val="16"/>
          <w:rFonts w:hint="eastAsia" w:ascii="Times New Roman" w:hAnsi="Times New Roman" w:eastAsia="仿宋_GB2312" w:cs="Times New Roman"/>
          <w:b w:val="0"/>
          <w:bCs/>
          <w:color w:val="auto"/>
          <w:sz w:val="32"/>
          <w:szCs w:val="32"/>
          <w:lang w:val="en-US" w:eastAsia="zh-CN"/>
        </w:rPr>
        <w:t>4.20</w:t>
      </w:r>
      <w:r>
        <w:rPr>
          <w:rStyle w:val="16"/>
          <w:rFonts w:hint="default" w:ascii="Times New Roman" w:hAnsi="Times New Roman" w:eastAsia="仿宋_GB2312" w:cs="Times New Roman"/>
          <w:b w:val="0"/>
          <w:bCs/>
          <w:color w:val="auto"/>
          <w:sz w:val="32"/>
          <w:szCs w:val="32"/>
        </w:rPr>
        <w:t>%。</w:t>
      </w:r>
    </w:p>
    <w:p>
      <w:pPr>
        <w:spacing w:line="600" w:lineRule="exact"/>
        <w:ind w:firstLine="643" w:firstLineChars="200"/>
        <w:rPr>
          <w:rStyle w:val="16"/>
          <w:rFonts w:hint="default" w:ascii="Times New Roman" w:hAnsi="Times New Roman" w:eastAsia="仿宋_GB2312" w:cs="Times New Roman"/>
          <w:b w:val="0"/>
          <w:bCs/>
          <w:color w:val="auto"/>
          <w:sz w:val="32"/>
          <w:szCs w:val="32"/>
        </w:rPr>
      </w:pPr>
      <w:r>
        <w:rPr>
          <w:rStyle w:val="16"/>
          <w:rFonts w:hint="eastAsia" w:ascii="Times New Roman" w:hAnsi="Times New Roman" w:eastAsia="仿宋_GB2312" w:cs="Times New Roman"/>
          <w:bCs/>
          <w:color w:val="auto"/>
          <w:sz w:val="32"/>
          <w:szCs w:val="32"/>
          <w:lang w:val="en-US" w:eastAsia="zh-CN"/>
        </w:rPr>
        <w:t>3</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社会保障和就业支出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w:t>
      </w:r>
      <w:r>
        <w:rPr>
          <w:rStyle w:val="16"/>
          <w:rFonts w:hint="default" w:ascii="Times New Roman" w:hAnsi="Times New Roman" w:eastAsia="仿宋_GB2312" w:cs="Times New Roman"/>
          <w:bCs/>
          <w:color w:val="auto"/>
          <w:sz w:val="32"/>
          <w:szCs w:val="32"/>
          <w:lang w:val="en-US" w:eastAsia="zh-CN"/>
        </w:rPr>
        <w:t>养老支出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机关事业单位职业年金缴费支出</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hAnsi="Times New Roman" w:eastAsia="仿宋_GB2312" w:cs="Times New Roman"/>
          <w:b w:val="0"/>
          <w:bCs/>
          <w:color w:val="auto"/>
          <w:sz w:val="32"/>
          <w:szCs w:val="32"/>
          <w:lang w:val="en-US" w:eastAsia="zh-CN"/>
        </w:rPr>
        <w:t>1.11</w:t>
      </w:r>
      <w:r>
        <w:rPr>
          <w:rStyle w:val="16"/>
          <w:rFonts w:hint="default" w:ascii="Times New Roman" w:hAnsi="Times New Roman" w:eastAsia="仿宋_GB2312" w:cs="Times New Roman"/>
          <w:b w:val="0"/>
          <w:bCs/>
          <w:color w:val="auto"/>
          <w:sz w:val="32"/>
          <w:szCs w:val="32"/>
        </w:rPr>
        <w:t>万元，完成预算</w:t>
      </w:r>
      <w:r>
        <w:rPr>
          <w:rStyle w:val="16"/>
          <w:rFonts w:hint="eastAsia" w:ascii="Times New Roman" w:hAnsi="Times New Roman" w:eastAsia="仿宋_GB2312" w:cs="Times New Roman"/>
          <w:b w:val="0"/>
          <w:bCs/>
          <w:color w:val="auto"/>
          <w:sz w:val="32"/>
          <w:szCs w:val="32"/>
          <w:lang w:val="en-US" w:eastAsia="zh-CN"/>
        </w:rPr>
        <w:t>86.21</w:t>
      </w:r>
      <w:r>
        <w:rPr>
          <w:rStyle w:val="16"/>
          <w:rFonts w:hint="default" w:ascii="Times New Roman" w:hAnsi="Times New Roman" w:eastAsia="仿宋_GB2312" w:cs="Times New Roman"/>
          <w:b w:val="0"/>
          <w:bCs/>
          <w:color w:val="auto"/>
          <w:sz w:val="32"/>
          <w:szCs w:val="32"/>
        </w:rPr>
        <w:t>%。</w:t>
      </w:r>
    </w:p>
    <w:p>
      <w:pPr>
        <w:spacing w:line="600" w:lineRule="exact"/>
        <w:ind w:firstLine="643" w:firstLineChars="200"/>
        <w:rPr>
          <w:rStyle w:val="16"/>
          <w:rFonts w:hint="default" w:ascii="Times New Roman" w:hAnsi="Times New Roman" w:eastAsia="仿宋_GB2312" w:cs="Times New Roman"/>
          <w:b w:val="0"/>
          <w:bCs/>
          <w:color w:val="auto"/>
          <w:sz w:val="32"/>
          <w:szCs w:val="32"/>
        </w:rPr>
      </w:pPr>
      <w:r>
        <w:rPr>
          <w:rStyle w:val="16"/>
          <w:rFonts w:hint="default" w:ascii="Times New Roman" w:hAnsi="Times New Roman" w:eastAsia="仿宋_GB2312" w:cs="Times New Roman"/>
          <w:bCs/>
          <w:color w:val="auto"/>
          <w:sz w:val="32"/>
          <w:szCs w:val="32"/>
          <w:lang w:val="en-US" w:eastAsia="zh-CN"/>
        </w:rPr>
        <w:t>4.</w:t>
      </w:r>
      <w:r>
        <w:rPr>
          <w:rStyle w:val="16"/>
          <w:rFonts w:hint="default" w:ascii="Times New Roman" w:hAnsi="Times New Roman" w:eastAsia="仿宋_GB2312" w:cs="Times New Roman"/>
          <w:bCs/>
          <w:color w:val="auto"/>
          <w:sz w:val="32"/>
          <w:szCs w:val="32"/>
          <w:lang w:eastAsia="zh-CN"/>
        </w:rPr>
        <w:t>医疗健康支出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行政事业单位医疗</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事业单位医疗</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hAnsi="Times New Roman" w:eastAsia="仿宋_GB2312" w:cs="Times New Roman"/>
          <w:b w:val="0"/>
          <w:bCs/>
          <w:color w:val="auto"/>
          <w:sz w:val="32"/>
          <w:szCs w:val="32"/>
          <w:lang w:val="en-US" w:eastAsia="zh-CN"/>
        </w:rPr>
        <w:t>1.53</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spacing w:line="600" w:lineRule="exact"/>
        <w:ind w:firstLine="643" w:firstLineChars="200"/>
        <w:outlineLvl w:val="9"/>
        <w:rPr>
          <w:rFonts w:hint="default"/>
          <w:lang w:val="en-US" w:eastAsia="zh-CN"/>
        </w:rPr>
      </w:pPr>
      <w:r>
        <w:rPr>
          <w:rStyle w:val="16"/>
          <w:rFonts w:hint="eastAsia" w:ascii="Times New Roman" w:hAnsi="Times New Roman" w:eastAsia="仿宋_GB2312" w:cs="Times New Roman"/>
          <w:bCs/>
          <w:color w:val="auto"/>
          <w:sz w:val="32"/>
          <w:szCs w:val="32"/>
          <w:lang w:val="en-US" w:eastAsia="zh-CN"/>
        </w:rPr>
        <w:t>5</w:t>
      </w:r>
      <w:r>
        <w:rPr>
          <w:rStyle w:val="16"/>
          <w:rFonts w:hint="default" w:ascii="Times New Roman" w:hAnsi="Times New Roman" w:eastAsia="仿宋_GB2312" w:cs="Times New Roman"/>
          <w:bCs/>
          <w:color w:val="auto"/>
          <w:sz w:val="32"/>
          <w:szCs w:val="32"/>
          <w:lang w:val="en-US" w:eastAsia="zh-CN"/>
        </w:rPr>
        <w:t>.</w:t>
      </w:r>
      <w:r>
        <w:rPr>
          <w:rStyle w:val="16"/>
          <w:rFonts w:hint="default" w:ascii="Times New Roman" w:hAnsi="Times New Roman" w:eastAsia="仿宋_GB2312" w:cs="Times New Roman"/>
          <w:bCs/>
          <w:color w:val="auto"/>
          <w:sz w:val="32"/>
          <w:szCs w:val="32"/>
          <w:lang w:eastAsia="zh-CN"/>
        </w:rPr>
        <w:t>住房保障支出</w:t>
      </w:r>
      <w:r>
        <w:rPr>
          <w:rStyle w:val="16"/>
          <w:rFonts w:hint="default" w:ascii="Times New Roman" w:hAnsi="Times New Roman" w:eastAsia="仿宋_GB2312" w:cs="Times New Roman"/>
          <w:bCs/>
          <w:color w:val="auto"/>
          <w:sz w:val="32"/>
          <w:szCs w:val="32"/>
        </w:rPr>
        <w:t>（类）</w:t>
      </w:r>
      <w:r>
        <w:rPr>
          <w:rStyle w:val="16"/>
          <w:rFonts w:hint="default" w:ascii="Times New Roman" w:hAnsi="Times New Roman" w:eastAsia="仿宋_GB2312" w:cs="Times New Roman"/>
          <w:bCs/>
          <w:color w:val="auto"/>
          <w:sz w:val="32"/>
          <w:szCs w:val="32"/>
          <w:lang w:eastAsia="zh-CN"/>
        </w:rPr>
        <w:t>住房改革支出</w:t>
      </w:r>
      <w:r>
        <w:rPr>
          <w:rStyle w:val="16"/>
          <w:rFonts w:hint="default" w:ascii="Times New Roman" w:hAnsi="Times New Roman" w:eastAsia="仿宋_GB2312" w:cs="Times New Roman"/>
          <w:bCs/>
          <w:color w:val="auto"/>
          <w:sz w:val="32"/>
          <w:szCs w:val="32"/>
        </w:rPr>
        <w:t>（款）</w:t>
      </w:r>
      <w:r>
        <w:rPr>
          <w:rStyle w:val="16"/>
          <w:rFonts w:hint="default" w:ascii="Times New Roman" w:hAnsi="Times New Roman" w:eastAsia="仿宋_GB2312" w:cs="Times New Roman"/>
          <w:bCs/>
          <w:color w:val="auto"/>
          <w:sz w:val="32"/>
          <w:szCs w:val="32"/>
          <w:lang w:eastAsia="zh-CN"/>
        </w:rPr>
        <w:t>住房公积金</w:t>
      </w:r>
      <w:r>
        <w:rPr>
          <w:rStyle w:val="16"/>
          <w:rFonts w:hint="default" w:ascii="Times New Roman" w:hAnsi="Times New Roman" w:eastAsia="仿宋_GB2312" w:cs="Times New Roman"/>
          <w:bCs/>
          <w:color w:val="auto"/>
          <w:sz w:val="32"/>
          <w:szCs w:val="32"/>
        </w:rPr>
        <w:t>（项）:</w:t>
      </w:r>
      <w:r>
        <w:rPr>
          <w:rStyle w:val="16"/>
          <w:rFonts w:hint="default" w:ascii="Times New Roman" w:hAnsi="Times New Roman" w:eastAsia="仿宋_GB2312" w:cs="Times New Roman"/>
          <w:b w:val="0"/>
          <w:bCs/>
          <w:color w:val="auto"/>
          <w:sz w:val="32"/>
          <w:szCs w:val="32"/>
        </w:rPr>
        <w:t>支出决算为</w:t>
      </w:r>
      <w:r>
        <w:rPr>
          <w:rStyle w:val="16"/>
          <w:rFonts w:hint="eastAsia" w:ascii="Times New Roman" w:hAnsi="Times New Roman" w:eastAsia="仿宋_GB2312" w:cs="Times New Roman"/>
          <w:b w:val="0"/>
          <w:bCs/>
          <w:color w:val="auto"/>
          <w:sz w:val="32"/>
          <w:szCs w:val="32"/>
          <w:lang w:val="en-US" w:eastAsia="zh-CN"/>
        </w:rPr>
        <w:t>1.93</w:t>
      </w:r>
      <w:r>
        <w:rPr>
          <w:rStyle w:val="16"/>
          <w:rFonts w:hint="default" w:ascii="Times New Roman" w:hAnsi="Times New Roman" w:eastAsia="仿宋_GB2312" w:cs="Times New Roman"/>
          <w:b w:val="0"/>
          <w:bCs/>
          <w:color w:val="auto"/>
          <w:sz w:val="32"/>
          <w:szCs w:val="32"/>
        </w:rPr>
        <w:t>万元，完成预算</w:t>
      </w:r>
      <w:r>
        <w:rPr>
          <w:rStyle w:val="16"/>
          <w:rFonts w:hint="default" w:ascii="Times New Roman" w:hAnsi="Times New Roman" w:eastAsia="仿宋_GB2312" w:cs="Times New Roman"/>
          <w:b w:val="0"/>
          <w:bCs/>
          <w:color w:val="auto"/>
          <w:sz w:val="32"/>
          <w:szCs w:val="32"/>
          <w:lang w:val="en-US" w:eastAsia="zh-CN"/>
        </w:rPr>
        <w:t>100</w:t>
      </w:r>
      <w:r>
        <w:rPr>
          <w:rStyle w:val="16"/>
          <w:rFonts w:hint="default" w:ascii="Times New Roman" w:hAnsi="Times New Roman" w:eastAsia="仿宋_GB2312" w:cs="Times New Roman"/>
          <w:b w:val="0"/>
          <w:bCs/>
          <w:color w:val="auto"/>
          <w:sz w:val="32"/>
          <w:szCs w:val="32"/>
        </w:rPr>
        <w:t>%。</w:t>
      </w:r>
    </w:p>
    <w:p>
      <w:pPr>
        <w:pStyle w:val="12"/>
        <w:numPr>
          <w:ilvl w:val="0"/>
          <w:numId w:val="1"/>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32" w:name="_Toc13945"/>
      <w:r>
        <w:rPr>
          <w:rFonts w:hint="eastAsia" w:ascii="黑体" w:hAnsi="黑体" w:eastAsia="黑体" w:cs="黑体"/>
          <w:sz w:val="32"/>
          <w:szCs w:val="32"/>
        </w:rPr>
        <w:t>一般公共预算财政拨款基本支出决算情况说明</w:t>
      </w:r>
      <w:bookmarkEnd w:id="32"/>
    </w:p>
    <w:p>
      <w:pPr>
        <w:spacing w:line="600" w:lineRule="exact"/>
        <w:ind w:firstLine="645"/>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年一般公共预算财政拨款基本支出</w:t>
      </w:r>
      <w:r>
        <w:rPr>
          <w:rFonts w:hint="eastAsia" w:eastAsia="仿宋_GB2312" w:cs="Times New Roman"/>
          <w:color w:val="auto"/>
          <w:sz w:val="32"/>
          <w:szCs w:val="32"/>
          <w:lang w:val="en-US" w:eastAsia="zh-CN"/>
        </w:rPr>
        <w:t>105.78</w:t>
      </w:r>
      <w:r>
        <w:rPr>
          <w:rFonts w:hint="default" w:ascii="Times New Roman" w:hAnsi="Times New Roman" w:eastAsia="仿宋_GB2312" w:cs="Times New Roman"/>
          <w:color w:val="auto"/>
          <w:sz w:val="32"/>
          <w:szCs w:val="32"/>
        </w:rPr>
        <w:t>万元，其中：</w:t>
      </w:r>
    </w:p>
    <w:p>
      <w:pPr>
        <w:spacing w:line="600" w:lineRule="exact"/>
        <w:ind w:firstLine="645"/>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人员经费</w:t>
      </w:r>
      <w:r>
        <w:rPr>
          <w:rFonts w:hint="eastAsia" w:eastAsia="仿宋_GB2312" w:cs="Times New Roman"/>
          <w:color w:val="auto"/>
          <w:sz w:val="32"/>
          <w:szCs w:val="32"/>
          <w:lang w:val="en-US" w:eastAsia="zh-CN"/>
        </w:rPr>
        <w:t>33.38</w:t>
      </w:r>
      <w:r>
        <w:rPr>
          <w:rFonts w:hint="default" w:ascii="Times New Roman" w:hAnsi="Times New Roman" w:eastAsia="仿宋_GB2312" w:cs="Times New Roman"/>
          <w:color w:val="auto"/>
          <w:sz w:val="32"/>
          <w:szCs w:val="32"/>
        </w:rPr>
        <w:t>万元，主要包括：基本工资、津贴补贴、绩效工资、机关事业单位基本养老保险缴费、职业年金缴费、职工基本医疗保险缴费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住房公积金等。</w:t>
      </w:r>
    </w:p>
    <w:p>
      <w:pPr>
        <w:spacing w:line="600" w:lineRule="exact"/>
        <w:ind w:firstLine="645"/>
      </w:pPr>
      <w:r>
        <w:rPr>
          <w:rFonts w:hint="default" w:ascii="Times New Roman" w:hAnsi="Times New Roman" w:eastAsia="仿宋_GB2312" w:cs="Times New Roman"/>
          <w:color w:val="auto"/>
          <w:sz w:val="32"/>
          <w:szCs w:val="32"/>
        </w:rPr>
        <w:t>日常公用经费</w:t>
      </w:r>
      <w:r>
        <w:rPr>
          <w:rFonts w:hint="eastAsia" w:eastAsia="仿宋_GB2312" w:cs="Times New Roman"/>
          <w:color w:val="auto"/>
          <w:sz w:val="32"/>
          <w:szCs w:val="32"/>
          <w:lang w:val="en-US" w:eastAsia="zh-CN"/>
        </w:rPr>
        <w:t>49.09</w:t>
      </w:r>
      <w:r>
        <w:rPr>
          <w:rFonts w:hint="default" w:ascii="Times New Roman" w:hAnsi="Times New Roman" w:eastAsia="仿宋_GB2312" w:cs="Times New Roman"/>
          <w:color w:val="auto"/>
          <w:sz w:val="32"/>
          <w:szCs w:val="32"/>
        </w:rPr>
        <w:t>万元，主要包括：办公费、水费、电费、邮电费、差旅费、维修（护）费、劳务费、委托业务费、工会经费、福利费、其他商品和服务支出等。</w:t>
      </w:r>
    </w:p>
    <w:p>
      <w:pPr>
        <w:pStyle w:val="12"/>
        <w:numPr>
          <w:ilvl w:val="0"/>
          <w:numId w:val="1"/>
        </w:numPr>
        <w:adjustRightInd w:val="0"/>
        <w:snapToGrid w:val="0"/>
        <w:spacing w:line="440" w:lineRule="exact"/>
        <w:ind w:left="420" w:leftChars="200" w:firstLine="0" w:firstLineChars="0"/>
        <w:jc w:val="left"/>
        <w:outlineLvl w:val="1"/>
        <w:rPr>
          <w:rStyle w:val="27"/>
          <w:rFonts w:hint="eastAsia" w:ascii="Times New Roman" w:hAnsi="Times New Roman" w:eastAsia="黑体" w:cs="Times New Roman"/>
          <w:b w:val="0"/>
          <w:color w:val="auto"/>
          <w:lang w:val="en-US" w:eastAsia="zh-CN" w:bidi="ar-SA"/>
        </w:rPr>
      </w:pPr>
      <w:bookmarkStart w:id="33" w:name="_Toc16533"/>
      <w:bookmarkStart w:id="34" w:name="_Toc19217"/>
      <w:r>
        <w:rPr>
          <w:rStyle w:val="27"/>
          <w:rFonts w:hint="default" w:ascii="Times New Roman" w:hAnsi="Times New Roman" w:eastAsia="黑体" w:cs="Times New Roman"/>
          <w:b w:val="0"/>
          <w:color w:val="auto"/>
          <w:lang w:val="en-US" w:eastAsia="zh-CN" w:bidi="ar-SA"/>
        </w:rPr>
        <w:t>“</w:t>
      </w:r>
      <w:r>
        <w:rPr>
          <w:rStyle w:val="27"/>
          <w:rFonts w:hint="eastAsia" w:ascii="Times New Roman" w:hAnsi="Times New Roman" w:eastAsia="黑体" w:cs="Times New Roman"/>
          <w:b w:val="0"/>
          <w:color w:val="auto"/>
          <w:lang w:val="en-US" w:eastAsia="zh-CN" w:bidi="ar-SA"/>
        </w:rPr>
        <w:t>三公”经费财政拨款支出决算情况说明</w:t>
      </w:r>
      <w:bookmarkEnd w:id="33"/>
    </w:p>
    <w:bookmarkEnd w:id="34"/>
    <w:p>
      <w:pPr>
        <w:numPr>
          <w:ilvl w:val="0"/>
          <w:numId w:val="0"/>
        </w:numPr>
        <w:ind w:firstLine="640" w:firstLineChars="200"/>
        <w:outlineLvl w:val="9"/>
        <w:rPr>
          <w:rFonts w:hint="eastAsia" w:eastAsia="仿宋_GB2312"/>
          <w:lang w:eastAsia="zh-CN"/>
        </w:rPr>
      </w:pPr>
      <w:r>
        <w:rPr>
          <w:rFonts w:hint="eastAsia" w:ascii="仿宋_GB2312" w:hAnsi="仿宋_GB2312" w:eastAsia="仿宋_GB2312" w:cs="仿宋_GB2312"/>
          <w:sz w:val="32"/>
          <w:szCs w:val="32"/>
        </w:rPr>
        <w:t>四川尼众佛学院202</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年“三公”经费</w:t>
      </w:r>
      <w:r>
        <w:rPr>
          <w:rFonts w:hint="default" w:ascii="Times New Roman" w:hAnsi="Times New Roman" w:eastAsia="仿宋_GB2312" w:cs="Times New Roman"/>
          <w:color w:val="auto"/>
          <w:sz w:val="32"/>
          <w:szCs w:val="32"/>
        </w:rPr>
        <w:t>财政</w:t>
      </w:r>
      <w:r>
        <w:rPr>
          <w:rFonts w:hint="eastAsia" w:eastAsia="仿宋_GB2312" w:cs="Times New Roman"/>
          <w:color w:val="auto"/>
          <w:sz w:val="32"/>
          <w:szCs w:val="32"/>
          <w:lang w:eastAsia="zh-CN"/>
        </w:rPr>
        <w:t>预算</w:t>
      </w:r>
      <w:r>
        <w:rPr>
          <w:rFonts w:hint="default" w:ascii="Times New Roman" w:hAnsi="Times New Roman" w:eastAsia="仿宋_GB2312" w:cs="Times New Roman"/>
          <w:color w:val="auto"/>
          <w:sz w:val="32"/>
          <w:szCs w:val="32"/>
        </w:rPr>
        <w:t>拨款</w:t>
      </w:r>
      <w:r>
        <w:rPr>
          <w:rFonts w:hint="eastAsia" w:ascii="仿宋_GB2312" w:hAnsi="仿宋_GB2312" w:eastAsia="仿宋_GB2312" w:cs="仿宋_GB2312"/>
          <w:sz w:val="32"/>
          <w:szCs w:val="32"/>
          <w:lang w:eastAsia="zh-CN"/>
        </w:rPr>
        <w:t>支出</w:t>
      </w:r>
      <w:r>
        <w:rPr>
          <w:rFonts w:hint="eastAsia" w:ascii="仿宋_GB2312" w:hAnsi="仿宋_GB2312" w:eastAsia="仿宋_GB2312" w:cs="仿宋_GB2312"/>
          <w:sz w:val="32"/>
          <w:szCs w:val="32"/>
          <w:lang w:val="en-US" w:eastAsia="zh-CN"/>
        </w:rPr>
        <w:t>0万元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lang w:val="en-US" w:eastAsia="zh-CN"/>
        </w:rPr>
        <w:t>2019年度支出相比，“三公”经费既无增长，也无减少，均为0万元。</w:t>
      </w:r>
    </w:p>
    <w:p>
      <w:pPr>
        <w:pStyle w:val="12"/>
        <w:numPr>
          <w:ilvl w:val="0"/>
          <w:numId w:val="1"/>
        </w:numPr>
        <w:adjustRightInd w:val="0"/>
        <w:snapToGrid w:val="0"/>
        <w:spacing w:line="440" w:lineRule="exact"/>
        <w:ind w:left="420" w:leftChars="200" w:firstLine="0" w:firstLineChars="0"/>
        <w:jc w:val="left"/>
        <w:outlineLvl w:val="1"/>
        <w:rPr>
          <w:rStyle w:val="27"/>
          <w:rFonts w:hint="eastAsia" w:ascii="Times New Roman" w:hAnsi="Times New Roman" w:eastAsia="黑体" w:cs="Times New Roman"/>
          <w:b w:val="0"/>
          <w:color w:val="auto"/>
          <w:lang w:val="en-US" w:eastAsia="zh-CN" w:bidi="ar-SA"/>
        </w:rPr>
      </w:pPr>
      <w:bookmarkStart w:id="35" w:name="_Toc31926"/>
      <w:bookmarkStart w:id="36" w:name="_Toc24656"/>
      <w:r>
        <w:rPr>
          <w:rStyle w:val="27"/>
          <w:rFonts w:hint="eastAsia" w:ascii="Times New Roman" w:hAnsi="Times New Roman" w:eastAsia="黑体" w:cs="Times New Roman"/>
          <w:b w:val="0"/>
          <w:color w:val="auto"/>
          <w:lang w:val="en-US" w:eastAsia="zh-CN" w:bidi="ar-SA"/>
        </w:rPr>
        <w:t>政府性基金预算支出决算情况说明</w:t>
      </w:r>
      <w:bookmarkEnd w:id="35"/>
    </w:p>
    <w:bookmarkEnd w:id="36"/>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年政府性基金预算拨款支出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numPr>
          <w:ilvl w:val="0"/>
          <w:numId w:val="0"/>
        </w:numPr>
      </w:pPr>
    </w:p>
    <w:p>
      <w:pPr>
        <w:pStyle w:val="12"/>
        <w:numPr>
          <w:ilvl w:val="0"/>
          <w:numId w:val="1"/>
        </w:numPr>
        <w:adjustRightInd w:val="0"/>
        <w:snapToGrid w:val="0"/>
        <w:spacing w:line="440" w:lineRule="exact"/>
        <w:ind w:left="420" w:leftChars="200" w:firstLine="0" w:firstLineChars="0"/>
        <w:jc w:val="left"/>
        <w:outlineLvl w:val="1"/>
        <w:rPr>
          <w:rStyle w:val="27"/>
          <w:rFonts w:hint="eastAsia" w:ascii="Times New Roman" w:hAnsi="Times New Roman" w:eastAsia="黑体" w:cs="Times New Roman"/>
          <w:b w:val="0"/>
          <w:color w:val="auto"/>
          <w:lang w:val="en-US" w:eastAsia="zh-CN" w:bidi="ar-SA"/>
        </w:rPr>
      </w:pPr>
      <w:bookmarkStart w:id="37" w:name="_Toc13671"/>
      <w:bookmarkStart w:id="38" w:name="_Toc31434"/>
      <w:r>
        <w:rPr>
          <w:rStyle w:val="27"/>
          <w:rFonts w:hint="eastAsia" w:ascii="Times New Roman" w:hAnsi="Times New Roman" w:eastAsia="黑体" w:cs="Times New Roman"/>
          <w:b w:val="0"/>
          <w:color w:val="auto"/>
          <w:lang w:val="en-US" w:eastAsia="zh-CN" w:bidi="ar-SA"/>
        </w:rPr>
        <w:t>国有资本经营预算支出决算情况说明</w:t>
      </w:r>
      <w:bookmarkEnd w:id="37"/>
    </w:p>
    <w:bookmarkEnd w:id="38"/>
    <w:p>
      <w:pPr>
        <w:spacing w:line="600" w:lineRule="exact"/>
        <w:ind w:firstLine="64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rPr>
        <w:t>年国有资本经营预算拨款支出</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万元。</w:t>
      </w:r>
    </w:p>
    <w:p>
      <w:pPr>
        <w:numPr>
          <w:ilvl w:val="0"/>
          <w:numId w:val="0"/>
        </w:numPr>
        <w:rPr>
          <w:rFonts w:hint="eastAsia"/>
        </w:rPr>
      </w:pPr>
    </w:p>
    <w:p>
      <w:pPr>
        <w:pStyle w:val="12"/>
        <w:numPr>
          <w:ilvl w:val="0"/>
          <w:numId w:val="1"/>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39" w:name="_Toc3786"/>
      <w:r>
        <w:rPr>
          <w:rFonts w:hint="eastAsia" w:ascii="黑体" w:hAnsi="黑体" w:eastAsia="黑体" w:cs="黑体"/>
          <w:sz w:val="32"/>
          <w:szCs w:val="32"/>
        </w:rPr>
        <w:t>其他重要事项的情况说明</w:t>
      </w:r>
      <w:bookmarkEnd w:id="39"/>
    </w:p>
    <w:p>
      <w:pPr>
        <w:spacing w:line="600" w:lineRule="exact"/>
        <w:ind w:firstLine="64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无。</w:t>
      </w:r>
    </w:p>
    <w:p>
      <w:pPr>
        <w:numPr>
          <w:ilvl w:val="0"/>
          <w:numId w:val="0"/>
        </w:numPr>
        <w:spacing w:line="600" w:lineRule="exact"/>
        <w:jc w:val="center"/>
        <w:outlineLvl w:val="0"/>
        <w:rPr>
          <w:rFonts w:hint="eastAsia" w:ascii="Times New Roman" w:hAnsi="Times New Roman" w:eastAsia="黑体" w:cs="Times New Roman"/>
          <w:color w:val="auto"/>
          <w:sz w:val="44"/>
          <w:szCs w:val="44"/>
        </w:rPr>
      </w:pPr>
      <w:bookmarkStart w:id="40" w:name="_Toc486"/>
      <w:bookmarkStart w:id="41" w:name="_Toc22573"/>
      <w:r>
        <w:rPr>
          <w:rFonts w:hint="eastAsia" w:ascii="Times New Roman" w:hAnsi="Times New Roman" w:eastAsia="黑体" w:cs="Times New Roman"/>
          <w:color w:val="auto"/>
          <w:sz w:val="44"/>
          <w:szCs w:val="44"/>
        </w:rPr>
        <w:t>第三部分</w:t>
      </w:r>
      <w:r>
        <w:rPr>
          <w:rFonts w:hint="default" w:ascii="Times New Roman" w:hAnsi="Times New Roman" w:eastAsia="黑体" w:cs="Times New Roman"/>
          <w:color w:val="auto"/>
          <w:sz w:val="44"/>
          <w:szCs w:val="44"/>
        </w:rPr>
        <w:t xml:space="preserve"> </w:t>
      </w:r>
      <w:r>
        <w:rPr>
          <w:rFonts w:hint="eastAsia" w:ascii="Times New Roman" w:hAnsi="Times New Roman" w:eastAsia="黑体" w:cs="Times New Roman"/>
          <w:color w:val="auto"/>
          <w:sz w:val="44"/>
          <w:szCs w:val="44"/>
        </w:rPr>
        <w:t>名词解释</w:t>
      </w:r>
      <w:bookmarkEnd w:id="40"/>
      <w:bookmarkEnd w:id="41"/>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1.财政拨款收入：指单位从同级财政部门取得的财政预算资金。</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2.事业收入：指事业单位开展专业业务活动及辅助活动取得的收入。</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.其他收入：指单位取得的除上述收入以外的各项收入。主要是</w:t>
      </w:r>
      <w:r>
        <w:rPr>
          <w:rFonts w:hint="default" w:ascii="Times New Roman" w:hAnsi="Times New Roman" w:eastAsia="仿宋_GB2312" w:cs="Times New Roman"/>
          <w:color w:val="auto"/>
          <w:sz w:val="32"/>
          <w:szCs w:val="32"/>
          <w:lang w:eastAsia="zh-CN"/>
        </w:rPr>
        <w:t>从国家宗教局取得的上级补助收入</w:t>
      </w:r>
      <w:r>
        <w:rPr>
          <w:rFonts w:hint="default" w:ascii="Times New Roman" w:hAnsi="Times New Roman" w:eastAsia="仿宋_GB2312" w:cs="Times New Roman"/>
          <w:color w:val="auto"/>
          <w:sz w:val="32"/>
          <w:szCs w:val="32"/>
        </w:rPr>
        <w:t xml:space="preserve">等。 </w:t>
      </w:r>
    </w:p>
    <w:p>
      <w:pPr>
        <w:pStyle w:val="24"/>
        <w:spacing w:line="560" w:lineRule="exact"/>
        <w:ind w:firstLine="640" w:firstLineChars="200"/>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rPr>
        <w:t xml:space="preserve">.年初结转和结余：指以前年度尚未完成、结转到本年按有关规定继续使用的资金。 </w:t>
      </w:r>
    </w:p>
    <w:p>
      <w:pPr>
        <w:pStyle w:val="24"/>
        <w:spacing w:line="560" w:lineRule="exact"/>
        <w:ind w:firstLine="640" w:firstLineChars="200"/>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5</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年末结转和结余：指单位按有关规定结转到下年或以后年度继续使用的资金。</w:t>
      </w:r>
    </w:p>
    <w:p>
      <w:pPr>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教育</w:t>
      </w:r>
      <w:r>
        <w:rPr>
          <w:rFonts w:hint="default" w:ascii="Times New Roman" w:hAnsi="Times New Roman" w:eastAsia="仿宋_GB2312" w:cs="Times New Roman"/>
          <w:color w:val="auto"/>
          <w:sz w:val="32"/>
          <w:szCs w:val="32"/>
          <w:lang w:eastAsia="zh-CN"/>
        </w:rPr>
        <w:t>支出</w:t>
      </w:r>
      <w:r>
        <w:rPr>
          <w:rFonts w:hint="default" w:ascii="Times New Roman" w:hAnsi="Times New Roman" w:eastAsia="仿宋_GB2312" w:cs="Times New Roman"/>
          <w:color w:val="auto"/>
          <w:sz w:val="32"/>
          <w:szCs w:val="32"/>
        </w:rPr>
        <w:t>（类）其他教育支出（款）其他教育支出（项）</w:t>
      </w:r>
      <w:r>
        <w:rPr>
          <w:rFonts w:hint="default" w:ascii="Times New Roman" w:hAnsi="Times New Roman" w:eastAsia="仿宋_GB2312" w:cs="Times New Roman"/>
          <w:color w:val="auto"/>
          <w:sz w:val="32"/>
          <w:szCs w:val="32"/>
          <w:lang w:eastAsia="zh-CN"/>
        </w:rPr>
        <w:t>：反映其他用于教育方面的支出。</w:t>
      </w:r>
    </w:p>
    <w:p>
      <w:pPr>
        <w:ind w:firstLine="640" w:firstLineChars="200"/>
        <w:rPr>
          <w:rFonts w:hint="default" w:ascii="Times New Roman" w:hAnsi="Times New Roman" w:eastAsia="仿宋_GB2312" w:cs="Times New Roman"/>
          <w:b w:val="0"/>
          <w:bCs w:val="0"/>
          <w:color w:val="auto"/>
          <w:sz w:val="32"/>
          <w:szCs w:val="32"/>
        </w:rPr>
      </w:pPr>
      <w:r>
        <w:rPr>
          <w:rFonts w:hint="eastAsia" w:eastAsia="仿宋_GB2312" w:cs="Times New Roman"/>
          <w:b w:val="0"/>
          <w:bCs w:val="0"/>
          <w:color w:val="auto"/>
          <w:sz w:val="32"/>
          <w:szCs w:val="32"/>
          <w:lang w:val="en-US" w:eastAsia="zh-CN"/>
        </w:rPr>
        <w:t>7</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（款）机关事业单位基本养老保险缴费支出（项）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反映机关事业单位实施养老保险制度由单位缴纳的基本养老保险费支出。</w:t>
      </w:r>
    </w:p>
    <w:p>
      <w:pPr>
        <w:ind w:firstLine="640" w:firstLineChars="200"/>
        <w:rPr>
          <w:rFonts w:hint="default" w:ascii="Times New Roman" w:hAnsi="Times New Roman" w:eastAsia="仿宋_GB2312" w:cs="Times New Roman"/>
          <w:b w:val="0"/>
          <w:bCs w:val="0"/>
          <w:color w:val="auto"/>
          <w:sz w:val="32"/>
          <w:szCs w:val="32"/>
          <w:lang w:eastAsia="zh-CN"/>
        </w:rPr>
      </w:pPr>
      <w:r>
        <w:rPr>
          <w:rFonts w:hint="eastAsia" w:eastAsia="仿宋_GB2312" w:cs="Times New Roman"/>
          <w:b w:val="0"/>
          <w:bCs w:val="0"/>
          <w:color w:val="auto"/>
          <w:sz w:val="32"/>
          <w:szCs w:val="32"/>
          <w:lang w:val="en-US" w:eastAsia="zh-CN"/>
        </w:rPr>
        <w:t>8</w:t>
      </w:r>
      <w:r>
        <w:rPr>
          <w:rFonts w:hint="default" w:ascii="Times New Roman" w:hAnsi="Times New Roman" w:eastAsia="仿宋_GB2312" w:cs="Times New Roman"/>
          <w:b w:val="0"/>
          <w:bCs w:val="0"/>
          <w:color w:val="auto"/>
          <w:sz w:val="32"/>
          <w:szCs w:val="32"/>
          <w:lang w:val="en-US" w:eastAsia="zh-CN"/>
        </w:rPr>
        <w:t>.</w:t>
      </w:r>
      <w:r>
        <w:rPr>
          <w:rFonts w:hint="default" w:ascii="Times New Roman" w:hAnsi="Times New Roman" w:eastAsia="仿宋_GB2312" w:cs="Times New Roman"/>
          <w:b w:val="0"/>
          <w:bCs w:val="0"/>
          <w:color w:val="auto"/>
          <w:sz w:val="32"/>
          <w:szCs w:val="32"/>
        </w:rPr>
        <w:t>社会保障和就业支出（类）</w:t>
      </w:r>
      <w:r>
        <w:rPr>
          <w:rStyle w:val="16"/>
          <w:rFonts w:hint="default" w:ascii="Times New Roman" w:hAnsi="Times New Roman" w:eastAsia="仿宋_GB2312" w:cs="Times New Roman"/>
          <w:b w:val="0"/>
          <w:bCs w:val="0"/>
          <w:color w:val="auto"/>
          <w:sz w:val="32"/>
          <w:szCs w:val="32"/>
          <w:lang w:eastAsia="zh-CN"/>
        </w:rPr>
        <w:t>行政事业单位</w:t>
      </w:r>
      <w:r>
        <w:rPr>
          <w:rStyle w:val="16"/>
          <w:rFonts w:hint="default" w:ascii="Times New Roman" w:hAnsi="Times New Roman" w:eastAsia="仿宋_GB2312" w:cs="Times New Roman"/>
          <w:b w:val="0"/>
          <w:bCs w:val="0"/>
          <w:color w:val="auto"/>
          <w:sz w:val="32"/>
          <w:szCs w:val="32"/>
          <w:lang w:val="en-US" w:eastAsia="zh-CN"/>
        </w:rPr>
        <w:t>养老支出</w:t>
      </w:r>
      <w:r>
        <w:rPr>
          <w:rFonts w:hint="default" w:ascii="Times New Roman" w:hAnsi="Times New Roman" w:eastAsia="仿宋_GB2312" w:cs="Times New Roman"/>
          <w:b w:val="0"/>
          <w:bCs w:val="0"/>
          <w:color w:val="auto"/>
          <w:sz w:val="32"/>
          <w:szCs w:val="32"/>
        </w:rPr>
        <w:t>（款）机关事业单位职业年金缴费支出（项）</w:t>
      </w:r>
      <w:r>
        <w:rPr>
          <w:rFonts w:hint="default" w:ascii="Times New Roman" w:hAnsi="Times New Roman" w:eastAsia="仿宋_GB2312" w:cs="Times New Roman"/>
          <w:b w:val="0"/>
          <w:bCs w:val="0"/>
          <w:color w:val="auto"/>
          <w:sz w:val="32"/>
          <w:szCs w:val="32"/>
          <w:lang w:eastAsia="zh-CN"/>
        </w:rPr>
        <w:t>：</w:t>
      </w:r>
      <w:r>
        <w:rPr>
          <w:rFonts w:hint="default" w:ascii="Times New Roman" w:hAnsi="Times New Roman" w:eastAsia="仿宋_GB2312" w:cs="Times New Roman"/>
          <w:b w:val="0"/>
          <w:bCs w:val="0"/>
          <w:color w:val="auto"/>
          <w:sz w:val="32"/>
          <w:szCs w:val="32"/>
        </w:rPr>
        <w:t>反映机关事业单位实施养老保险制度由单位</w:t>
      </w:r>
      <w:r>
        <w:rPr>
          <w:rFonts w:hint="default" w:ascii="Times New Roman" w:hAnsi="Times New Roman" w:eastAsia="仿宋_GB2312" w:cs="Times New Roman"/>
          <w:b w:val="0"/>
          <w:bCs w:val="0"/>
          <w:color w:val="auto"/>
          <w:sz w:val="32"/>
          <w:szCs w:val="32"/>
          <w:lang w:eastAsia="zh-CN"/>
        </w:rPr>
        <w:t>实际</w:t>
      </w:r>
      <w:r>
        <w:rPr>
          <w:rFonts w:hint="default" w:ascii="Times New Roman" w:hAnsi="Times New Roman" w:eastAsia="仿宋_GB2312" w:cs="Times New Roman"/>
          <w:b w:val="0"/>
          <w:bCs w:val="0"/>
          <w:color w:val="auto"/>
          <w:sz w:val="32"/>
          <w:szCs w:val="32"/>
        </w:rPr>
        <w:t>缴纳的职业年金支出。</w:t>
      </w:r>
    </w:p>
    <w:p>
      <w:pPr>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.卫生健康</w:t>
      </w:r>
      <w:r>
        <w:rPr>
          <w:rFonts w:hint="default" w:ascii="Times New Roman" w:hAnsi="Times New Roman" w:eastAsia="仿宋_GB2312" w:cs="Times New Roman"/>
          <w:color w:val="auto"/>
          <w:sz w:val="32"/>
          <w:szCs w:val="32"/>
        </w:rPr>
        <w:t>支出（类）行政事业单位医疗（款）事业单位医疗（项）</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反映财政部门集中安排的事业单位基本医疗保险缴费经费，未参加医疗保险的事业单位的公费医疗经费，按国家规定享受离休人员待遇的医疗经费。</w:t>
      </w:r>
    </w:p>
    <w:p>
      <w:pPr>
        <w:spacing w:line="580" w:lineRule="exact"/>
        <w:ind w:firstLine="640" w:firstLineChars="200"/>
        <w:rPr>
          <w:rFonts w:hint="default" w:ascii="Times New Roman" w:hAnsi="Times New Roman" w:eastAsia="仿宋_GB2312" w:cs="Times New Roman"/>
          <w:color w:val="auto"/>
          <w:sz w:val="32"/>
          <w:szCs w:val="32"/>
          <w:lang w:eastAsia="zh-CN"/>
        </w:rPr>
      </w:pPr>
      <w:r>
        <w:rPr>
          <w:rFonts w:hint="eastAsia"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0.</w:t>
      </w:r>
      <w:r>
        <w:rPr>
          <w:rFonts w:hint="default" w:ascii="Times New Roman" w:hAnsi="Times New Roman" w:eastAsia="仿宋_GB2312" w:cs="Times New Roman"/>
          <w:color w:val="auto"/>
          <w:sz w:val="32"/>
          <w:szCs w:val="32"/>
        </w:rPr>
        <w:t>住房保障支出（类）住房改革支出（款）住房公积金（项）</w:t>
      </w:r>
      <w:r>
        <w:rPr>
          <w:rFonts w:hint="default" w:ascii="Times New Roman" w:hAnsi="Times New Roman" w:eastAsia="仿宋_GB2312" w:cs="Times New Roman"/>
          <w:color w:val="auto"/>
          <w:sz w:val="32"/>
          <w:szCs w:val="32"/>
          <w:lang w:eastAsia="zh-CN"/>
        </w:rPr>
        <w:t>：反映行政事业单位按人力资源和社会保障部、财政部规定的基本工资和津贴补贴以及规定比例为职工缴纳的住房公积金。</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rPr>
        <w:t>.基本支出：指为保障机构正常运转、完成日常工作任务而发生的人员支出和公用支出。</w:t>
      </w:r>
    </w:p>
    <w:p>
      <w:pPr>
        <w:spacing w:line="580" w:lineRule="exact"/>
        <w:ind w:firstLine="640" w:firstLineChars="200"/>
        <w:rPr>
          <w:rFonts w:hint="default" w:ascii="Times New Roman" w:hAnsi="Times New Roman" w:eastAsia="仿宋_GB2312" w:cs="Times New Roman"/>
          <w:color w:val="auto"/>
          <w:sz w:val="32"/>
          <w:szCs w:val="32"/>
        </w:rPr>
      </w:pPr>
      <w:r>
        <w:rPr>
          <w:rFonts w:hint="eastAsia"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rPr>
        <w:t xml:space="preserve">.项目支出：指在基本支出之外为完成特定行政任务和事业发展目标所发生的支出。 </w:t>
      </w:r>
    </w:p>
    <w:p/>
    <w:p>
      <w:pPr>
        <w:numPr>
          <w:ilvl w:val="0"/>
          <w:numId w:val="2"/>
        </w:numPr>
        <w:spacing w:line="600" w:lineRule="exact"/>
        <w:jc w:val="center"/>
        <w:outlineLvl w:val="0"/>
        <w:rPr>
          <w:rStyle w:val="26"/>
          <w:rFonts w:hint="eastAsia" w:ascii="Times New Roman" w:hAnsi="Times New Roman" w:eastAsia="黑体" w:cs="Times New Roman"/>
          <w:b w:val="0"/>
          <w:color w:val="auto"/>
        </w:rPr>
      </w:pPr>
      <w:bookmarkStart w:id="42" w:name="_Toc7061"/>
      <w:r>
        <w:rPr>
          <w:rStyle w:val="26"/>
          <w:rFonts w:hint="eastAsia" w:ascii="Times New Roman" w:hAnsi="Times New Roman" w:eastAsia="黑体" w:cs="Times New Roman"/>
          <w:b w:val="0"/>
          <w:color w:val="auto"/>
        </w:rPr>
        <w:t>附件</w:t>
      </w:r>
      <w:bookmarkEnd w:id="42"/>
    </w:p>
    <w:p>
      <w:pPr>
        <w:spacing w:line="580" w:lineRule="exact"/>
        <w:ind w:firstLine="640" w:firstLineChars="200"/>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无。</w:t>
      </w:r>
    </w:p>
    <w:p>
      <w:pPr>
        <w:pStyle w:val="11"/>
        <w:adjustRightInd w:val="0"/>
        <w:snapToGrid w:val="0"/>
        <w:spacing w:before="0" w:line="440" w:lineRule="exact"/>
        <w:jc w:val="center"/>
        <w:outlineLvl w:val="0"/>
        <w:rPr>
          <w:rFonts w:hint="eastAsia" w:ascii="Times New Roman" w:hAnsi="Times New Roman" w:eastAsia="黑体" w:cs="Times New Roman"/>
          <w:color w:val="auto"/>
          <w:kern w:val="2"/>
          <w:sz w:val="44"/>
          <w:szCs w:val="44"/>
          <w:lang w:val="en-US" w:eastAsia="zh-CN" w:bidi="ar-SA"/>
        </w:rPr>
        <w:sectPr>
          <w:pgSz w:w="11906" w:h="16838"/>
          <w:pgMar w:top="1440" w:right="1800" w:bottom="1440" w:left="1800" w:header="851" w:footer="992" w:gutter="0"/>
          <w:pgNumType w:start="1"/>
          <w:cols w:space="425" w:num="1"/>
          <w:titlePg/>
          <w:docGrid w:type="lines" w:linePitch="312" w:charSpace="0"/>
        </w:sectPr>
      </w:pPr>
    </w:p>
    <w:p>
      <w:pPr>
        <w:pStyle w:val="11"/>
        <w:adjustRightInd w:val="0"/>
        <w:snapToGrid w:val="0"/>
        <w:spacing w:before="0" w:line="440" w:lineRule="exact"/>
        <w:jc w:val="center"/>
        <w:outlineLvl w:val="0"/>
        <w:rPr>
          <w:rFonts w:hint="eastAsia" w:ascii="Times New Roman" w:hAnsi="Times New Roman" w:eastAsia="黑体" w:cs="Times New Roman"/>
          <w:color w:val="auto"/>
          <w:kern w:val="2"/>
          <w:sz w:val="44"/>
          <w:szCs w:val="44"/>
          <w:lang w:val="en-US" w:eastAsia="zh-CN" w:bidi="ar-SA"/>
        </w:rPr>
      </w:pPr>
      <w:bookmarkStart w:id="43" w:name="_Toc21018"/>
      <w:r>
        <w:rPr>
          <w:rFonts w:hint="eastAsia" w:ascii="Times New Roman" w:hAnsi="Times New Roman" w:eastAsia="黑体" w:cs="Times New Roman"/>
          <w:color w:val="auto"/>
          <w:kern w:val="2"/>
          <w:sz w:val="44"/>
          <w:szCs w:val="44"/>
          <w:lang w:val="en-US" w:eastAsia="zh-CN" w:bidi="ar-SA"/>
        </w:rPr>
        <w:t>第五部分</w:t>
      </w:r>
      <w:r>
        <w:rPr>
          <w:rFonts w:hint="default" w:ascii="Times New Roman" w:hAnsi="Times New Roman" w:eastAsia="黑体" w:cs="Times New Roman"/>
          <w:color w:val="auto"/>
          <w:kern w:val="2"/>
          <w:sz w:val="44"/>
          <w:szCs w:val="44"/>
          <w:lang w:val="en-US" w:eastAsia="zh-CN" w:bidi="ar-SA"/>
        </w:rPr>
        <w:t xml:space="preserve"> </w:t>
      </w:r>
      <w:r>
        <w:rPr>
          <w:rFonts w:hint="eastAsia" w:ascii="Times New Roman" w:hAnsi="Times New Roman" w:eastAsia="黑体" w:cs="Times New Roman"/>
          <w:color w:val="auto"/>
          <w:kern w:val="2"/>
          <w:sz w:val="44"/>
          <w:szCs w:val="44"/>
          <w:lang w:val="en-US" w:eastAsia="zh-CN" w:bidi="ar-SA"/>
        </w:rPr>
        <w:t>附表</w:t>
      </w:r>
      <w:bookmarkEnd w:id="43"/>
    </w:p>
    <w:p>
      <w:pPr>
        <w:outlineLvl w:val="1"/>
        <w:rPr>
          <w:rFonts w:hint="default"/>
          <w:sz w:val="32"/>
          <w:szCs w:val="32"/>
          <w:lang w:val="en-US" w:eastAsia="zh-CN"/>
        </w:rPr>
      </w:pPr>
      <w:bookmarkStart w:id="44" w:name="_Toc19972"/>
      <w:r>
        <w:rPr>
          <w:rFonts w:hint="eastAsia" w:ascii="Times New Roman" w:hAnsi="Times New Roman" w:eastAsia="黑体" w:cs="Times New Roman"/>
          <w:color w:val="auto"/>
          <w:kern w:val="2"/>
          <w:sz w:val="32"/>
          <w:szCs w:val="32"/>
          <w:lang w:val="en-US" w:eastAsia="zh-CN" w:bidi="ar-SA"/>
        </w:rPr>
        <w:t>一、收入支出决算总表</w:t>
      </w:r>
      <w:bookmarkEnd w:id="44"/>
    </w:p>
    <w:tbl>
      <w:tblPr>
        <w:tblStyle w:val="14"/>
        <w:tblW w:w="5000" w:type="pct"/>
        <w:tblInd w:w="0" w:type="dxa"/>
        <w:shd w:val="clear" w:color="auto" w:fill="auto"/>
        <w:tblLayout w:type="autofit"/>
        <w:tblCellMar>
          <w:top w:w="0" w:type="dxa"/>
          <w:left w:w="108" w:type="dxa"/>
          <w:bottom w:w="0" w:type="dxa"/>
          <w:right w:w="108" w:type="dxa"/>
        </w:tblCellMar>
      </w:tblPr>
      <w:tblGrid>
        <w:gridCol w:w="4853"/>
        <w:gridCol w:w="921"/>
        <w:gridCol w:w="1202"/>
        <w:gridCol w:w="4575"/>
        <w:gridCol w:w="921"/>
        <w:gridCol w:w="1702"/>
      </w:tblGrid>
      <w:tr>
        <w:tblPrEx>
          <w:shd w:val="clear" w:color="auto" w:fill="auto"/>
          <w:tblCellMar>
            <w:top w:w="0" w:type="dxa"/>
            <w:left w:w="108" w:type="dxa"/>
            <w:bottom w:w="0" w:type="dxa"/>
            <w:right w:w="108" w:type="dxa"/>
          </w:tblCellMar>
        </w:tblPrEx>
        <w:trPr>
          <w:trHeight w:val="390" w:hRule="atLeast"/>
        </w:trPr>
        <w:tc>
          <w:tcPr>
            <w:tcW w:w="5000" w:type="pct"/>
            <w:gridSpan w:val="6"/>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2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1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4" w:type="pct"/>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财决公开1表</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2363" w:type="pct"/>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924"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461"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2538"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2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32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48.38</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151.95</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154.24</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158.94</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使用非财政拨款结余</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结余分配</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59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年初结转和结余</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10.14</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年末结转和结余</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5.44</w:t>
            </w: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1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5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12"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2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164.38</w:t>
            </w:r>
          </w:p>
        </w:tc>
        <w:tc>
          <w:tcPr>
            <w:tcW w:w="161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3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5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164.38</w:t>
            </w:r>
          </w:p>
        </w:tc>
      </w:tr>
    </w:tbl>
    <w:p>
      <w:pPr>
        <w:pStyle w:val="2"/>
        <w:rPr>
          <w:rFonts w:hint="eastAsia"/>
        </w:rPr>
      </w:pPr>
    </w:p>
    <w:p/>
    <w:p>
      <w:pPr>
        <w:rPr>
          <w:rFonts w:hint="eastAsia"/>
        </w:rPr>
      </w:pPr>
      <w:r>
        <w:rPr>
          <w:rFonts w:hint="eastAsia"/>
          <w:sz w:val="24"/>
        </w:rPr>
        <w:br w:type="page"/>
      </w:r>
    </w:p>
    <w:p>
      <w:pPr>
        <w:pStyle w:val="12"/>
        <w:numPr>
          <w:ilvl w:val="0"/>
          <w:numId w:val="3"/>
        </w:numPr>
        <w:adjustRightInd w:val="0"/>
        <w:snapToGrid w:val="0"/>
        <w:spacing w:line="440" w:lineRule="exact"/>
        <w:jc w:val="left"/>
        <w:outlineLvl w:val="1"/>
        <w:rPr>
          <w:rFonts w:hint="eastAsia" w:ascii="黑体" w:hAnsi="黑体" w:eastAsia="黑体" w:cs="黑体"/>
          <w:sz w:val="32"/>
          <w:szCs w:val="32"/>
        </w:rPr>
      </w:pPr>
      <w:bookmarkStart w:id="45" w:name="_Toc22215"/>
      <w:r>
        <w:rPr>
          <w:rFonts w:hint="eastAsia" w:ascii="黑体" w:hAnsi="黑体" w:eastAsia="黑体" w:cs="黑体"/>
          <w:sz w:val="32"/>
          <w:szCs w:val="32"/>
        </w:rPr>
        <w:t>收入决算表</w:t>
      </w:r>
      <w:bookmarkEnd w:id="45"/>
    </w:p>
    <w:tbl>
      <w:tblPr>
        <w:tblStyle w:val="14"/>
        <w:tblW w:w="4999" w:type="pct"/>
        <w:tblInd w:w="0" w:type="dxa"/>
        <w:shd w:val="clear" w:color="auto" w:fill="auto"/>
        <w:tblLayout w:type="fixed"/>
        <w:tblCellMar>
          <w:top w:w="0" w:type="dxa"/>
          <w:left w:w="108" w:type="dxa"/>
          <w:bottom w:w="0" w:type="dxa"/>
          <w:right w:w="108" w:type="dxa"/>
        </w:tblCellMar>
      </w:tblPr>
      <w:tblGrid>
        <w:gridCol w:w="541"/>
        <w:gridCol w:w="585"/>
        <w:gridCol w:w="525"/>
        <w:gridCol w:w="2325"/>
        <w:gridCol w:w="1635"/>
        <w:gridCol w:w="1575"/>
        <w:gridCol w:w="1530"/>
        <w:gridCol w:w="1290"/>
        <w:gridCol w:w="1110"/>
        <w:gridCol w:w="1305"/>
        <w:gridCol w:w="1751"/>
      </w:tblGrid>
      <w:tr>
        <w:tblPrEx>
          <w:shd w:val="clear" w:color="auto" w:fill="auto"/>
          <w:tblCellMar>
            <w:top w:w="0" w:type="dxa"/>
            <w:left w:w="108" w:type="dxa"/>
            <w:bottom w:w="0" w:type="dxa"/>
            <w:right w:w="108" w:type="dxa"/>
          </w:tblCellMar>
        </w:tblPrEx>
        <w:trPr>
          <w:trHeight w:val="390" w:hRule="atLeast"/>
        </w:trPr>
        <w:tc>
          <w:tcPr>
            <w:tcW w:w="5000" w:type="pct"/>
            <w:gridSpan w:val="11"/>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收入决算表</w:t>
            </w:r>
          </w:p>
        </w:tc>
      </w:tr>
      <w:tr>
        <w:tblPrEx>
          <w:shd w:val="clear" w:color="auto" w:fill="auto"/>
          <w:tblCellMar>
            <w:top w:w="0" w:type="dxa"/>
            <w:left w:w="108" w:type="dxa"/>
            <w:bottom w:w="0" w:type="dxa"/>
            <w:right w:w="108" w:type="dxa"/>
          </w:tblCellMar>
        </w:tblPrEx>
        <w:trPr>
          <w:trHeight w:val="300" w:hRule="atLeast"/>
        </w:trPr>
        <w:tc>
          <w:tcPr>
            <w:tcW w:w="19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2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7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5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3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9" w:type="pct"/>
            <w:gridSpan w:val="3"/>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财决公开02表</w:t>
            </w:r>
          </w:p>
        </w:tc>
      </w:tr>
      <w:tr>
        <w:tblPrEx>
          <w:shd w:val="clear" w:color="auto" w:fill="auto"/>
          <w:tblCellMar>
            <w:top w:w="0" w:type="dxa"/>
            <w:left w:w="108" w:type="dxa"/>
            <w:bottom w:w="0" w:type="dxa"/>
            <w:right w:w="108" w:type="dxa"/>
          </w:tblCellMar>
        </w:tblPrEx>
        <w:trPr>
          <w:trHeight w:val="300" w:hRule="atLeast"/>
        </w:trPr>
        <w:tc>
          <w:tcPr>
            <w:tcW w:w="1402" w:type="pct"/>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1672" w:type="pct"/>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45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9"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582" w:type="pct"/>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820"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7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55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53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45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9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46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1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trPr>
        <w:tc>
          <w:tcPr>
            <w:tcW w:w="582"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7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7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12" w:hRule="atLeast"/>
        </w:trPr>
        <w:tc>
          <w:tcPr>
            <w:tcW w:w="582"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0"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7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6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90"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20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8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57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5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3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5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91"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6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1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trPr>
        <w:tc>
          <w:tcPr>
            <w:tcW w:w="190"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06"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154.24</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105.78</w:t>
            </w:r>
          </w:p>
        </w:tc>
        <w:tc>
          <w:tcPr>
            <w:tcW w:w="5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48.38</w:t>
            </w: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0.08</w:t>
            </w: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147.25</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98.79</w:t>
            </w:r>
          </w:p>
        </w:tc>
        <w:tc>
          <w:tcPr>
            <w:tcW w:w="5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48.38</w:t>
            </w: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0.08</w:t>
            </w: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147.25</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98.79</w:t>
            </w:r>
          </w:p>
        </w:tc>
        <w:tc>
          <w:tcPr>
            <w:tcW w:w="5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48.38</w:t>
            </w: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0.08</w:t>
            </w: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147.25</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98.79</w:t>
            </w:r>
          </w:p>
        </w:tc>
        <w:tc>
          <w:tcPr>
            <w:tcW w:w="53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48.38</w:t>
            </w: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w:t>
            </w: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82"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82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5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55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53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6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rPr>
          <w:rFonts w:hint="eastAsia"/>
        </w:r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sectPr>
          <w:footerReference r:id="rId7" w:type="first"/>
          <w:footerReference r:id="rId6" w:type="default"/>
          <w:pgSz w:w="16838" w:h="11906" w:orient="landscape"/>
          <w:pgMar w:top="1800" w:right="1440" w:bottom="1800" w:left="1440" w:header="851" w:footer="992" w:gutter="0"/>
          <w:pgNumType w:start="10"/>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46" w:name="_Toc7546"/>
      <w:r>
        <w:rPr>
          <w:rFonts w:hint="eastAsia" w:ascii="黑体" w:hAnsi="黑体" w:eastAsia="黑体" w:cs="黑体"/>
          <w:sz w:val="32"/>
          <w:szCs w:val="32"/>
        </w:rPr>
        <w:t>支出决算表</w:t>
      </w:r>
      <w:bookmarkEnd w:id="46"/>
    </w:p>
    <w:tbl>
      <w:tblPr>
        <w:tblStyle w:val="14"/>
        <w:tblW w:w="5000" w:type="pct"/>
        <w:tblInd w:w="0" w:type="dxa"/>
        <w:shd w:val="clear" w:color="auto" w:fill="auto"/>
        <w:tblLayout w:type="fixed"/>
        <w:tblCellMar>
          <w:top w:w="0" w:type="dxa"/>
          <w:left w:w="108" w:type="dxa"/>
          <w:bottom w:w="0" w:type="dxa"/>
          <w:right w:w="108" w:type="dxa"/>
        </w:tblCellMar>
      </w:tblPr>
      <w:tblGrid>
        <w:gridCol w:w="2169"/>
        <w:gridCol w:w="635"/>
        <w:gridCol w:w="644"/>
        <w:gridCol w:w="4918"/>
        <w:gridCol w:w="1171"/>
        <w:gridCol w:w="1031"/>
        <w:gridCol w:w="1038"/>
        <w:gridCol w:w="644"/>
        <w:gridCol w:w="644"/>
        <w:gridCol w:w="1281"/>
      </w:tblGrid>
      <w:tr>
        <w:tblPrEx>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支出决算表</w:t>
            </w:r>
          </w:p>
        </w:tc>
      </w:tr>
      <w:tr>
        <w:tblPrEx>
          <w:shd w:val="clear" w:color="auto" w:fill="auto"/>
          <w:tblCellMar>
            <w:top w:w="0" w:type="dxa"/>
            <w:left w:w="108" w:type="dxa"/>
            <w:bottom w:w="0" w:type="dxa"/>
            <w:right w:w="108" w:type="dxa"/>
          </w:tblCellMar>
        </w:tblPrEx>
        <w:trPr>
          <w:trHeight w:val="300" w:hRule="atLeast"/>
        </w:trPr>
        <w:tc>
          <w:tcPr>
            <w:tcW w:w="76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73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1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6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05" w:type="pct"/>
            <w:gridSpan w:val="3"/>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财决公开03表</w:t>
            </w: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2878" w:type="pct"/>
            <w:gridSpan w:val="4"/>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905" w:type="pct"/>
            <w:gridSpan w:val="3"/>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216" w:type="pct"/>
            <w:gridSpan w:val="3"/>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73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1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6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22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22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4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trPr>
        <w:tc>
          <w:tcPr>
            <w:tcW w:w="121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121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1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2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65"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22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22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1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6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2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27"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50"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PrEx>
        <w:trPr>
          <w:trHeight w:val="300" w:hRule="atLeast"/>
        </w:trPr>
        <w:tc>
          <w:tcPr>
            <w:tcW w:w="765"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2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158.94</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82.47</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151.95</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151.95</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75.48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151.95</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75.48</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76.47</w:t>
            </w: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PrEx>
        <w:trPr>
          <w:trHeight w:val="300" w:hRule="atLeast"/>
        </w:trPr>
        <w:tc>
          <w:tcPr>
            <w:tcW w:w="1216"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73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36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2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注：本表以“万元”为金额单位（保留两位小数），反映部门本年度各项支出情况。</w:t>
            </w:r>
          </w:p>
        </w:tc>
      </w:tr>
    </w:tbl>
    <w:p>
      <w:pPr>
        <w:rPr>
          <w:rFonts w:hint="eastAsia"/>
        </w:r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sectPr>
          <w:footerReference r:id="rId9" w:type="first"/>
          <w:footerReference r:id="rId8" w:type="default"/>
          <w:pgSz w:w="16838" w:h="11906" w:orient="landscape"/>
          <w:pgMar w:top="1800" w:right="1440" w:bottom="1800" w:left="1440" w:header="851" w:footer="992" w:gutter="0"/>
          <w:pgNumType w:start="14"/>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47" w:name="_Toc21916"/>
      <w:r>
        <w:rPr>
          <w:rFonts w:hint="eastAsia" w:ascii="黑体" w:hAnsi="黑体" w:eastAsia="黑体" w:cs="黑体"/>
          <w:sz w:val="32"/>
          <w:szCs w:val="32"/>
        </w:rPr>
        <w:t>财政拨款收入支出决算总表</w:t>
      </w:r>
      <w:bookmarkEnd w:id="47"/>
    </w:p>
    <w:tbl>
      <w:tblPr>
        <w:tblStyle w:val="14"/>
        <w:tblW w:w="5000" w:type="pct"/>
        <w:tblInd w:w="0" w:type="dxa"/>
        <w:shd w:val="clear" w:color="auto" w:fill="auto"/>
        <w:tblLayout w:type="autofit"/>
        <w:tblCellMar>
          <w:top w:w="0" w:type="dxa"/>
          <w:left w:w="108" w:type="dxa"/>
          <w:bottom w:w="0" w:type="dxa"/>
          <w:right w:w="108" w:type="dxa"/>
        </w:tblCellMar>
      </w:tblPr>
      <w:tblGrid>
        <w:gridCol w:w="3016"/>
        <w:gridCol w:w="541"/>
        <w:gridCol w:w="889"/>
        <w:gridCol w:w="3216"/>
        <w:gridCol w:w="1151"/>
        <w:gridCol w:w="932"/>
        <w:gridCol w:w="1264"/>
        <w:gridCol w:w="1408"/>
        <w:gridCol w:w="1757"/>
      </w:tblGrid>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single" w:color="808080" w:sz="4" w:space="0"/>
            </w:tcBorders>
            <w:shd w:val="clear" w:color="auto" w:fill="auto"/>
            <w:noWrap/>
            <w:vAlign w:val="center"/>
          </w:tcPr>
          <w:p>
            <w:pPr>
              <w:pStyle w:val="12"/>
              <w:numPr>
                <w:ilvl w:val="0"/>
                <w:numId w:val="0"/>
              </w:numPr>
              <w:adjustRightInd w:val="0"/>
              <w:snapToGrid w:val="0"/>
              <w:spacing w:line="440" w:lineRule="exact"/>
              <w:ind w:leftChars="200"/>
              <w:jc w:val="center"/>
              <w:rPr>
                <w:rFonts w:hint="eastAsia" w:ascii="黑体" w:hAnsi="黑体" w:eastAsia="黑体" w:cs="黑体"/>
                <w:sz w:val="32"/>
                <w:szCs w:val="32"/>
              </w:rPr>
            </w:pPr>
            <w:r>
              <w:rPr>
                <w:rFonts w:hint="eastAsia" w:ascii="黑体" w:hAnsi="黑体" w:eastAsia="黑体" w:cs="黑体"/>
                <w:sz w:val="32"/>
                <w:szCs w:val="32"/>
              </w:rPr>
              <w:t>财政拨款收入支出决算总表</w:t>
            </w:r>
          </w:p>
          <w:p>
            <w:pPr>
              <w:keepNext w:val="0"/>
              <w:keepLines w:val="0"/>
              <w:widowControl/>
              <w:suppressLineNumbers w:val="0"/>
              <w:tabs>
                <w:tab w:val="left" w:pos="5529"/>
              </w:tabs>
              <w:jc w:val="left"/>
              <w:textAlignment w:val="center"/>
              <w:rPr>
                <w:rFonts w:hint="eastAsia" w:ascii="宋体" w:hAnsi="宋体" w:eastAsia="宋体" w:cs="宋体"/>
                <w:i w:val="0"/>
                <w:iCs w:val="0"/>
                <w:color w:val="000000"/>
                <w:kern w:val="0"/>
                <w:sz w:val="22"/>
                <w:szCs w:val="22"/>
                <w:u w:val="none"/>
                <w:lang w:val="en-US" w:eastAsia="zh-CN" w:bidi="ar"/>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25"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3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7"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财决公开04表</w:t>
            </w: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19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1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25"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2"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33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0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7"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568"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431"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trPr>
        <w:tc>
          <w:tcPr>
            <w:tcW w:w="1055"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9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1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125" w:type="pct"/>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02"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3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5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50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61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00" w:hRule="atLeast"/>
        </w:trPr>
        <w:tc>
          <w:tcPr>
            <w:tcW w:w="1055" w:type="pct"/>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9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5" w:type="pct"/>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402"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3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1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95"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25"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02"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98.79</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98.79</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1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12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33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5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55"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112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0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33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45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50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注：本表以“万元”为金额单位（保留两位小数），反映部门本年度一般公共预算财政拨款、政府性基金预算财政拨款和国有资本经营预算财政拨款的总收支和年末结转结余情况。</w:t>
            </w:r>
          </w:p>
        </w:tc>
      </w:tr>
    </w:tbl>
    <w:p>
      <w:pPr>
        <w:numPr>
          <w:ilvl w:val="0"/>
          <w:numId w:val="0"/>
        </w:numPr>
        <w:rPr>
          <w:rFonts w:hint="eastAsia"/>
        </w:rPr>
      </w:pPr>
    </w:p>
    <w:p>
      <w:pPr>
        <w:pStyle w:val="12"/>
        <w:adjustRightInd w:val="0"/>
        <w:snapToGrid w:val="0"/>
        <w:spacing w:line="440" w:lineRule="exact"/>
        <w:jc w:val="left"/>
        <w:rPr>
          <w:rFonts w:hint="eastAsia"/>
          <w:sz w:val="24"/>
        </w:rPr>
        <w:sectPr>
          <w:footerReference r:id="rId11" w:type="first"/>
          <w:footerReference r:id="rId10" w:type="default"/>
          <w:pgSz w:w="16838" w:h="11906" w:orient="landscape"/>
          <w:pgMar w:top="1800" w:right="1440" w:bottom="1800" w:left="1440" w:header="851" w:footer="992" w:gutter="0"/>
          <w:pgNumType w:start="16"/>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48" w:name="_Toc3031"/>
      <w:r>
        <w:rPr>
          <w:rFonts w:hint="eastAsia" w:ascii="黑体" w:hAnsi="黑体" w:eastAsia="黑体" w:cs="黑体"/>
          <w:sz w:val="32"/>
          <w:szCs w:val="32"/>
        </w:rPr>
        <w:t>财政拨款支出决算明细表</w:t>
      </w:r>
      <w:bookmarkEnd w:id="48"/>
    </w:p>
    <w:tbl>
      <w:tblPr>
        <w:tblStyle w:val="14"/>
        <w:tblW w:w="14081" w:type="dxa"/>
        <w:tblInd w:w="93" w:type="dxa"/>
        <w:shd w:val="clear" w:color="auto" w:fill="auto"/>
        <w:tblLayout w:type="fixed"/>
        <w:tblCellMar>
          <w:top w:w="0" w:type="dxa"/>
          <w:left w:w="108" w:type="dxa"/>
          <w:bottom w:w="0" w:type="dxa"/>
          <w:right w:w="108" w:type="dxa"/>
        </w:tblCellMar>
      </w:tblPr>
      <w:tblGrid>
        <w:gridCol w:w="2321"/>
        <w:gridCol w:w="221"/>
        <w:gridCol w:w="240"/>
        <w:gridCol w:w="2760"/>
        <w:gridCol w:w="920"/>
        <w:gridCol w:w="1080"/>
        <w:gridCol w:w="1002"/>
        <w:gridCol w:w="948"/>
        <w:gridCol w:w="858"/>
        <w:gridCol w:w="408"/>
        <w:gridCol w:w="408"/>
        <w:gridCol w:w="408"/>
        <w:gridCol w:w="408"/>
        <w:gridCol w:w="408"/>
        <w:gridCol w:w="1691"/>
      </w:tblGrid>
      <w:tr>
        <w:tblPrEx>
          <w:tblCellMar>
            <w:top w:w="0" w:type="dxa"/>
            <w:left w:w="108" w:type="dxa"/>
            <w:bottom w:w="0" w:type="dxa"/>
            <w:right w:w="108" w:type="dxa"/>
          </w:tblCellMar>
        </w:tblPrEx>
        <w:trPr>
          <w:trHeight w:val="390" w:hRule="atLeast"/>
        </w:trPr>
        <w:tc>
          <w:tcPr>
            <w:tcW w:w="14081" w:type="dxa"/>
            <w:gridSpan w:val="15"/>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财政拨款支出决算明细表</w:t>
            </w:r>
          </w:p>
        </w:tc>
      </w:tr>
      <w:tr>
        <w:tblPrEx>
          <w:shd w:val="clear" w:color="auto" w:fill="auto"/>
          <w:tblCellMar>
            <w:top w:w="0" w:type="dxa"/>
            <w:left w:w="108" w:type="dxa"/>
            <w:bottom w:w="0" w:type="dxa"/>
            <w:right w:w="108" w:type="dxa"/>
          </w:tblCellMar>
        </w:tblPrEx>
        <w:trPr>
          <w:trHeight w:val="300" w:hRule="atLeast"/>
        </w:trPr>
        <w:tc>
          <w:tcPr>
            <w:tcW w:w="232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2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6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2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8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02"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85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1"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财决公开05表</w:t>
            </w:r>
          </w:p>
        </w:tc>
      </w:tr>
      <w:tr>
        <w:tblPrEx>
          <w:shd w:val="clear" w:color="auto" w:fill="auto"/>
          <w:tblCellMar>
            <w:top w:w="0" w:type="dxa"/>
            <w:left w:w="108" w:type="dxa"/>
            <w:bottom w:w="0" w:type="dxa"/>
            <w:right w:w="108" w:type="dxa"/>
          </w:tblCellMar>
        </w:tblPrEx>
        <w:trPr>
          <w:trHeight w:val="300" w:hRule="atLeast"/>
        </w:trPr>
        <w:tc>
          <w:tcPr>
            <w:tcW w:w="2321" w:type="dxa"/>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221"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4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760"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08" w:type="dxa"/>
            <w:gridSpan w:val="5"/>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40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08"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691"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480" w:hRule="atLeast"/>
        </w:trPr>
        <w:tc>
          <w:tcPr>
            <w:tcW w:w="554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92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08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08"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122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2507"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450" w:hRule="atLeast"/>
        </w:trPr>
        <w:tc>
          <w:tcPr>
            <w:tcW w:w="2782"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经济分类科目编码</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92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9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85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40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69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300" w:hRule="atLeast"/>
        </w:trPr>
        <w:tc>
          <w:tcPr>
            <w:tcW w:w="2782"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105.78</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29.31</w:t>
            </w: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76.47</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23.71</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23.71</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17.47</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12.48</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08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100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59.00</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27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资本性支出（基本建设）</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30919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30922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其他基本建设支出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对企业补助（基本建设）</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31199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169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对社会保障基金补助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31302</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对社会保险基金补助</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31303</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补充全国社会保障基金</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w:t>
            </w: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赠与</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78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27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080"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02"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5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350" w:type="dxa"/>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注：本表以“万元”为金额单位（保留两位小数），反映部门本年度财政拨款实际支出情况。</w:t>
            </w:r>
          </w:p>
        </w:tc>
        <w:tc>
          <w:tcPr>
            <w:tcW w:w="408"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08"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691"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rPr>
          <w:rFonts w:hint="eastAsia"/>
        </w:rPr>
      </w:pPr>
    </w:p>
    <w:p>
      <w:pPr>
        <w:pStyle w:val="12"/>
        <w:adjustRightInd w:val="0"/>
        <w:snapToGrid w:val="0"/>
        <w:spacing w:line="440" w:lineRule="exact"/>
        <w:jc w:val="left"/>
        <w:rPr>
          <w:rFonts w:hint="eastAsia"/>
          <w:sz w:val="24"/>
        </w:rPr>
        <w:sectPr>
          <w:footerReference r:id="rId13" w:type="first"/>
          <w:footerReference r:id="rId12" w:type="default"/>
          <w:pgSz w:w="16838" w:h="11906" w:orient="landscape"/>
          <w:pgMar w:top="1800" w:right="1440" w:bottom="1800" w:left="1440" w:header="851" w:footer="992" w:gutter="0"/>
          <w:pgNumType w:start="18"/>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49" w:name="_Toc30747"/>
      <w:r>
        <w:rPr>
          <w:rFonts w:hint="eastAsia" w:ascii="黑体" w:hAnsi="黑体" w:eastAsia="黑体" w:cs="黑体"/>
          <w:sz w:val="32"/>
          <w:szCs w:val="32"/>
        </w:rPr>
        <w:t>一般公共预算财政拨款支出决算表</w:t>
      </w:r>
      <w:bookmarkEnd w:id="49"/>
    </w:p>
    <w:tbl>
      <w:tblPr>
        <w:tblStyle w:val="14"/>
        <w:tblW w:w="13125" w:type="dxa"/>
        <w:tblInd w:w="93" w:type="dxa"/>
        <w:shd w:val="clear" w:color="auto" w:fill="auto"/>
        <w:tblLayout w:type="autofit"/>
        <w:tblCellMar>
          <w:top w:w="0" w:type="dxa"/>
          <w:left w:w="108" w:type="dxa"/>
          <w:bottom w:w="0" w:type="dxa"/>
          <w:right w:w="108" w:type="dxa"/>
        </w:tblCellMar>
      </w:tblPr>
      <w:tblGrid>
        <w:gridCol w:w="2416"/>
        <w:gridCol w:w="416"/>
        <w:gridCol w:w="434"/>
        <w:gridCol w:w="3616"/>
        <w:gridCol w:w="2096"/>
        <w:gridCol w:w="2081"/>
        <w:gridCol w:w="2066"/>
      </w:tblGrid>
      <w:tr>
        <w:tblPrEx>
          <w:shd w:val="clear" w:color="auto" w:fill="auto"/>
          <w:tblCellMar>
            <w:top w:w="0" w:type="dxa"/>
            <w:left w:w="108" w:type="dxa"/>
            <w:bottom w:w="0" w:type="dxa"/>
            <w:right w:w="108" w:type="dxa"/>
          </w:tblCellMar>
        </w:tblPrEx>
        <w:trPr>
          <w:trHeight w:val="390" w:hRule="atLeast"/>
        </w:trPr>
        <w:tc>
          <w:tcPr>
            <w:tcW w:w="13125" w:type="dxa"/>
            <w:gridSpan w:val="7"/>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财决公开06表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326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支出功能分类</w:t>
            </w:r>
          </w:p>
        </w:tc>
        <w:tc>
          <w:tcPr>
            <w:tcW w:w="3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09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208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270" w:hRule="atLeast"/>
        </w:trPr>
        <w:tc>
          <w:tcPr>
            <w:tcW w:w="326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24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3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9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8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6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105.78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29.31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98.79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76.47</w:t>
            </w: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6"/>
                <w:szCs w:val="16"/>
                <w:u w:val="none"/>
              </w:rPr>
            </w:pPr>
            <w:r>
              <w:rPr>
                <w:rFonts w:hint="eastAsia" w:ascii="宋体" w:hAnsi="宋体" w:eastAsia="宋体" w:cs="宋体"/>
                <w:b/>
                <w:bCs/>
                <w:i w:val="0"/>
                <w:iCs w:val="0"/>
                <w:color w:val="000000"/>
                <w:kern w:val="0"/>
                <w:sz w:val="16"/>
                <w:szCs w:val="16"/>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3125"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注：本表以“万元”为金额单位（保留两位小数），反映部门本年度一般公共预算财政拨款实际支出情况。</w:t>
            </w:r>
          </w:p>
        </w:tc>
      </w:tr>
    </w:tbl>
    <w:p>
      <w:pPr>
        <w:numPr>
          <w:ilvl w:val="0"/>
          <w:numId w:val="0"/>
        </w:numPr>
        <w:rPr>
          <w:rFonts w:hint="eastAsia"/>
        </w:r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0" w:name="_Toc26148"/>
      <w:r>
        <w:rPr>
          <w:rFonts w:hint="eastAsia" w:ascii="黑体" w:hAnsi="黑体" w:eastAsia="黑体" w:cs="黑体"/>
          <w:sz w:val="32"/>
          <w:szCs w:val="32"/>
        </w:rPr>
        <w:t>一般公共预算财政拨款支出决算明细表</w:t>
      </w:r>
      <w:bookmarkEnd w:id="50"/>
    </w:p>
    <w:p>
      <w:pPr>
        <w:numPr>
          <w:ilvl w:val="0"/>
          <w:numId w:val="0"/>
        </w:numPr>
        <w:rPr>
          <w:rFonts w:hint="eastAsia"/>
          <w:lang w:eastAsia="zh-CN"/>
        </w:rPr>
      </w:pPr>
      <w:r>
        <w:rPr>
          <w:rFonts w:hint="eastAsia" w:eastAsia="宋体"/>
          <w:lang w:eastAsia="zh-CN"/>
        </w:rPr>
        <w:object>
          <v:shape id="_x0000_i1025" o:spt="75" type="#_x0000_t75" style="height:66pt;width:72.75pt;" o:ole="t" filled="f" o:preferrelative="t" stroked="f" coordsize="21600,21600">
            <v:path/>
            <v:fill on="f" focussize="0,0"/>
            <v:stroke on="f"/>
            <v:imagedata r:id="rId35" o:title=""/>
            <o:lock v:ext="edit" aspectratio="t"/>
            <w10:wrap type="none"/>
            <w10:anchorlock/>
          </v:shape>
          <o:OLEObject Type="Embed" ProgID="Office12.Excel.Template" ShapeID="_x0000_i1025" DrawAspect="Icon" ObjectID="_1468075725" r:id="rId34">
            <o:LockedField>false</o:LockedField>
          </o:OLEObject>
        </w:object>
      </w:r>
    </w:p>
    <w:p>
      <w:pPr>
        <w:pStyle w:val="12"/>
        <w:adjustRightInd w:val="0"/>
        <w:snapToGrid w:val="0"/>
        <w:spacing w:line="440" w:lineRule="exact"/>
        <w:jc w:val="left"/>
        <w:rPr>
          <w:rFonts w:hint="eastAsia"/>
          <w:sz w:val="24"/>
        </w:rPr>
        <w:sectPr>
          <w:footerReference r:id="rId15" w:type="first"/>
          <w:footerReference r:id="rId14" w:type="default"/>
          <w:pgSz w:w="16838" w:h="11906" w:orient="landscape"/>
          <w:pgMar w:top="1800" w:right="1440" w:bottom="1800" w:left="1440" w:header="851" w:footer="992" w:gutter="0"/>
          <w:pgNumType w:start="23"/>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1" w:name="_Toc9341"/>
      <w:r>
        <w:rPr>
          <w:rFonts w:hint="eastAsia" w:ascii="黑体" w:hAnsi="黑体" w:eastAsia="黑体" w:cs="黑体"/>
          <w:sz w:val="32"/>
          <w:szCs w:val="32"/>
        </w:rPr>
        <w:t>一般公共预算财政拨款基本支出决算表</w:t>
      </w:r>
      <w:bookmarkEnd w:id="51"/>
    </w:p>
    <w:tbl>
      <w:tblPr>
        <w:tblStyle w:val="14"/>
        <w:tblW w:w="5000" w:type="pct"/>
        <w:tblInd w:w="0" w:type="dxa"/>
        <w:shd w:val="clear" w:color="auto" w:fill="auto"/>
        <w:tblLayout w:type="fixed"/>
        <w:tblCellMar>
          <w:top w:w="0" w:type="dxa"/>
          <w:left w:w="108" w:type="dxa"/>
          <w:bottom w:w="0" w:type="dxa"/>
          <w:right w:w="108" w:type="dxa"/>
        </w:tblCellMar>
      </w:tblPr>
      <w:tblGrid>
        <w:gridCol w:w="1771"/>
        <w:gridCol w:w="3180"/>
        <w:gridCol w:w="840"/>
        <w:gridCol w:w="795"/>
        <w:gridCol w:w="1646"/>
        <w:gridCol w:w="822"/>
        <w:gridCol w:w="797"/>
        <w:gridCol w:w="3425"/>
        <w:gridCol w:w="898"/>
      </w:tblGrid>
      <w:tr>
        <w:tblPrEx>
          <w:shd w:val="clear" w:color="auto" w:fill="auto"/>
          <w:tblCellMar>
            <w:top w:w="0" w:type="dxa"/>
            <w:left w:w="108" w:type="dxa"/>
            <w:bottom w:w="0" w:type="dxa"/>
            <w:right w:w="108" w:type="dxa"/>
          </w:tblCellMar>
        </w:tblPrEx>
        <w:trPr>
          <w:trHeight w:val="390" w:hRule="atLeas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一般公共预算财政拨款基本支出决算表</w:t>
            </w: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12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9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4" w:type="pct"/>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财决公开8表</w:t>
            </w:r>
          </w:p>
        </w:tc>
      </w:tr>
      <w:tr>
        <w:tblPrEx>
          <w:shd w:val="clear" w:color="auto" w:fill="auto"/>
          <w:tblCellMar>
            <w:top w:w="0" w:type="dxa"/>
            <w:left w:w="108" w:type="dxa"/>
            <w:bottom w:w="0" w:type="dxa"/>
            <w:right w:w="108" w:type="dxa"/>
          </w:tblCellMar>
        </w:tblPrEx>
        <w:trPr>
          <w:trHeight w:val="300" w:hRule="atLeast"/>
        </w:trPr>
        <w:tc>
          <w:tcPr>
            <w:tcW w:w="1746" w:type="pct"/>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29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0"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80"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524"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042" w:type="pct"/>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2957" w:type="pct"/>
            <w:gridSpan w:val="6"/>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300" w:hRule="atLeast"/>
        </w:trPr>
        <w:tc>
          <w:tcPr>
            <w:tcW w:w="624"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2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8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58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8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2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1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624"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2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9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8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工资福利支出</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商品和服务支出</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307</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债务利息及费用支出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基本工资</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0.29</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国内债务付息</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津贴补贴</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国外债务付息</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咨询费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30703</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国内债务发行费用</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伙食补助费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手续费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30704</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国外债务发行费用</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绩效工资</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310</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资本性支出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机关事业单位基本养老保险费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房屋建筑物购建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职业年金缴费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邮电费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办公设备购置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职工基本医疗保险缴费</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取暖费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专用设备购置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公务员医疗补助缴费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基础设施建设</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其他社会保障缴费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差旅费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大型修缮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住房公积金</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信息网络及软件购置更新</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维修（护）费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物资储备</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其他工资福利支出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土地补偿</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303</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对个人和家庭的补助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会议费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安置补助</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离休费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地上附着物和青苗补偿</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退休费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拆迁补偿</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退职（役）费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专用材料费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抚恤金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被装购置费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其他交通工具购置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生活补助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专用燃料费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文物和陈列品购置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救济费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无形资产购置</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医疗费补助</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委托业务费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其他资本性支出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助学金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工会经费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0.30</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312</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对企业补助</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奖励金</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福利费</w:t>
            </w:r>
          </w:p>
        </w:tc>
        <w:tc>
          <w:tcPr>
            <w:tcW w:w="2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0.22</w:t>
            </w: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31201</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资本金注入</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个人农业生产补贴</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公务用车运行维护费</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31203</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政府投资基金股权投资</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代缴社会保险费</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其他交通费用</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31204</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费用补贴</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1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其他个人和家庭的补助支出</w:t>
            </w: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税金及附加费用</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31205</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利息补贴</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3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58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其他商品和服务支出</w:t>
            </w:r>
          </w:p>
        </w:tc>
        <w:tc>
          <w:tcPr>
            <w:tcW w:w="2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312099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其他对企业补助</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赠与</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国家赔偿费用支出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对民间非营利组织和群众性自治组织补贴</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624"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121"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80"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8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20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31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46"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人员经费合计</w:t>
            </w:r>
          </w:p>
        </w:tc>
        <w:tc>
          <w:tcPr>
            <w:tcW w:w="29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23.07</w:t>
            </w:r>
          </w:p>
        </w:tc>
        <w:tc>
          <w:tcPr>
            <w:tcW w:w="2640"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公用经费合计</w:t>
            </w:r>
          </w:p>
        </w:tc>
        <w:tc>
          <w:tcPr>
            <w:tcW w:w="31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6.24</w:t>
            </w: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注：本表以“万元”为金额单位（保留两位小数），反映部门本年度一般公共预算财政拨款基本支出明细情况。</w:t>
            </w:r>
          </w:p>
        </w:tc>
      </w:tr>
    </w:tbl>
    <w:p>
      <w:pPr>
        <w:numPr>
          <w:ilvl w:val="0"/>
          <w:numId w:val="0"/>
        </w:numPr>
        <w:rPr>
          <w:rFonts w:hint="eastAsia"/>
        </w:rPr>
      </w:pPr>
    </w:p>
    <w:p>
      <w:pPr>
        <w:pStyle w:val="12"/>
        <w:adjustRightInd w:val="0"/>
        <w:snapToGrid w:val="0"/>
        <w:spacing w:line="440" w:lineRule="exact"/>
        <w:jc w:val="left"/>
        <w:rPr>
          <w:rFonts w:hint="eastAsia"/>
          <w:sz w:val="24"/>
        </w:rPr>
        <w:sectPr>
          <w:footerReference r:id="rId17" w:type="first"/>
          <w:footerReference r:id="rId16" w:type="default"/>
          <w:pgSz w:w="16838" w:h="11906" w:orient="landscape"/>
          <w:pgMar w:top="1800" w:right="1440" w:bottom="1800" w:left="1440" w:header="851" w:footer="992" w:gutter="0"/>
          <w:pgNumType w:start="25"/>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2" w:name="_Toc11587"/>
      <w:r>
        <w:rPr>
          <w:rFonts w:hint="eastAsia" w:ascii="黑体" w:hAnsi="黑体" w:eastAsia="黑体" w:cs="黑体"/>
          <w:sz w:val="32"/>
          <w:szCs w:val="32"/>
        </w:rPr>
        <w:t>一般公共预算财政拨款项目支出决算表</w:t>
      </w:r>
      <w:bookmarkEnd w:id="52"/>
    </w:p>
    <w:tbl>
      <w:tblPr>
        <w:tblStyle w:val="14"/>
        <w:tblW w:w="11809" w:type="dxa"/>
        <w:tblInd w:w="93" w:type="dxa"/>
        <w:shd w:val="clear" w:color="auto" w:fill="auto"/>
        <w:tblLayout w:type="autofit"/>
        <w:tblCellMar>
          <w:top w:w="0" w:type="dxa"/>
          <w:left w:w="108" w:type="dxa"/>
          <w:bottom w:w="0" w:type="dxa"/>
          <w:right w:w="108" w:type="dxa"/>
        </w:tblCellMar>
      </w:tblPr>
      <w:tblGrid>
        <w:gridCol w:w="2416"/>
        <w:gridCol w:w="449"/>
        <w:gridCol w:w="1151"/>
        <w:gridCol w:w="3616"/>
        <w:gridCol w:w="2171"/>
        <w:gridCol w:w="2006"/>
      </w:tblGrid>
      <w:tr>
        <w:tblPrEx>
          <w:tblCellMar>
            <w:top w:w="0" w:type="dxa"/>
            <w:left w:w="108" w:type="dxa"/>
            <w:bottom w:w="0" w:type="dxa"/>
            <w:right w:w="108" w:type="dxa"/>
          </w:tblCellMar>
        </w:tblPrEx>
        <w:trPr>
          <w:trHeight w:val="390" w:hRule="atLeast"/>
        </w:trPr>
        <w:tc>
          <w:tcPr>
            <w:tcW w:w="11809" w:type="dxa"/>
            <w:gridSpan w:val="6"/>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一般公共预算财政拨款项目支出决算表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财决公开09表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4016"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61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200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4016"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4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15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61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6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2059999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其他教育支出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76.47</w:t>
            </w: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2080506</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机关事业单位职业年金缴费支出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事业单位医疗</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70" w:hRule="atLeast"/>
        </w:trPr>
        <w:tc>
          <w:tcPr>
            <w:tcW w:w="11809"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注：本表以“万元”为金额单位（保留两位小数），反映部门本年度一般公共预算财政拨款项目支出收支明细情况。</w:t>
            </w:r>
          </w:p>
        </w:tc>
      </w:tr>
    </w:tbl>
    <w:p>
      <w:pPr>
        <w:numPr>
          <w:ilvl w:val="0"/>
          <w:numId w:val="0"/>
        </w:numPr>
        <w:rPr>
          <w:rFonts w:hint="eastAsia"/>
        </w:r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3" w:name="_Toc28660"/>
      <w:r>
        <w:rPr>
          <w:rFonts w:hint="eastAsia" w:ascii="黑体" w:hAnsi="黑体" w:eastAsia="黑体" w:cs="黑体"/>
          <w:sz w:val="32"/>
          <w:szCs w:val="32"/>
        </w:rPr>
        <w:t>一般公共预算财政拨款“三公”经费支出决算表</w:t>
      </w:r>
      <w:bookmarkEnd w:id="53"/>
    </w:p>
    <w:tbl>
      <w:tblPr>
        <w:tblStyle w:val="14"/>
        <w:tblW w:w="5000" w:type="pct"/>
        <w:tblInd w:w="0" w:type="dxa"/>
        <w:shd w:val="clear" w:color="auto" w:fill="auto"/>
        <w:tblLayout w:type="autofit"/>
        <w:tblCellMar>
          <w:top w:w="0" w:type="dxa"/>
          <w:left w:w="108" w:type="dxa"/>
          <w:bottom w:w="0" w:type="dxa"/>
          <w:right w:w="108" w:type="dxa"/>
        </w:tblCellMar>
      </w:tblPr>
      <w:tblGrid>
        <w:gridCol w:w="2416"/>
        <w:gridCol w:w="816"/>
        <w:gridCol w:w="735"/>
        <w:gridCol w:w="721"/>
        <w:gridCol w:w="760"/>
        <w:gridCol w:w="2690"/>
        <w:gridCol w:w="616"/>
        <w:gridCol w:w="816"/>
        <w:gridCol w:w="616"/>
        <w:gridCol w:w="1112"/>
        <w:gridCol w:w="1115"/>
        <w:gridCol w:w="1761"/>
      </w:tblGrid>
      <w:tr>
        <w:tblPrEx>
          <w:shd w:val="clear" w:color="auto" w:fill="auto"/>
          <w:tblCellMar>
            <w:top w:w="0" w:type="dxa"/>
            <w:left w:w="108" w:type="dxa"/>
            <w:bottom w:w="0" w:type="dxa"/>
            <w:right w:w="108" w:type="dxa"/>
          </w:tblCellMar>
        </w:tblPrEx>
        <w:trPr>
          <w:trHeight w:val="390" w:hRule="atLeast"/>
        </w:trPr>
        <w:tc>
          <w:tcPr>
            <w:tcW w:w="5000" w:type="pct"/>
            <w:gridSpan w:val="12"/>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财决公开10表</w:t>
            </w: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28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5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68"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48"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1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8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1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495" w:hRule="atLeast"/>
        </w:trPr>
        <w:tc>
          <w:tcPr>
            <w:tcW w:w="2870" w:type="pct"/>
            <w:gridSpan w:val="6"/>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212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465" w:hRule="atLeast"/>
        </w:trPr>
        <w:tc>
          <w:tcPr>
            <w:tcW w:w="852"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781"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948"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21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8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1004" w:type="pct"/>
            <w:gridSpan w:val="3"/>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61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660" w:hRule="atLeast"/>
        </w:trPr>
        <w:tc>
          <w:tcPr>
            <w:tcW w:w="852"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5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54"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6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948"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8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公务用车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购置费</w:t>
            </w:r>
          </w:p>
        </w:tc>
        <w:tc>
          <w:tcPr>
            <w:tcW w:w="3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公务用车 </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运行费</w:t>
            </w:r>
          </w:p>
        </w:tc>
        <w:tc>
          <w:tcPr>
            <w:tcW w:w="61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 w:hRule="atLeast"/>
        </w:trPr>
        <w:tc>
          <w:tcPr>
            <w:tcW w:w="852" w:type="pct"/>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5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5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6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94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8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1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1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45" w:hRule="atLeast"/>
        </w:trPr>
        <w:tc>
          <w:tcPr>
            <w:tcW w:w="5000" w:type="pct"/>
            <w:gridSpan w:val="1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注：本表以“万元”为金额单位（保留两位小数），反映部门本年度一般公共预算财政拨款“三公”经费支出决算情况，决算数包括当年一般公共预算财政拨款和以前年度结转资金安排的实际支出。</w:t>
            </w:r>
          </w:p>
        </w:tc>
      </w:tr>
    </w:tbl>
    <w:p>
      <w:pPr>
        <w:numPr>
          <w:ilvl w:val="0"/>
          <w:numId w:val="0"/>
        </w:numPr>
        <w:rPr>
          <w:rFonts w:hint="eastAsia"/>
        </w:rPr>
      </w:pPr>
    </w:p>
    <w:p>
      <w:pPr>
        <w:pStyle w:val="12"/>
        <w:numPr>
          <w:ilvl w:val="0"/>
          <w:numId w:val="3"/>
        </w:numPr>
        <w:adjustRightInd w:val="0"/>
        <w:snapToGrid w:val="0"/>
        <w:spacing w:line="440" w:lineRule="exact"/>
        <w:ind w:left="420" w:leftChars="200" w:firstLine="0" w:firstLineChars="0"/>
        <w:jc w:val="left"/>
        <w:rPr>
          <w:rFonts w:hint="eastAsia"/>
          <w:sz w:val="24"/>
        </w:rPr>
        <w:sectPr>
          <w:footerReference r:id="rId19" w:type="first"/>
          <w:footerReference r:id="rId18" w:type="default"/>
          <w:pgSz w:w="16838" w:h="11906" w:orient="landscape"/>
          <w:pgMar w:top="1800" w:right="1440" w:bottom="1800" w:left="1440" w:header="851" w:footer="992" w:gutter="0"/>
          <w:pgNumType w:start="27"/>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sz w:val="24"/>
        </w:rPr>
      </w:pPr>
      <w:bookmarkStart w:id="54" w:name="_Toc22411"/>
      <w:r>
        <w:rPr>
          <w:rFonts w:hint="eastAsia" w:ascii="黑体" w:hAnsi="黑体" w:eastAsia="黑体" w:cs="黑体"/>
          <w:sz w:val="32"/>
          <w:szCs w:val="32"/>
        </w:rPr>
        <w:t>政府性基金预算财政拨款收入支出决算表</w:t>
      </w:r>
      <w:bookmarkEnd w:id="54"/>
    </w:p>
    <w:tbl>
      <w:tblPr>
        <w:tblStyle w:val="14"/>
        <w:tblW w:w="4996" w:type="pct"/>
        <w:tblInd w:w="0" w:type="dxa"/>
        <w:shd w:val="clear" w:color="auto" w:fill="auto"/>
        <w:tblLayout w:type="autofit"/>
        <w:tblCellMar>
          <w:top w:w="0" w:type="dxa"/>
          <w:left w:w="108" w:type="dxa"/>
          <w:bottom w:w="0" w:type="dxa"/>
          <w:right w:w="108" w:type="dxa"/>
        </w:tblCellMar>
      </w:tblPr>
      <w:tblGrid>
        <w:gridCol w:w="2416"/>
        <w:gridCol w:w="416"/>
        <w:gridCol w:w="416"/>
        <w:gridCol w:w="1507"/>
        <w:gridCol w:w="5969"/>
        <w:gridCol w:w="416"/>
        <w:gridCol w:w="416"/>
        <w:gridCol w:w="416"/>
        <w:gridCol w:w="417"/>
        <w:gridCol w:w="1774"/>
      </w:tblGrid>
      <w:tr>
        <w:tblPrEx>
          <w:shd w:val="clear" w:color="auto" w:fill="auto"/>
          <w:tblCellMar>
            <w:top w:w="0" w:type="dxa"/>
            <w:left w:w="108" w:type="dxa"/>
            <w:bottom w:w="0" w:type="dxa"/>
            <w:right w:w="108" w:type="dxa"/>
          </w:tblCellMar>
        </w:tblPrEx>
        <w:trPr>
          <w:trHeight w:val="390" w:hRule="atLeast"/>
        </w:trPr>
        <w:tc>
          <w:tcPr>
            <w:tcW w:w="5000" w:type="pct"/>
            <w:gridSpan w:val="10"/>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政府性基金预算财政拨款收入支出决算表</w:t>
            </w:r>
          </w:p>
        </w:tc>
      </w:tr>
      <w:tr>
        <w:tblPrEx>
          <w:tblCellMar>
            <w:top w:w="0" w:type="dxa"/>
            <w:left w:w="108" w:type="dxa"/>
            <w:bottom w:w="0" w:type="dxa"/>
            <w:right w:w="108" w:type="dxa"/>
          </w:tblCellMar>
        </w:tblPrEx>
        <w:trPr>
          <w:trHeight w:val="300" w:hRule="atLeast"/>
        </w:trPr>
        <w:tc>
          <w:tcPr>
            <w:tcW w:w="852"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3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0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4"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财决公开11表</w:t>
            </w: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14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3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108"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4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6"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24"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146"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53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10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4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440"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62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11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4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62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46"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3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0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52"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14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146"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53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1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46"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53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08"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2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注：本表以“万元”为金额单位（保留两位小数），反映部门本年度政府性预算财政拨款收入、支出及结转和结余情况。</w:t>
            </w: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说明：如部门没有政府性基金收入，也没有使用政府性基金安排的支出，应注明本表无数据。</w:t>
            </w:r>
          </w:p>
        </w:tc>
      </w:tr>
    </w:tbl>
    <w:p>
      <w:pPr>
        <w:numPr>
          <w:ilvl w:val="0"/>
          <w:numId w:val="0"/>
        </w:numPr>
        <w:rPr>
          <w:rFonts w:hint="eastAsia"/>
        </w:rPr>
      </w:pPr>
    </w:p>
    <w:p>
      <w:pPr>
        <w:pStyle w:val="12"/>
        <w:adjustRightInd w:val="0"/>
        <w:snapToGrid w:val="0"/>
        <w:spacing w:line="440" w:lineRule="exact"/>
        <w:jc w:val="left"/>
        <w:rPr>
          <w:rFonts w:hint="eastAsia"/>
          <w:sz w:val="24"/>
        </w:rPr>
        <w:sectPr>
          <w:footerReference r:id="rId21" w:type="first"/>
          <w:footerReference r:id="rId20" w:type="default"/>
          <w:pgSz w:w="16838" w:h="11906" w:orient="landscape"/>
          <w:pgMar w:top="1800" w:right="1440" w:bottom="1800" w:left="1440" w:header="851" w:footer="992" w:gutter="0"/>
          <w:pgNumType w:start="29"/>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5" w:name="_Toc32183"/>
      <w:r>
        <w:rPr>
          <w:rFonts w:hint="eastAsia" w:ascii="黑体" w:hAnsi="黑体" w:eastAsia="黑体" w:cs="黑体"/>
          <w:sz w:val="32"/>
          <w:szCs w:val="32"/>
        </w:rPr>
        <w:t>政府性基金预算财政拨款“三公”经费支出决算表</w:t>
      </w:r>
      <w:bookmarkEnd w:id="55"/>
    </w:p>
    <w:tbl>
      <w:tblPr>
        <w:tblStyle w:val="14"/>
        <w:tblW w:w="13105" w:type="dxa"/>
        <w:tblInd w:w="93" w:type="dxa"/>
        <w:shd w:val="clear" w:color="auto" w:fill="auto"/>
        <w:tblLayout w:type="autofit"/>
        <w:tblCellMar>
          <w:top w:w="0" w:type="dxa"/>
          <w:left w:w="108" w:type="dxa"/>
          <w:bottom w:w="0" w:type="dxa"/>
          <w:right w:w="108" w:type="dxa"/>
        </w:tblCellMar>
      </w:tblPr>
      <w:tblGrid>
        <w:gridCol w:w="2416"/>
        <w:gridCol w:w="2186"/>
        <w:gridCol w:w="1886"/>
        <w:gridCol w:w="2186"/>
        <w:gridCol w:w="2260"/>
        <w:gridCol w:w="2171"/>
      </w:tblGrid>
      <w:tr>
        <w:tblPrEx>
          <w:shd w:val="clear" w:color="auto" w:fill="auto"/>
          <w:tblCellMar>
            <w:top w:w="0" w:type="dxa"/>
            <w:left w:w="108" w:type="dxa"/>
            <w:bottom w:w="0" w:type="dxa"/>
            <w:right w:w="108" w:type="dxa"/>
          </w:tblCellMar>
        </w:tblPrEx>
        <w:trPr>
          <w:trHeight w:val="390" w:hRule="atLeast"/>
        </w:trPr>
        <w:tc>
          <w:tcPr>
            <w:tcW w:w="13105" w:type="dxa"/>
            <w:gridSpan w:val="6"/>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政府性基金预算财政拨款“三公”经费支出决算表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财决公开12表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405" w:hRule="atLeast"/>
        </w:trPr>
        <w:tc>
          <w:tcPr>
            <w:tcW w:w="241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18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因公出国（境）费用</w:t>
            </w:r>
          </w:p>
        </w:tc>
        <w:tc>
          <w:tcPr>
            <w:tcW w:w="6332"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21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510" w:hRule="atLeast"/>
        </w:trPr>
        <w:tc>
          <w:tcPr>
            <w:tcW w:w="241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18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18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226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21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65" w:hRule="atLeast"/>
        </w:trPr>
        <w:tc>
          <w:tcPr>
            <w:tcW w:w="0" w:type="auto"/>
            <w:tcBorders>
              <w:top w:val="nil"/>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1275" w:hRule="atLeast"/>
        </w:trPr>
        <w:tc>
          <w:tcPr>
            <w:tcW w:w="1310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注：本表以“万元”为金额单位（保留两位小数），反映部门本年度政府性基金预算财政拨款“三公”经费支出决算情况，决算数包括当年政府性基金预算财政拨款和以前年度结转资金安排的实际支出。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如部门没有政府性基金收入，也没有使用政府性基金安排的支出，应注明本表无数据。</w:t>
            </w:r>
          </w:p>
        </w:tc>
      </w:tr>
    </w:tbl>
    <w:p>
      <w:pPr>
        <w:numPr>
          <w:ilvl w:val="0"/>
          <w:numId w:val="0"/>
        </w:numPr>
        <w:rPr>
          <w:rFonts w:hint="eastAsia"/>
        </w:rPr>
      </w:pPr>
    </w:p>
    <w:p>
      <w:pPr>
        <w:pStyle w:val="12"/>
        <w:adjustRightInd w:val="0"/>
        <w:snapToGrid w:val="0"/>
        <w:spacing w:line="440" w:lineRule="exact"/>
        <w:jc w:val="left"/>
        <w:rPr>
          <w:rFonts w:hint="eastAsia"/>
          <w:sz w:val="24"/>
        </w:rPr>
        <w:sectPr>
          <w:footerReference r:id="rId23" w:type="first"/>
          <w:footerReference r:id="rId22" w:type="default"/>
          <w:pgSz w:w="16838" w:h="11906" w:orient="landscape"/>
          <w:pgMar w:top="1800" w:right="1440" w:bottom="1800" w:left="1440" w:header="851" w:footer="992" w:gutter="0"/>
          <w:pgNumType w:start="30"/>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rPr>
      </w:pPr>
      <w:bookmarkStart w:id="56" w:name="_Toc28815"/>
      <w:r>
        <w:rPr>
          <w:rFonts w:hint="eastAsia" w:ascii="黑体" w:hAnsi="黑体" w:eastAsia="黑体" w:cs="黑体"/>
          <w:sz w:val="32"/>
          <w:szCs w:val="32"/>
        </w:rPr>
        <w:t>国有资本经营预算</w:t>
      </w:r>
      <w:r>
        <w:rPr>
          <w:rFonts w:hint="eastAsia" w:ascii="黑体" w:hAnsi="黑体" w:eastAsia="黑体" w:cs="黑体"/>
          <w:sz w:val="32"/>
          <w:szCs w:val="32"/>
          <w:lang w:eastAsia="zh-CN"/>
        </w:rPr>
        <w:t>财政拨款收入</w:t>
      </w:r>
      <w:r>
        <w:rPr>
          <w:rFonts w:hint="eastAsia" w:ascii="黑体" w:hAnsi="黑体" w:eastAsia="黑体" w:cs="黑体"/>
          <w:sz w:val="32"/>
          <w:szCs w:val="32"/>
        </w:rPr>
        <w:t>支出决算表</w:t>
      </w:r>
      <w:bookmarkEnd w:id="56"/>
    </w:p>
    <w:tbl>
      <w:tblPr>
        <w:tblStyle w:val="14"/>
        <w:tblW w:w="14081" w:type="dxa"/>
        <w:tblInd w:w="93" w:type="dxa"/>
        <w:shd w:val="clear" w:color="auto" w:fill="auto"/>
        <w:tblLayout w:type="autofit"/>
        <w:tblCellMar>
          <w:top w:w="0" w:type="dxa"/>
          <w:left w:w="108" w:type="dxa"/>
          <w:bottom w:w="0" w:type="dxa"/>
          <w:right w:w="108" w:type="dxa"/>
        </w:tblCellMar>
      </w:tblPr>
      <w:tblGrid>
        <w:gridCol w:w="2416"/>
        <w:gridCol w:w="416"/>
        <w:gridCol w:w="416"/>
        <w:gridCol w:w="3826"/>
        <w:gridCol w:w="1779"/>
        <w:gridCol w:w="1744"/>
        <w:gridCol w:w="1728"/>
        <w:gridCol w:w="1756"/>
      </w:tblGrid>
      <w:tr>
        <w:tblPrEx>
          <w:shd w:val="clear" w:color="auto" w:fill="auto"/>
          <w:tblCellMar>
            <w:top w:w="0" w:type="dxa"/>
            <w:left w:w="108" w:type="dxa"/>
            <w:bottom w:w="0" w:type="dxa"/>
            <w:right w:w="108" w:type="dxa"/>
          </w:tblCellMar>
        </w:tblPrEx>
        <w:trPr>
          <w:trHeight w:val="390" w:hRule="atLeast"/>
        </w:trPr>
        <w:tc>
          <w:tcPr>
            <w:tcW w:w="14081" w:type="dxa"/>
            <w:gridSpan w:val="8"/>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国有资本经营预算财政拨款收入支出决算表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财决公开13表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7074"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1779"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744"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172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175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32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82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270" w:hRule="atLeast"/>
        </w:trPr>
        <w:tc>
          <w:tcPr>
            <w:tcW w:w="32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00" w:hRule="atLeast"/>
        </w:trPr>
        <w:tc>
          <w:tcPr>
            <w:tcW w:w="32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82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79"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4"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56"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382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5" w:hRule="atLeast"/>
        </w:trPr>
        <w:tc>
          <w:tcPr>
            <w:tcW w:w="14081"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注：本表以“万元”为金额单位（保留两位小数），反映部门本年度国有资本经营预算财政拨款支出情况；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如部门没有国有资本经营预算收入，也没有使用国有资本经营预算安排的支出，应注明本表无数据。</w:t>
            </w:r>
          </w:p>
        </w:tc>
      </w:tr>
    </w:tbl>
    <w:p>
      <w:pPr>
        <w:numPr>
          <w:ilvl w:val="0"/>
          <w:numId w:val="0"/>
        </w:numPr>
        <w:rPr>
          <w:rFonts w:hint="eastAsia"/>
        </w:rPr>
      </w:pPr>
    </w:p>
    <w:p>
      <w:pPr>
        <w:pStyle w:val="12"/>
        <w:numPr>
          <w:ilvl w:val="0"/>
          <w:numId w:val="3"/>
        </w:numPr>
        <w:adjustRightInd w:val="0"/>
        <w:snapToGrid w:val="0"/>
        <w:spacing w:line="440" w:lineRule="exact"/>
        <w:ind w:left="420" w:leftChars="200" w:firstLine="0" w:firstLineChars="0"/>
        <w:jc w:val="left"/>
        <w:rPr>
          <w:rFonts w:hint="eastAsia"/>
          <w:sz w:val="24"/>
          <w:lang w:val="en-US" w:eastAsia="zh-CN"/>
        </w:rPr>
        <w:sectPr>
          <w:footerReference r:id="rId25" w:type="first"/>
          <w:footerReference r:id="rId24" w:type="default"/>
          <w:pgSz w:w="16838" w:h="11906" w:orient="landscape"/>
          <w:pgMar w:top="1800" w:right="1440" w:bottom="1800" w:left="1440" w:header="851" w:footer="992" w:gutter="0"/>
          <w:pgNumType w:start="31"/>
          <w:cols w:space="425" w:num="1"/>
          <w:titlePg/>
          <w:docGrid w:type="lines" w:linePitch="312" w:charSpace="0"/>
        </w:sectPr>
      </w:pPr>
    </w:p>
    <w:p>
      <w:pPr>
        <w:pStyle w:val="12"/>
        <w:numPr>
          <w:ilvl w:val="0"/>
          <w:numId w:val="3"/>
        </w:numPr>
        <w:adjustRightInd w:val="0"/>
        <w:snapToGrid w:val="0"/>
        <w:spacing w:line="440" w:lineRule="exact"/>
        <w:ind w:left="420" w:leftChars="200" w:firstLine="0" w:firstLineChars="0"/>
        <w:jc w:val="left"/>
        <w:outlineLvl w:val="1"/>
        <w:rPr>
          <w:rFonts w:hint="eastAsia" w:ascii="黑体" w:hAnsi="黑体" w:eastAsia="黑体" w:cs="黑体"/>
          <w:sz w:val="32"/>
          <w:szCs w:val="32"/>
          <w:lang w:val="en-US" w:eastAsia="zh-CN"/>
        </w:rPr>
      </w:pPr>
      <w:bookmarkStart w:id="57" w:name="_Toc13155"/>
      <w:r>
        <w:rPr>
          <w:rFonts w:hint="eastAsia" w:ascii="黑体" w:hAnsi="黑体" w:eastAsia="黑体" w:cs="黑体"/>
          <w:sz w:val="32"/>
          <w:szCs w:val="32"/>
          <w:lang w:val="en-US" w:eastAsia="zh-CN"/>
        </w:rPr>
        <w:t>国有资本经营预算财政拨款支出决算表</w:t>
      </w:r>
      <w:bookmarkEnd w:id="57"/>
    </w:p>
    <w:tbl>
      <w:tblPr>
        <w:tblStyle w:val="14"/>
        <w:tblW w:w="13023" w:type="dxa"/>
        <w:tblInd w:w="93" w:type="dxa"/>
        <w:shd w:val="clear" w:color="auto" w:fill="auto"/>
        <w:tblLayout w:type="autofit"/>
        <w:tblCellMar>
          <w:top w:w="0" w:type="dxa"/>
          <w:left w:w="108" w:type="dxa"/>
          <w:bottom w:w="0" w:type="dxa"/>
          <w:right w:w="108" w:type="dxa"/>
        </w:tblCellMar>
      </w:tblPr>
      <w:tblGrid>
        <w:gridCol w:w="2416"/>
        <w:gridCol w:w="416"/>
        <w:gridCol w:w="416"/>
        <w:gridCol w:w="4042"/>
        <w:gridCol w:w="1961"/>
        <w:gridCol w:w="1901"/>
        <w:gridCol w:w="1871"/>
      </w:tblGrid>
      <w:tr>
        <w:trPr>
          <w:trHeight w:val="390" w:hRule="atLeast"/>
        </w:trPr>
        <w:tc>
          <w:tcPr>
            <w:tcW w:w="13023" w:type="dxa"/>
            <w:gridSpan w:val="7"/>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2"/>
                <w:szCs w:val="32"/>
                <w:u w:val="none"/>
                <w:lang w:val="en-US" w:eastAsia="zh-CN" w:bidi="ar"/>
              </w:rPr>
              <w:t>国有资本经营预算财政拨款支出决算表</w:t>
            </w:r>
          </w:p>
        </w:tc>
      </w:tr>
      <w:tr>
        <w:tblPrEx>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财决公开14表</w:t>
            </w:r>
          </w:p>
        </w:tc>
      </w:tr>
      <w:tr>
        <w:tblPrEx>
          <w:shd w:val="clear" w:color="auto" w:fill="auto"/>
        </w:tblPrEx>
        <w:trPr>
          <w:trHeight w:val="300" w:hRule="atLeast"/>
        </w:trPr>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部门：四川尼众佛学院</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7290"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    目</w:t>
            </w:r>
          </w:p>
        </w:tc>
        <w:tc>
          <w:tcPr>
            <w:tcW w:w="5733"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rPr>
          <w:trHeight w:val="300" w:hRule="atLeast"/>
        </w:trPr>
        <w:tc>
          <w:tcPr>
            <w:tcW w:w="3248" w:type="dxa"/>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4042"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87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CellMar>
            <w:top w:w="0" w:type="dxa"/>
            <w:left w:w="108" w:type="dxa"/>
            <w:bottom w:w="0" w:type="dxa"/>
            <w:right w:w="108" w:type="dxa"/>
          </w:tblCellMar>
        </w:tblPrEx>
        <w:trPr>
          <w:trHeight w:val="270" w:hRule="atLeast"/>
        </w:trPr>
        <w:tc>
          <w:tcPr>
            <w:tcW w:w="32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rPr>
          <w:trHeight w:val="600" w:hRule="atLeast"/>
        </w:trPr>
        <w:tc>
          <w:tcPr>
            <w:tcW w:w="3248" w:type="dxa"/>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042"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6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9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7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416"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类</w:t>
            </w:r>
          </w:p>
        </w:tc>
        <w:tc>
          <w:tcPr>
            <w:tcW w:w="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款</w:t>
            </w:r>
          </w:p>
        </w:tc>
        <w:tc>
          <w:tcPr>
            <w:tcW w:w="41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w:t>
            </w:r>
          </w:p>
        </w:tc>
        <w:tc>
          <w:tcPr>
            <w:tcW w:w="4042"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85" w:hRule="atLeast"/>
        </w:trPr>
        <w:tc>
          <w:tcPr>
            <w:tcW w:w="13023"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注：本表反映部门本年度国有资本经营预算财政拨款支出情况。 </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如单位没有使用国有资本经营预算安排的支出，应注明本表无数据。</w:t>
            </w:r>
          </w:p>
        </w:tc>
      </w:tr>
    </w:tbl>
    <w:p>
      <w:pPr>
        <w:numPr>
          <w:ilvl w:val="0"/>
          <w:numId w:val="0"/>
        </w:numPr>
        <w:rPr>
          <w:rFonts w:hint="default"/>
          <w:lang w:val="en-US" w:eastAsia="zh-CN"/>
        </w:rPr>
      </w:pPr>
    </w:p>
    <w:p>
      <w:pPr>
        <w:widowControl/>
        <w:spacing w:line="440" w:lineRule="exact"/>
        <w:jc w:val="left"/>
        <w:rPr>
          <w:rFonts w:hint="eastAsia" w:eastAsia="仿宋"/>
          <w:lang w:eastAsia="zh-CN"/>
        </w:rPr>
      </w:pPr>
    </w:p>
    <w:sectPr>
      <w:footerReference r:id="rId27" w:type="first"/>
      <w:footerReference r:id="rId26" w:type="default"/>
      <w:pgSz w:w="16838" w:h="11906" w:orient="landscape"/>
      <w:pgMar w:top="1800" w:right="1440" w:bottom="1800" w:left="1440" w:header="851" w:footer="992" w:gutter="0"/>
      <w:pgNumType w:start="3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Arial">
    <w:panose1 w:val="020B0604020202020204"/>
    <w:charset w:val="00"/>
    <w:family w:val=""/>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9bQWsy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tBaz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R3mOY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1HeY5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bfDwky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t8PC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aJO4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G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7aJO4zAgAAYwQAAA4AAAAAAAAAAQAgAAAAHwEAAGRycy9lMm9Eb2MueG1sUEsF&#10;BgAAAAAGAAYAWQEAAMQFA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2"/>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BD6EF1"/>
    <w:multiLevelType w:val="singleLevel"/>
    <w:tmpl w:val="06BD6EF1"/>
    <w:lvl w:ilvl="0" w:tentative="0">
      <w:start w:val="4"/>
      <w:numFmt w:val="chineseCounting"/>
      <w:suff w:val="space"/>
      <w:lvlText w:val="第%1部分"/>
      <w:lvlJc w:val="left"/>
      <w:rPr>
        <w:rFonts w:hint="eastAsia"/>
      </w:rPr>
    </w:lvl>
  </w:abstractNum>
  <w:abstractNum w:abstractNumId="1">
    <w:nsid w:val="15B653F8"/>
    <w:multiLevelType w:val="singleLevel"/>
    <w:tmpl w:val="15B653F8"/>
    <w:lvl w:ilvl="0" w:tentative="0">
      <w:start w:val="2"/>
      <w:numFmt w:val="chineseCounting"/>
      <w:suff w:val="nothing"/>
      <w:lvlText w:val="%1、"/>
      <w:lvlJc w:val="left"/>
      <w:rPr>
        <w:rFonts w:hint="eastAsia"/>
      </w:rPr>
    </w:lvl>
  </w:abstractNum>
  <w:abstractNum w:abstractNumId="2">
    <w:nsid w:val="63AC0DB4"/>
    <w:multiLevelType w:val="singleLevel"/>
    <w:tmpl w:val="63AC0DB4"/>
    <w:lvl w:ilvl="0" w:tentative="0">
      <w:start w:val="2"/>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5ZjQxYjMwOGU1NmY4ZWFkNjc1NWIzZmU0MThlMD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A2032A3"/>
    <w:rsid w:val="10C055FF"/>
    <w:rsid w:val="118107EC"/>
    <w:rsid w:val="16BB723D"/>
    <w:rsid w:val="18015F3F"/>
    <w:rsid w:val="1BE8440E"/>
    <w:rsid w:val="1D155CEE"/>
    <w:rsid w:val="20F57F95"/>
    <w:rsid w:val="212E5B1B"/>
    <w:rsid w:val="240371BF"/>
    <w:rsid w:val="29FD04D3"/>
    <w:rsid w:val="2A346A88"/>
    <w:rsid w:val="2ABE7A3E"/>
    <w:rsid w:val="31113FCF"/>
    <w:rsid w:val="319F7F4E"/>
    <w:rsid w:val="3C0C0783"/>
    <w:rsid w:val="3FFE3139"/>
    <w:rsid w:val="4844272F"/>
    <w:rsid w:val="496F39ED"/>
    <w:rsid w:val="4B200781"/>
    <w:rsid w:val="4BE068DB"/>
    <w:rsid w:val="4BF6002B"/>
    <w:rsid w:val="4ECE2238"/>
    <w:rsid w:val="4F5D2E13"/>
    <w:rsid w:val="532E5039"/>
    <w:rsid w:val="5C82687B"/>
    <w:rsid w:val="5EF81309"/>
    <w:rsid w:val="63ED5FC0"/>
    <w:rsid w:val="64CA39A1"/>
    <w:rsid w:val="678E2EFD"/>
    <w:rsid w:val="6BA33114"/>
    <w:rsid w:val="6C4A05C8"/>
    <w:rsid w:val="6DE12C96"/>
    <w:rsid w:val="72734D9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qFormat="1" w:unhideWhenUsed="0" w:uiPriority="0" w:semiHidden="0"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figures"/>
    <w:basedOn w:val="1"/>
    <w:next w:val="1"/>
    <w:qFormat/>
    <w:uiPriority w:val="0"/>
    <w:pPr>
      <w:jc w:val="left"/>
    </w:pPr>
    <w:rPr>
      <w:rFonts w:ascii="Calibri" w:hAnsi="Calibri"/>
      <w:kern w:val="0"/>
      <w:szCs w:val="21"/>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Normal (Web)"/>
    <w:basedOn w:val="1"/>
    <w:semiHidden/>
    <w:unhideWhenUsed/>
    <w:qFormat/>
    <w:uiPriority w:val="99"/>
    <w:rPr>
      <w:sz w:val="24"/>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9" Type="http://schemas.openxmlformats.org/officeDocument/2006/relationships/fontTable" Target="fontTable.xml"/><Relationship Id="rId38" Type="http://schemas.openxmlformats.org/officeDocument/2006/relationships/customXml" Target="../customXml/item2.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emf"/><Relationship Id="rId34" Type="http://schemas.openxmlformats.org/officeDocument/2006/relationships/oleObject" Target="embeddings/oleObject1.bin"/><Relationship Id="rId33" Type="http://schemas.openxmlformats.org/officeDocument/2006/relationships/chart" Target="charts/chart5.xml"/><Relationship Id="rId32" Type="http://schemas.openxmlformats.org/officeDocument/2006/relationships/chart" Target="charts/chart4.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header" Target="header1.xml"/><Relationship Id="rId29" Type="http://schemas.openxmlformats.org/officeDocument/2006/relationships/chart" Target="charts/chart1.xml"/><Relationship Id="rId28" Type="http://schemas.openxmlformats.org/officeDocument/2006/relationships/theme" Target="theme/theme1.xml"/><Relationship Id="rId27" Type="http://schemas.openxmlformats.org/officeDocument/2006/relationships/footer" Target="footer24.xml"/><Relationship Id="rId26" Type="http://schemas.openxmlformats.org/officeDocument/2006/relationships/footer" Target="footer23.xml"/><Relationship Id="rId25" Type="http://schemas.openxmlformats.org/officeDocument/2006/relationships/footer" Target="footer22.xml"/><Relationship Id="rId24" Type="http://schemas.openxmlformats.org/officeDocument/2006/relationships/footer" Target="footer21.xml"/><Relationship Id="rId23" Type="http://schemas.openxmlformats.org/officeDocument/2006/relationships/footer" Target="footer20.xml"/><Relationship Id="rId22" Type="http://schemas.openxmlformats.org/officeDocument/2006/relationships/footer" Target="footer19.xml"/><Relationship Id="rId21" Type="http://schemas.openxmlformats.org/officeDocument/2006/relationships/footer" Target="footer18.xml"/><Relationship Id="rId20" Type="http://schemas.openxmlformats.org/officeDocument/2006/relationships/footer" Target="footer17.xml"/><Relationship Id="rId2" Type="http://schemas.openxmlformats.org/officeDocument/2006/relationships/settings" Target="settings.xml"/><Relationship Id="rId19" Type="http://schemas.openxmlformats.org/officeDocument/2006/relationships/footer" Target="footer16.xml"/><Relationship Id="rId18" Type="http://schemas.openxmlformats.org/officeDocument/2006/relationships/footer" Target="footer15.xml"/><Relationship Id="rId17" Type="http://schemas.openxmlformats.org/officeDocument/2006/relationships/footer" Target="footer14.xml"/><Relationship Id="rId16" Type="http://schemas.openxmlformats.org/officeDocument/2006/relationships/footer" Target="footer13.xml"/><Relationship Id="rId15" Type="http://schemas.openxmlformats.org/officeDocument/2006/relationships/footer" Target="footer12.xml"/><Relationship Id="rId14" Type="http://schemas.openxmlformats.org/officeDocument/2006/relationships/footer" Target="footer11.xml"/><Relationship Id="rId13" Type="http://schemas.openxmlformats.org/officeDocument/2006/relationships/footer" Target="footer10.xml"/><Relationship Id="rId12" Type="http://schemas.openxmlformats.org/officeDocument/2006/relationships/footer" Target="footer9.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5" Type="http://schemas.microsoft.com/office/2011/relationships/chartColorStyle" Target="colors1.xml"/><Relationship Id="rId4" Type="http://schemas.microsoft.com/office/2011/relationships/chartStyle" Target="style1.xml"/><Relationship Id="rId3" Type="http://schemas.openxmlformats.org/officeDocument/2006/relationships/chartUserShapes" Target="../drawings/drawing1.xml"/><Relationship Id="rId2" Type="http://schemas.openxmlformats.org/officeDocument/2006/relationships/themeOverride" Target="../theme/themeOverrid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defTabSz="914400">
              <a:defRPr lang="zh-CN" sz="1400" b="0" i="0" u="none" strike="noStrike" kern="1200" spc="0" baseline="0">
                <a:solidFill>
                  <a:schemeClr val="tx1">
                    <a:lumMod val="65000"/>
                    <a:lumOff val="35000"/>
                  </a:schemeClr>
                </a:solidFill>
                <a:latin typeface="微软雅黑" panose="020B0503020204020204" charset="-122"/>
                <a:ea typeface="微软雅黑" panose="020B0503020204020204" charset="-122"/>
                <a:cs typeface="+mn-cs"/>
              </a:defRPr>
            </a:pPr>
            <a:r>
              <a:t>图</a:t>
            </a:r>
            <a:r>
              <a:rPr lang="en-US" altLang="zh-CN"/>
              <a:t>1</a:t>
            </a:r>
            <a:r>
              <a:rPr altLang="en-US"/>
              <a:t>：</a:t>
            </a:r>
            <a:r>
              <a:t>收、支决算总计变动情况图</a:t>
            </a:r>
          </a:p>
        </c:rich>
      </c:tx>
      <c:layout/>
      <c:overlay val="0"/>
      <c:spPr>
        <a:noFill/>
        <a:ln>
          <a:noFill/>
        </a:ln>
        <a:effectLst/>
      </c:spPr>
    </c:title>
    <c:autoTitleDeleted val="0"/>
    <c:plotArea>
      <c:layout/>
      <c:barChart>
        <c:barDir val="col"/>
        <c:grouping val="clustered"/>
        <c:varyColors val="0"/>
        <c:ser>
          <c:idx val="0"/>
          <c:order val="0"/>
          <c:tx>
            <c:strRef>
              <c:f>[工作簿1]Sheet1!$B$1</c:f>
              <c:strCache>
                <c:ptCount val="1"/>
                <c:pt idx="0">
                  <c:v>收支总计</c:v>
                </c:pt>
              </c:strCache>
            </c:strRef>
          </c:tx>
          <c:spPr>
            <a:solidFill>
              <a:srgbClr val="3C9096"/>
            </a:solidFill>
            <a:ln>
              <a:solidFill>
                <a:schemeClr val="bg1"/>
              </a:solid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[工作簿1]Sheet1!$A$2:$A$3</c:f>
              <c:strCache>
                <c:ptCount val="2"/>
                <c:pt idx="0">
                  <c:v>2019年</c:v>
                </c:pt>
                <c:pt idx="1">
                  <c:v>2020年</c:v>
                </c:pt>
              </c:strCache>
            </c:strRef>
          </c:cat>
          <c:val>
            <c:numRef>
              <c:f>[工作簿1]Sheet1!$B$2:$B$3</c:f>
              <c:numCache>
                <c:formatCode>General</c:formatCode>
                <c:ptCount val="2"/>
                <c:pt idx="0">
                  <c:v>321.59</c:v>
                </c:pt>
                <c:pt idx="1">
                  <c:v>313.18</c:v>
                </c:pt>
              </c:numCache>
            </c:numRef>
          </c:val>
        </c:ser>
        <c:dLbls>
          <c:showLegendKey val="0"/>
          <c:showVal val="1"/>
          <c:showCatName val="0"/>
          <c:showSerName val="0"/>
          <c:showPercent val="0"/>
          <c:showBubbleSize val="0"/>
        </c:dLbls>
        <c:gapWidth val="150"/>
        <c:overlap val="0"/>
        <c:axId val="389451410"/>
        <c:axId val="387078626"/>
      </c:barChart>
      <c:catAx>
        <c:axId val="389451410"/>
        <c:scaling>
          <c:orientation val="minMax"/>
        </c:scaling>
        <c:delete val="0"/>
        <c:axPos val="b"/>
        <c:numFmt formatCode="General" sourceLinked="1"/>
        <c:majorTickMark val="out"/>
        <c:minorTickMark val="none"/>
        <c:tickLblPos val="nextTo"/>
        <c:spPr>
          <a:noFill/>
          <a:ln w="9525" cap="flat" cmpd="sng" algn="ctr">
            <a:noFill/>
            <a:round/>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crossAx val="387078626"/>
        <c:crosses val="autoZero"/>
        <c:auto val="1"/>
        <c:lblAlgn val="ctr"/>
        <c:lblOffset val="100"/>
        <c:noMultiLvlLbl val="0"/>
      </c:catAx>
      <c:valAx>
        <c:axId val="387078626"/>
        <c:scaling>
          <c:orientation val="minMax"/>
        </c:scaling>
        <c:delete val="0"/>
        <c:axPos val="l"/>
        <c:majorGridlines>
          <c:spPr>
            <a:ln w="9525" cap="flat" cmpd="sng" algn="ctr">
              <a:solidFill>
                <a:schemeClr val="bg1">
                  <a:lumMod val="9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forceAA="0"/>
          <a:lstStyle/>
          <a:p>
            <a:pPr>
              <a:defRPr lang="zh-CN" sz="900" b="0" i="0" u="none" strike="noStrike" kern="1200" baseline="0">
                <a:solidFill>
                  <a:schemeClr val="tx1">
                    <a:lumMod val="65000"/>
                    <a:lumOff val="35000"/>
                  </a:schemeClr>
                </a:solidFill>
                <a:latin typeface="Arial" panose="020B0604020202020204" pitchFamily="7" charset="0"/>
                <a:ea typeface="+mn-ea"/>
                <a:cs typeface="Arial" panose="020B0604020202020204" pitchFamily="7" charset="0"/>
              </a:defRPr>
            </a:pPr>
          </a:p>
        </c:txPr>
        <c:crossAx val="38945141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微软雅黑" panose="020B0503020204020204" charset="-122"/>
              <a:ea typeface="微软雅黑" panose="020B0503020204020204" charset="-122"/>
              <a:cs typeface="+mn-cs"/>
            </a:defRPr>
          </a:pPr>
        </a:p>
      </c:txPr>
    </c:legend>
    <c:plotVisOnly val="1"/>
    <c:dispBlanksAs val="zero"/>
    <c:showDLblsOverMax val="0"/>
  </c:chart>
  <c:spPr>
    <a:solidFill>
      <a:schemeClr val="bg1"/>
    </a:solidFill>
    <a:ln w="9525" cap="flat" cmpd="sng" algn="ctr">
      <a:solidFill>
        <a:schemeClr val="accent1"/>
      </a:solidFill>
      <a:round/>
    </a:ln>
    <a:effectLst/>
  </c:spPr>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a:t>
            </a:r>
            <a:r>
              <a:t>收入决算结构图</a:t>
            </a:r>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[工作簿1]Sheet1!$K$1:$M$1</c:f>
              <c:strCache>
                <c:ptCount val="3"/>
                <c:pt idx="0">
                  <c:v>一般公共预算财政拨款</c:v>
                </c:pt>
                <c:pt idx="1">
                  <c:v>上级补助收入</c:v>
                </c:pt>
                <c:pt idx="2">
                  <c:v>其他收入</c:v>
                </c:pt>
              </c:strCache>
            </c:strRef>
          </c:cat>
          <c:val>
            <c:numRef>
              <c:f>[工作簿1]Sheet1!$K$2:$M$2</c:f>
              <c:numCache>
                <c:formatCode>General</c:formatCode>
                <c:ptCount val="3"/>
                <c:pt idx="0">
                  <c:v>105.78</c:v>
                </c:pt>
                <c:pt idx="1">
                  <c:v>48.38</c:v>
                </c:pt>
                <c:pt idx="2">
                  <c:v>0.08</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3</a:t>
            </a:r>
            <a:r>
              <a:rPr altLang="en-US"/>
              <a:t>：支出决算结构图</a:t>
            </a:r>
            <a:endParaRPr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[工作簿1]Sheet1!$A$21:$B$21</c:f>
              <c:strCache>
                <c:ptCount val="2"/>
                <c:pt idx="0">
                  <c:v>基本支出</c:v>
                </c:pt>
                <c:pt idx="1">
                  <c:v>项目支出</c:v>
                </c:pt>
              </c:strCache>
            </c:strRef>
          </c:cat>
          <c:val>
            <c:numRef>
              <c:f>[工作簿1]Sheet1!$A$22:$B$22</c:f>
              <c:numCache>
                <c:formatCode>General</c:formatCode>
                <c:ptCount val="2"/>
                <c:pt idx="0">
                  <c:v>82.47</c:v>
                </c:pt>
                <c:pt idx="1">
                  <c:v>76.47</c:v>
                </c:pt>
              </c:numCache>
            </c:numRef>
          </c:val>
        </c:ser>
        <c:dLbls>
          <c:showLegendKey val="0"/>
          <c:showVal val="1"/>
          <c:showCatName val="0"/>
          <c:showSerName val="0"/>
          <c:showPercent val="0"/>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4</a:t>
            </a:r>
            <a:r>
              <a:rPr altLang="en-US"/>
              <a:t>：财政拨款收、支总计变动情况</a:t>
            </a:r>
            <a:endParaRPr altLang="en-US"/>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[工作簿1]Sheet1!$K$24:$K$25</c:f>
              <c:strCache>
                <c:ptCount val="2"/>
                <c:pt idx="0">
                  <c:v>2019年</c:v>
                </c:pt>
                <c:pt idx="1">
                  <c:v>2020年</c:v>
                </c:pt>
              </c:strCache>
            </c:strRef>
          </c:cat>
          <c:val>
            <c:numRef>
              <c:f>[工作簿1]Sheet1!$L$24:$L$25</c:f>
              <c:numCache>
                <c:formatCode>General</c:formatCode>
                <c:ptCount val="2"/>
                <c:pt idx="0">
                  <c:v>205.76</c:v>
                </c:pt>
                <c:pt idx="1">
                  <c:v>211.56</c:v>
                </c:pt>
              </c:numCache>
            </c:numRef>
          </c:val>
        </c:ser>
        <c:dLbls>
          <c:showLegendKey val="0"/>
          <c:showVal val="1"/>
          <c:showCatName val="0"/>
          <c:showSerName val="0"/>
          <c:showPercent val="0"/>
          <c:showBubbleSize val="0"/>
        </c:dLbls>
        <c:gapWidth val="150"/>
        <c:overlap val="0"/>
        <c:axId val="649451818"/>
        <c:axId val="771709392"/>
      </c:barChart>
      <c:catAx>
        <c:axId val="64945181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71709392"/>
        <c:crosses val="autoZero"/>
        <c:auto val="1"/>
        <c:lblAlgn val="ctr"/>
        <c:lblOffset val="100"/>
        <c:noMultiLvlLbl val="0"/>
      </c:catAx>
      <c:valAx>
        <c:axId val="771709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45181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6</a:t>
            </a:r>
            <a:r>
              <a:rPr altLang="en-US"/>
              <a:t>：一般公共预算财政拨款支出决算结构</a:t>
            </a:r>
            <a:endParaRPr altLang="en-US"/>
          </a:p>
        </c:rich>
      </c:tx>
      <c:layout/>
      <c:overlay val="0"/>
      <c:spPr>
        <a:noFill/>
        <a:ln>
          <a:noFill/>
        </a:ln>
        <a:effectLst/>
      </c:spPr>
    </c:title>
    <c:autoTitleDeleted val="0"/>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Pt>
            <c:idx val="3"/>
            <c:bubble3D val="0"/>
            <c:spPr>
              <a:solidFill>
                <a:schemeClr val="accent4"/>
              </a:solidFill>
              <a:ln w="25400">
                <a:solidFill>
                  <a:schemeClr val="lt1"/>
                </a:solidFill>
              </a:ln>
              <a:effectLst/>
              <a:scene3d>
                <a:camera prst="orthographicFront"/>
                <a:lightRig rig="threePt" dir="t"/>
              </a:scene3d>
              <a:sp3d contourW="25400"/>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[工作簿1]Sheet1!$A$44:$D$44</c:f>
              <c:strCache>
                <c:ptCount val="4"/>
                <c:pt idx="0">
                  <c:v>教育支出类</c:v>
                </c:pt>
                <c:pt idx="1">
                  <c:v>社会保障和就业类</c:v>
                </c:pt>
                <c:pt idx="2">
                  <c:v>医疗卫生支出类</c:v>
                </c:pt>
                <c:pt idx="3">
                  <c:v>住房保障支出类</c:v>
                </c:pt>
              </c:strCache>
            </c:strRef>
          </c:cat>
          <c:val>
            <c:numRef>
              <c:f>[工作簿1]Sheet1!$A$45:$D$45</c:f>
              <c:numCache>
                <c:formatCode>General</c:formatCode>
                <c:ptCount val="4"/>
                <c:pt idx="0">
                  <c:v>98.79</c:v>
                </c:pt>
                <c:pt idx="1">
                  <c:v>3.53</c:v>
                </c:pt>
                <c:pt idx="2">
                  <c:v>1.53</c:v>
                </c:pt>
                <c:pt idx="3">
                  <c:v>1.93</c:v>
                </c:pt>
              </c:numCache>
            </c:numRef>
          </c:val>
        </c:ser>
        <c:dLbls>
          <c:showLegendKey val="0"/>
          <c:showVal val="0"/>
          <c:showCatName val="0"/>
          <c:showSerName val="0"/>
          <c:showPercent val="1"/>
          <c:showBubbleSize val="0"/>
        </c:dLbls>
      </c:pie3D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0.780555555555556</cdr:x>
      <cdr:y>0.143518518518519</cdr:y>
    </cdr:from>
    <cdr:to>
      <cdr:x>0.972222222222222</cdr:x>
      <cdr:y>0.219907407407407</cdr:y>
    </cdr:to>
    <cdr:sp>
      <cdr:nvSpPr>
        <cdr:cNvPr id="2" name="矩形 1"/>
        <cdr:cNvSpPr/>
      </cdr:nvSpPr>
      <cdr:spPr xmlns:a="http://schemas.openxmlformats.org/drawingml/2006/main">
        <a:xfrm xmlns:a="http://schemas.openxmlformats.org/drawingml/2006/main">
          <a:off x="3568700" y="393700"/>
          <a:ext cx="876300" cy="209550"/>
        </a:xfrm>
        <a:prstGeom xmlns:a="http://schemas.openxmlformats.org/drawingml/2006/main" prst="rect">
          <a:avLst/>
        </a:prstGeom>
      </cdr:spPr>
      <cdr:txBody xmlns:a="http://schemas.openxmlformats.org/drawingml/2006/main">
        <a:bodyPr vertOverflow="clip" horzOverflow="clip" vert="horz" wrap="square" lIns="45720" tIns="45720" rIns="45720" bIns="45720" rtlCol="0" anchor="t" anchorCtr="0">
          <a:normAutofit/>
        </a:bodyPr>
        <a:p>
          <a:endParaRPr lang="zh-CN" alt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35</Pages>
  <Words>9028</Words>
  <Characters>11371</Characters>
  <Lines>61</Lines>
  <Paragraphs>17</Paragraphs>
  <TotalTime>1</TotalTime>
  <ScaleCrop>false</ScaleCrop>
  <LinksUpToDate>false</LinksUpToDate>
  <CharactersWithSpaces>11816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叶子</cp:lastModifiedBy>
  <cp:lastPrinted>2021-07-29T03:56:00Z</cp:lastPrinted>
  <dcterms:modified xsi:type="dcterms:W3CDTF">2022-11-14T07:14:13Z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05D35D272A7245C995E2554F39769A5C</vt:lpwstr>
  </property>
</Properties>
</file>