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r>
        <w:rPr>
          <w:rFonts w:hint="eastAsia" w:ascii="方正小标宋简体" w:hAnsi="宋体" w:eastAsia="方正小标宋简体"/>
          <w:color w:val="000000"/>
          <w:sz w:val="30"/>
          <w:szCs w:val="30"/>
          <w:lang w:eastAsia="zh-CN"/>
        </w:rPr>
        <w:t>附件</w:t>
      </w:r>
      <w:r>
        <w:rPr>
          <w:rFonts w:hint="eastAsia" w:ascii="方正小标宋简体" w:hAnsi="宋体" w:eastAsia="方正小标宋简体"/>
          <w:color w:val="000000"/>
          <w:sz w:val="30"/>
          <w:szCs w:val="30"/>
          <w:lang w:val="en-US" w:eastAsia="zh-CN"/>
        </w:rPr>
        <w:t>4</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7194"/>
      <w:bookmarkStart w:id="7" w:name="_Toc15396476"/>
      <w:bookmarkStart w:id="8" w:name="_Toc15377426"/>
      <w:bookmarkStart w:id="9" w:name="_Toc15396598"/>
      <w:bookmarkStart w:id="10" w:name="_Toc15378442"/>
      <w:r>
        <w:rPr>
          <w:rFonts w:hint="eastAsia" w:ascii="方正小标宋简体" w:hAnsi="宋体" w:eastAsia="方正小标宋简体"/>
          <w:color w:val="000000"/>
          <w:sz w:val="52"/>
          <w:szCs w:val="52"/>
        </w:rPr>
        <w:t>四川省</w:t>
      </w:r>
      <w:bookmarkStart w:id="11" w:name="_Toc15306268"/>
      <w:r>
        <w:rPr>
          <w:rFonts w:hint="eastAsia" w:ascii="方正小标宋简体" w:hAnsi="宋体" w:eastAsia="方正小标宋简体"/>
          <w:color w:val="000000"/>
          <w:sz w:val="52"/>
          <w:szCs w:val="52"/>
          <w:lang w:val="en-US" w:eastAsia="zh-CN"/>
        </w:rPr>
        <w:t>民族宗教事务委员会</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lang w:val="en-US" w:eastAsia="zh-CN"/>
        </w:rPr>
        <w:t>机关服务中心单位</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sdt>
      <w:sdtPr>
        <w:rPr>
          <w:rFonts w:ascii="宋体" w:hAnsi="宋体" w:eastAsia="宋体"/>
          <w:sz w:val="21"/>
        </w:rPr>
        <w:id w:val="147479031"/>
        <w:docPartObj>
          <w:docPartGallery w:val="Table of Contents"/>
          <w:docPartUnique/>
        </w:docPartObj>
      </w:sdtPr>
      <w:sdtEndPr>
        <w:rPr>
          <w:rFonts w:hint="eastAsia" w:ascii="黑体" w:hAnsi="黑体" w:eastAsia="黑体" w:cs="黑体"/>
          <w:sz w:val="20"/>
          <w:szCs w:val="20"/>
        </w:rPr>
      </w:sdtEndPr>
      <w:sdtContent>
        <w:p>
          <w:pPr>
            <w:jc w:val="center"/>
          </w:pPr>
          <w:r>
            <w:rPr>
              <w:rFonts w:ascii="宋体" w:hAnsi="宋体" w:eastAsia="宋体"/>
              <w:sz w:val="21"/>
            </w:rPr>
            <w:t>目录</w:t>
          </w:r>
        </w:p>
        <w:p>
          <w:pPr>
            <w:pStyle w:val="31"/>
            <w:tabs>
              <w:tab w:val="right" w:leader="dot" w:pos="8306"/>
            </w:tabs>
          </w:pPr>
          <w:r>
            <w:rPr>
              <w:b/>
              <w:bCs/>
            </w:rPr>
            <w:fldChar w:fldCharType="begin"/>
          </w:r>
          <w:r>
            <w:instrText xml:space="preserve"> HYPERLINK \l _Toc3478 </w:instrText>
          </w:r>
          <w:r>
            <w:rPr>
              <w:b/>
              <w:bCs/>
            </w:rPr>
            <w:fldChar w:fldCharType="separate"/>
          </w:r>
          <w:sdt>
            <w:sdtPr>
              <w:rPr>
                <w:rFonts w:ascii="Times New Roman" w:hAnsi="Times New Roman" w:eastAsia="宋体" w:cs="Times New Roman"/>
                <w:b/>
                <w:bCs/>
                <w:kern w:val="2"/>
                <w:sz w:val="21"/>
                <w:szCs w:val="24"/>
                <w:lang w:val="en-US" w:eastAsia="zh-CN" w:bidi="ar-SA"/>
              </w:rPr>
              <w:id w:val="147479031"/>
              <w:placeholder>
                <w:docPart w:val="{348c5fe4-a165-4908-87c7-e7bca2e67f0b}"/>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r>
            <w:rPr>
              <w:b/>
              <w:bCs/>
            </w:rPr>
            <w:t>4</w:t>
          </w:r>
          <w:r>
            <w:rPr>
              <w:b/>
              <w:bCs/>
            </w:rPr>
            <w:fldChar w:fldCharType="end"/>
          </w:r>
        </w:p>
        <w:p>
          <w:pPr>
            <w:pStyle w:val="32"/>
            <w:tabs>
              <w:tab w:val="right" w:leader="dot" w:pos="8306"/>
            </w:tabs>
          </w:pPr>
          <w:r>
            <w:fldChar w:fldCharType="begin"/>
          </w:r>
          <w:r>
            <w:instrText xml:space="preserve"> HYPERLINK \l _Toc3839 </w:instrText>
          </w:r>
          <w:r>
            <w:fldChar w:fldCharType="separate"/>
          </w:r>
          <w:sdt>
            <w:sdtPr>
              <w:rPr>
                <w:rFonts w:ascii="Times New Roman" w:hAnsi="Times New Roman" w:eastAsia="宋体" w:cs="Times New Roman"/>
                <w:kern w:val="2"/>
                <w:sz w:val="21"/>
                <w:szCs w:val="24"/>
                <w:lang w:val="en-US" w:eastAsia="zh-CN" w:bidi="ar-SA"/>
              </w:rPr>
              <w:id w:val="147479031"/>
              <w:placeholder>
                <w:docPart w:val="{3699ea86-5055-49f3-bab1-e737c4f41d0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一、职能简介</w:t>
              </w:r>
            </w:sdtContent>
          </w:sdt>
          <w:r>
            <w:tab/>
          </w:r>
          <w:r>
            <w:t>4</w:t>
          </w:r>
          <w:r>
            <w:fldChar w:fldCharType="end"/>
          </w:r>
        </w:p>
        <w:p>
          <w:pPr>
            <w:pStyle w:val="32"/>
            <w:tabs>
              <w:tab w:val="right" w:leader="dot" w:pos="8306"/>
            </w:tabs>
          </w:pPr>
          <w:r>
            <w:fldChar w:fldCharType="begin"/>
          </w:r>
          <w:r>
            <w:instrText xml:space="preserve"> HYPERLINK \l _Toc30664 </w:instrText>
          </w:r>
          <w:r>
            <w:fldChar w:fldCharType="separate"/>
          </w:r>
          <w:sdt>
            <w:sdtPr>
              <w:rPr>
                <w:rFonts w:ascii="Times New Roman" w:hAnsi="Times New Roman" w:eastAsia="宋体" w:cs="Times New Roman"/>
                <w:kern w:val="2"/>
                <w:sz w:val="21"/>
                <w:szCs w:val="24"/>
                <w:lang w:val="en-US" w:eastAsia="zh-CN" w:bidi="ar-SA"/>
              </w:rPr>
              <w:id w:val="147479031"/>
              <w:placeholder>
                <w:docPart w:val="{f14208d0-0fe6-4f5c-ba03-fbe66cd03898}"/>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二、2020年重点工作完成情况</w:t>
              </w:r>
            </w:sdtContent>
          </w:sdt>
          <w:r>
            <w:tab/>
          </w:r>
          <w:r>
            <w:t>4</w:t>
          </w:r>
          <w:r>
            <w:fldChar w:fldCharType="end"/>
          </w:r>
        </w:p>
        <w:p>
          <w:pPr>
            <w:pStyle w:val="32"/>
            <w:tabs>
              <w:tab w:val="right" w:leader="dot" w:pos="8306"/>
            </w:tabs>
            <w:rPr>
              <w:rFonts w:hint="eastAsia" w:ascii="黑体" w:hAnsi="黑体" w:eastAsiaTheme="minorEastAsia" w:cstheme="majorBidi"/>
              <w:lang w:val="en-US" w:eastAsia="zh-CN"/>
            </w:rPr>
          </w:pPr>
          <w:r>
            <w:rPr>
              <w:rFonts w:hint="eastAsia" w:ascii="黑体" w:hAnsi="黑体" w:eastAsia="黑体" w:cstheme="majorBidi"/>
              <w:lang w:val="en-US" w:eastAsia="zh-CN"/>
            </w:rPr>
            <w:t>三、机构设置情况</w:t>
          </w:r>
          <w:r>
            <w:tab/>
          </w:r>
          <w:r>
            <w:rPr>
              <w:rFonts w:hint="eastAsia"/>
              <w:lang w:val="en-US" w:eastAsia="zh-CN"/>
            </w:rPr>
            <w:t>5</w:t>
          </w:r>
        </w:p>
        <w:p>
          <w:pPr>
            <w:pStyle w:val="31"/>
            <w:tabs>
              <w:tab w:val="right" w:leader="dot" w:pos="8306"/>
            </w:tabs>
          </w:pPr>
          <w:r>
            <w:rPr>
              <w:b/>
              <w:bCs/>
            </w:rPr>
            <w:fldChar w:fldCharType="begin"/>
          </w:r>
          <w:r>
            <w:instrText xml:space="preserve"> HYPERLINK \l _Toc13454 </w:instrText>
          </w:r>
          <w:r>
            <w:rPr>
              <w:b/>
              <w:bCs/>
            </w:rPr>
            <w:fldChar w:fldCharType="separate"/>
          </w:r>
          <w:sdt>
            <w:sdtPr>
              <w:rPr>
                <w:rFonts w:ascii="Times New Roman" w:hAnsi="Times New Roman" w:eastAsia="宋体" w:cs="Times New Roman"/>
                <w:b/>
                <w:bCs/>
                <w:kern w:val="2"/>
                <w:sz w:val="21"/>
                <w:szCs w:val="24"/>
                <w:lang w:val="en-US" w:eastAsia="zh-CN" w:bidi="ar-SA"/>
              </w:rPr>
              <w:id w:val="147479031"/>
              <w:placeholder>
                <w:docPart w:val="{89dcc005-1afe-4c54-a3ae-f29759bb5af1}"/>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2020年度</w:t>
              </w:r>
              <w:r>
                <w:rPr>
                  <w:rFonts w:hint="eastAsia" w:ascii="黑体" w:hAnsi="黑体" w:eastAsia="黑体" w:cs="Times New Roman"/>
                  <w:b/>
                  <w:bCs/>
                  <w:lang w:eastAsia="zh-CN"/>
                </w:rPr>
                <w:t>单位决算</w:t>
              </w:r>
              <w:r>
                <w:rPr>
                  <w:rFonts w:hint="eastAsia" w:ascii="黑体" w:hAnsi="黑体" w:eastAsia="黑体" w:cs="Times New Roman"/>
                  <w:b/>
                  <w:bCs/>
                </w:rPr>
                <w:t>情况说明</w:t>
              </w:r>
            </w:sdtContent>
          </w:sdt>
          <w:r>
            <w:rPr>
              <w:b/>
              <w:bCs/>
            </w:rPr>
            <w:tab/>
          </w:r>
          <w:r>
            <w:rPr>
              <w:b/>
              <w:bCs/>
            </w:rPr>
            <w:t>6</w:t>
          </w:r>
          <w:r>
            <w:rPr>
              <w:b/>
              <w:bCs/>
            </w:rPr>
            <w:fldChar w:fldCharType="end"/>
          </w:r>
        </w:p>
        <w:p>
          <w:pPr>
            <w:pStyle w:val="32"/>
            <w:tabs>
              <w:tab w:val="right" w:leader="dot" w:pos="8306"/>
            </w:tabs>
          </w:pPr>
          <w:r>
            <w:fldChar w:fldCharType="begin"/>
          </w:r>
          <w:r>
            <w:instrText xml:space="preserve"> HYPERLINK \l _Toc5705 </w:instrText>
          </w:r>
          <w:r>
            <w:fldChar w:fldCharType="separate"/>
          </w:r>
          <w:sdt>
            <w:sdtPr>
              <w:rPr>
                <w:rFonts w:ascii="Times New Roman" w:hAnsi="Times New Roman" w:eastAsia="宋体" w:cs="Times New Roman"/>
                <w:kern w:val="2"/>
                <w:sz w:val="21"/>
                <w:szCs w:val="24"/>
                <w:lang w:val="en-US" w:eastAsia="zh-CN" w:bidi="ar-SA"/>
              </w:rPr>
              <w:id w:val="147479031"/>
              <w:placeholder>
                <w:docPart w:val="{53b87086-6096-4e65-9936-e1b384367dff}"/>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r>
            <w:t>6</w:t>
          </w:r>
          <w:r>
            <w:fldChar w:fldCharType="end"/>
          </w:r>
        </w:p>
        <w:p>
          <w:pPr>
            <w:pStyle w:val="32"/>
            <w:tabs>
              <w:tab w:val="right" w:leader="dot" w:pos="8306"/>
            </w:tabs>
          </w:pPr>
          <w:r>
            <w:fldChar w:fldCharType="begin"/>
          </w:r>
          <w:r>
            <w:instrText xml:space="preserve"> HYPERLINK \l _Toc28830 </w:instrText>
          </w:r>
          <w:r>
            <w:fldChar w:fldCharType="separate"/>
          </w:r>
          <w:sdt>
            <w:sdtPr>
              <w:rPr>
                <w:rFonts w:ascii="Times New Roman" w:hAnsi="Times New Roman" w:eastAsia="宋体" w:cs="Times New Roman"/>
                <w:kern w:val="2"/>
                <w:sz w:val="21"/>
                <w:szCs w:val="24"/>
                <w:lang w:val="en-US" w:eastAsia="zh-CN" w:bidi="ar-SA"/>
              </w:rPr>
              <w:id w:val="147479031"/>
              <w:placeholder>
                <w:docPart w:val="{7839daca-420b-4da9-abb2-4e29386a201b}"/>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r>
            <w:t>6</w:t>
          </w:r>
          <w:r>
            <w:fldChar w:fldCharType="end"/>
          </w:r>
        </w:p>
        <w:p>
          <w:pPr>
            <w:pStyle w:val="32"/>
            <w:tabs>
              <w:tab w:val="right" w:leader="dot" w:pos="8306"/>
            </w:tabs>
          </w:pPr>
          <w:r>
            <w:fldChar w:fldCharType="begin"/>
          </w:r>
          <w:r>
            <w:instrText xml:space="preserve"> HYPERLINK \l _Toc19455 </w:instrText>
          </w:r>
          <w:r>
            <w:fldChar w:fldCharType="separate"/>
          </w:r>
          <w:sdt>
            <w:sdtPr>
              <w:rPr>
                <w:rFonts w:ascii="Times New Roman" w:hAnsi="Times New Roman" w:eastAsia="宋体" w:cs="Times New Roman"/>
                <w:kern w:val="2"/>
                <w:sz w:val="21"/>
                <w:szCs w:val="24"/>
                <w:lang w:val="en-US" w:eastAsia="zh-CN" w:bidi="ar-SA"/>
              </w:rPr>
              <w:id w:val="147479031"/>
              <w:placeholder>
                <w:docPart w:val="{1c7e09c4-1f7b-426c-a479-7335062d75bd}"/>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r>
            <w:t>7</w:t>
          </w:r>
          <w:r>
            <w:fldChar w:fldCharType="end"/>
          </w:r>
        </w:p>
        <w:p>
          <w:pPr>
            <w:pStyle w:val="32"/>
            <w:tabs>
              <w:tab w:val="right" w:leader="dot" w:pos="8306"/>
            </w:tabs>
          </w:pPr>
          <w:r>
            <w:fldChar w:fldCharType="begin"/>
          </w:r>
          <w:r>
            <w:instrText xml:space="preserve"> HYPERLINK \l _Toc32751 </w:instrText>
          </w:r>
          <w:r>
            <w:fldChar w:fldCharType="separate"/>
          </w:r>
          <w:sdt>
            <w:sdtPr>
              <w:rPr>
                <w:rFonts w:ascii="Times New Roman" w:hAnsi="Times New Roman" w:eastAsia="宋体" w:cs="Times New Roman"/>
                <w:kern w:val="2"/>
                <w:sz w:val="21"/>
                <w:szCs w:val="24"/>
                <w:lang w:val="en-US" w:eastAsia="zh-CN" w:bidi="ar-SA"/>
              </w:rPr>
              <w:id w:val="147479031"/>
              <w:placeholder>
                <w:docPart w:val="{187cce91-978e-4134-9ef3-b3caf87541a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r>
            <w:t>7</w:t>
          </w:r>
          <w:r>
            <w:fldChar w:fldCharType="end"/>
          </w:r>
        </w:p>
        <w:p>
          <w:pPr>
            <w:pStyle w:val="32"/>
            <w:tabs>
              <w:tab w:val="right" w:leader="dot" w:pos="8306"/>
            </w:tabs>
          </w:pPr>
          <w:r>
            <w:fldChar w:fldCharType="begin"/>
          </w:r>
          <w:r>
            <w:instrText xml:space="preserve"> HYPERLINK \l _Toc16985 </w:instrText>
          </w:r>
          <w:r>
            <w:fldChar w:fldCharType="separate"/>
          </w:r>
          <w:sdt>
            <w:sdtPr>
              <w:rPr>
                <w:rFonts w:ascii="Times New Roman" w:hAnsi="Times New Roman" w:eastAsia="宋体" w:cs="Times New Roman"/>
                <w:kern w:val="2"/>
                <w:sz w:val="21"/>
                <w:szCs w:val="24"/>
                <w:lang w:val="en-US" w:eastAsia="zh-CN" w:bidi="ar-SA"/>
              </w:rPr>
              <w:id w:val="147479031"/>
              <w:placeholder>
                <w:docPart w:val="{9b6e55ea-0643-4a18-9a39-73a5c210237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r>
            <w:t>8</w:t>
          </w:r>
          <w:r>
            <w:fldChar w:fldCharType="end"/>
          </w:r>
        </w:p>
        <w:p>
          <w:pPr>
            <w:pStyle w:val="32"/>
            <w:tabs>
              <w:tab w:val="right" w:leader="dot" w:pos="8306"/>
            </w:tabs>
          </w:pPr>
          <w:r>
            <w:fldChar w:fldCharType="begin"/>
          </w:r>
          <w:r>
            <w:instrText xml:space="preserve"> HYPERLINK \l _Toc3863 </w:instrText>
          </w:r>
          <w:r>
            <w:fldChar w:fldCharType="separate"/>
          </w:r>
          <w:sdt>
            <w:sdtPr>
              <w:rPr>
                <w:rFonts w:ascii="Times New Roman" w:hAnsi="Times New Roman" w:eastAsia="宋体" w:cs="Times New Roman"/>
                <w:kern w:val="2"/>
                <w:sz w:val="21"/>
                <w:szCs w:val="24"/>
                <w:lang w:val="en-US" w:eastAsia="zh-CN" w:bidi="ar-SA"/>
              </w:rPr>
              <w:id w:val="147479031"/>
              <w:placeholder>
                <w:docPart w:val="{41082d96-6999-42c1-8ee0-b519ac8b7bcf}"/>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r>
            <w:t>10</w:t>
          </w:r>
          <w:r>
            <w:fldChar w:fldCharType="end"/>
          </w:r>
        </w:p>
        <w:p>
          <w:pPr>
            <w:pStyle w:val="32"/>
            <w:tabs>
              <w:tab w:val="right" w:leader="dot" w:pos="8306"/>
            </w:tabs>
          </w:pPr>
          <w:r>
            <w:fldChar w:fldCharType="begin"/>
          </w:r>
          <w:r>
            <w:instrText xml:space="preserve"> HYPERLINK \l _Toc8408 </w:instrText>
          </w:r>
          <w:r>
            <w:fldChar w:fldCharType="separate"/>
          </w:r>
          <w:sdt>
            <w:sdtPr>
              <w:rPr>
                <w:rFonts w:ascii="Times New Roman" w:hAnsi="Times New Roman" w:eastAsia="宋体" w:cs="Times New Roman"/>
                <w:kern w:val="2"/>
                <w:sz w:val="21"/>
                <w:szCs w:val="24"/>
                <w:lang w:val="en-US" w:eastAsia="zh-CN" w:bidi="ar-SA"/>
              </w:rPr>
              <w:id w:val="147479031"/>
              <w:placeholder>
                <w:docPart w:val="{714cea6f-42da-4b1a-a64a-10f153f7c2b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七、 “三公”经费财政拨款支出决算情况说明</w:t>
              </w:r>
            </w:sdtContent>
          </w:sdt>
          <w:r>
            <w:tab/>
          </w:r>
          <w:r>
            <w:t>11</w:t>
          </w:r>
          <w:r>
            <w:fldChar w:fldCharType="end"/>
          </w:r>
        </w:p>
        <w:p>
          <w:pPr>
            <w:pStyle w:val="32"/>
            <w:tabs>
              <w:tab w:val="right" w:leader="dot" w:pos="8306"/>
            </w:tabs>
          </w:pPr>
          <w:r>
            <w:fldChar w:fldCharType="begin"/>
          </w:r>
          <w:r>
            <w:instrText xml:space="preserve"> HYPERLINK \l _Toc10197 </w:instrText>
          </w:r>
          <w:r>
            <w:fldChar w:fldCharType="separate"/>
          </w:r>
          <w:sdt>
            <w:sdtPr>
              <w:rPr>
                <w:rFonts w:ascii="Times New Roman" w:hAnsi="Times New Roman" w:eastAsia="宋体" w:cs="Times New Roman"/>
                <w:kern w:val="2"/>
                <w:sz w:val="21"/>
                <w:szCs w:val="24"/>
                <w:lang w:val="en-US" w:eastAsia="zh-CN" w:bidi="ar-SA"/>
              </w:rPr>
              <w:id w:val="147479031"/>
              <w:placeholder>
                <w:docPart w:val="{a95c2f60-6bb1-4de0-8704-16aa7deb9d5e}"/>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r>
            <w:t>12</w:t>
          </w:r>
          <w:r>
            <w:fldChar w:fldCharType="end"/>
          </w:r>
        </w:p>
        <w:p>
          <w:pPr>
            <w:pStyle w:val="32"/>
            <w:tabs>
              <w:tab w:val="right" w:leader="dot" w:pos="8306"/>
            </w:tabs>
          </w:pPr>
          <w:r>
            <w:fldChar w:fldCharType="begin"/>
          </w:r>
          <w:r>
            <w:instrText xml:space="preserve"> HYPERLINK \l _Toc12692 </w:instrText>
          </w:r>
          <w:r>
            <w:fldChar w:fldCharType="separate"/>
          </w:r>
          <w:sdt>
            <w:sdtPr>
              <w:rPr>
                <w:rFonts w:ascii="Times New Roman" w:hAnsi="Times New Roman" w:eastAsia="宋体" w:cs="Times New Roman"/>
                <w:kern w:val="2"/>
                <w:sz w:val="21"/>
                <w:szCs w:val="24"/>
                <w:lang w:val="en-US" w:eastAsia="zh-CN" w:bidi="ar-SA"/>
              </w:rPr>
              <w:id w:val="147479031"/>
              <w:placeholder>
                <w:docPart w:val="{6cf5eea8-ff49-4c52-b1c3-80709f6a376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r>
            <w:t>12</w:t>
          </w:r>
          <w:r>
            <w:fldChar w:fldCharType="end"/>
          </w:r>
        </w:p>
        <w:p>
          <w:pPr>
            <w:pStyle w:val="32"/>
            <w:tabs>
              <w:tab w:val="right" w:leader="dot" w:pos="8306"/>
            </w:tabs>
          </w:pPr>
          <w:r>
            <w:fldChar w:fldCharType="begin"/>
          </w:r>
          <w:r>
            <w:instrText xml:space="preserve"> HYPERLINK \l _Toc32230 </w:instrText>
          </w:r>
          <w:r>
            <w:fldChar w:fldCharType="separate"/>
          </w:r>
          <w:sdt>
            <w:sdtPr>
              <w:rPr>
                <w:rFonts w:ascii="Times New Roman" w:hAnsi="Times New Roman" w:eastAsia="宋体" w:cs="Times New Roman"/>
                <w:kern w:val="2"/>
                <w:sz w:val="21"/>
                <w:szCs w:val="24"/>
                <w:lang w:val="en-US" w:eastAsia="zh-CN" w:bidi="ar-SA"/>
              </w:rPr>
              <w:id w:val="147479031"/>
              <w:placeholder>
                <w:docPart w:val="{6209e9c4-a1dc-425c-9bda-1e77a74d6c5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r>
            <w:t>12</w:t>
          </w:r>
          <w:r>
            <w:fldChar w:fldCharType="end"/>
          </w:r>
        </w:p>
        <w:p>
          <w:pPr>
            <w:pStyle w:val="31"/>
            <w:tabs>
              <w:tab w:val="right" w:leader="dot" w:pos="8306"/>
            </w:tabs>
          </w:pPr>
          <w:r>
            <w:rPr>
              <w:b/>
              <w:bCs/>
            </w:rPr>
            <w:fldChar w:fldCharType="begin"/>
          </w:r>
          <w:r>
            <w:instrText xml:space="preserve"> HYPERLINK \l _Toc19249 </w:instrText>
          </w:r>
          <w:r>
            <w:rPr>
              <w:b/>
              <w:bCs/>
            </w:rPr>
            <w:fldChar w:fldCharType="separate"/>
          </w:r>
          <w:sdt>
            <w:sdtPr>
              <w:rPr>
                <w:rFonts w:ascii="Times New Roman" w:hAnsi="Times New Roman" w:eastAsia="宋体" w:cs="Times New Roman"/>
                <w:b/>
                <w:bCs/>
                <w:kern w:val="2"/>
                <w:sz w:val="21"/>
                <w:szCs w:val="24"/>
                <w:lang w:val="en-US" w:eastAsia="zh-CN" w:bidi="ar-SA"/>
              </w:rPr>
              <w:id w:val="147479031"/>
              <w:placeholder>
                <w:docPart w:val="{b5604053-5c7b-4f04-9863-05ec55e52c36}"/>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第三部分 名词解释</w:t>
              </w:r>
            </w:sdtContent>
          </w:sdt>
          <w:r>
            <w:rPr>
              <w:b/>
              <w:bCs/>
            </w:rPr>
            <w:tab/>
          </w:r>
          <w:r>
            <w:rPr>
              <w:b/>
              <w:bCs/>
            </w:rPr>
            <w:t>16</w:t>
          </w:r>
          <w:r>
            <w:rPr>
              <w:b/>
              <w:bCs/>
            </w:rPr>
            <w:fldChar w:fldCharType="end"/>
          </w:r>
        </w:p>
        <w:p>
          <w:pPr>
            <w:pStyle w:val="31"/>
            <w:tabs>
              <w:tab w:val="right" w:leader="dot" w:pos="8306"/>
            </w:tabs>
          </w:pPr>
          <w:r>
            <w:rPr>
              <w:b/>
              <w:bCs/>
            </w:rPr>
            <w:fldChar w:fldCharType="begin"/>
          </w:r>
          <w:r>
            <w:instrText xml:space="preserve"> HYPERLINK \l _Toc16312 </w:instrText>
          </w:r>
          <w:r>
            <w:rPr>
              <w:b/>
              <w:bCs/>
            </w:rPr>
            <w:fldChar w:fldCharType="separate"/>
          </w:r>
          <w:sdt>
            <w:sdtPr>
              <w:rPr>
                <w:rFonts w:ascii="Times New Roman" w:hAnsi="Times New Roman" w:eastAsia="宋体" w:cs="Times New Roman"/>
                <w:b/>
                <w:bCs/>
                <w:kern w:val="2"/>
                <w:sz w:val="21"/>
                <w:szCs w:val="24"/>
                <w:lang w:val="en-US" w:eastAsia="zh-CN" w:bidi="ar-SA"/>
              </w:rPr>
              <w:id w:val="147479031"/>
              <w:placeholder>
                <w:docPart w:val="{a6d1841a-f383-4347-a290-4b76c2b162e3}"/>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r>
            <w:rPr>
              <w:b/>
              <w:bCs/>
            </w:rPr>
            <w:t>19</w:t>
          </w:r>
          <w:r>
            <w:rPr>
              <w:b/>
              <w:bCs/>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_Toc13152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895ca116-ce6d-4f33-b64e-48bafac484b4}"/>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2020年机关后勤保障经费项目支出绩效自评报告</w:t>
              </w:r>
            </w:sdtContent>
          </w:sdt>
          <w:r>
            <w:rPr>
              <w:rFonts w:hint="eastAsia" w:ascii="黑体" w:hAnsi="黑体" w:eastAsia="黑体" w:cs="黑体"/>
            </w:rPr>
            <w:tab/>
          </w:r>
          <w:r>
            <w:rPr>
              <w:rFonts w:hint="eastAsia" w:ascii="黑体" w:hAnsi="黑体" w:eastAsia="黑体" w:cs="黑体"/>
            </w:rPr>
            <w:t>19</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_Toc29029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585306eb-44d4-4dbb-b11d-e2ef6c3eb958}"/>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一、 基本情况</w:t>
              </w:r>
            </w:sdtContent>
          </w:sdt>
          <w:r>
            <w:rPr>
              <w:rFonts w:hint="eastAsia" w:ascii="黑体" w:hAnsi="黑体" w:eastAsia="黑体" w:cs="黑体"/>
            </w:rPr>
            <w:tab/>
          </w:r>
          <w:r>
            <w:rPr>
              <w:rFonts w:hint="eastAsia" w:ascii="黑体" w:hAnsi="黑体" w:eastAsia="黑体" w:cs="黑体"/>
            </w:rPr>
            <w:t>19</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_Toc1613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b0557760-aa4c-4b82-b8c2-d74afe7e931a}"/>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二、评价工作开展情况</w:t>
              </w:r>
            </w:sdtContent>
          </w:sdt>
          <w:r>
            <w:rPr>
              <w:rFonts w:hint="eastAsia" w:ascii="黑体" w:hAnsi="黑体" w:eastAsia="黑体" w:cs="黑体"/>
            </w:rPr>
            <w:tab/>
          </w:r>
          <w:r>
            <w:rPr>
              <w:rFonts w:hint="eastAsia" w:ascii="黑体" w:hAnsi="黑体" w:eastAsia="黑体" w:cs="黑体"/>
            </w:rPr>
            <w:t>21</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_Toc19680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283f3c32-c0e3-4beb-8685-7793c579a085}"/>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三、综合评价结论（附评分表）</w:t>
              </w:r>
            </w:sdtContent>
          </w:sdt>
          <w:r>
            <w:rPr>
              <w:rFonts w:hint="eastAsia" w:ascii="黑体" w:hAnsi="黑体" w:eastAsia="黑体" w:cs="黑体"/>
            </w:rPr>
            <w:tab/>
          </w:r>
          <w:r>
            <w:rPr>
              <w:rFonts w:hint="eastAsia" w:ascii="黑体" w:hAnsi="黑体" w:eastAsia="黑体" w:cs="黑体"/>
            </w:rPr>
            <w:t>21</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_Toc21173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fa7a58ac-dfed-43c4-a144-01b3c136add5}"/>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四、绩效评价分析</w:t>
              </w:r>
            </w:sdtContent>
          </w:sdt>
          <w:r>
            <w:rPr>
              <w:rFonts w:hint="eastAsia" w:ascii="黑体" w:hAnsi="黑体" w:eastAsia="黑体" w:cs="黑体"/>
            </w:rPr>
            <w:tab/>
          </w:r>
          <w:r>
            <w:rPr>
              <w:rFonts w:hint="eastAsia" w:ascii="黑体" w:hAnsi="黑体" w:eastAsia="黑体" w:cs="黑体"/>
            </w:rPr>
            <w:t>22</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_Toc14399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d1ec0bb0-9050-4557-8c95-4a846e90fb78}"/>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五、 存在主要问题</w:t>
              </w:r>
            </w:sdtContent>
          </w:sdt>
          <w:r>
            <w:rPr>
              <w:rFonts w:hint="eastAsia" w:ascii="黑体" w:hAnsi="黑体" w:eastAsia="黑体" w:cs="黑体"/>
            </w:rPr>
            <w:tab/>
          </w:r>
          <w:r>
            <w:rPr>
              <w:rFonts w:hint="eastAsia" w:ascii="黑体" w:hAnsi="黑体" w:eastAsia="黑体" w:cs="黑体"/>
            </w:rPr>
            <w:t>23</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_Toc22391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088d606b-2cbf-4cfc-8817-6ddb0a74d530}"/>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六、 相关措施建议</w:t>
              </w:r>
            </w:sdtContent>
          </w:sdt>
          <w:r>
            <w:rPr>
              <w:rFonts w:hint="eastAsia" w:ascii="黑体" w:hAnsi="黑体" w:eastAsia="黑体" w:cs="黑体"/>
            </w:rPr>
            <w:tab/>
          </w:r>
          <w:r>
            <w:rPr>
              <w:rFonts w:hint="eastAsia" w:ascii="黑体" w:hAnsi="黑体" w:eastAsia="黑体" w:cs="黑体"/>
            </w:rPr>
            <w:t>23</w:t>
          </w:r>
          <w:r>
            <w:rPr>
              <w:rFonts w:hint="eastAsia" w:ascii="黑体" w:hAnsi="黑体" w:eastAsia="黑体" w:cs="黑体"/>
            </w:rPr>
            <w:fldChar w:fldCharType="end"/>
          </w:r>
        </w:p>
        <w:p>
          <w:pPr>
            <w:pStyle w:val="31"/>
            <w:tabs>
              <w:tab w:val="right" w:leader="dot" w:pos="8306"/>
            </w:tabs>
          </w:pPr>
          <w:r>
            <w:rPr>
              <w:b/>
              <w:bCs/>
            </w:rPr>
            <w:fldChar w:fldCharType="begin"/>
          </w:r>
          <w:r>
            <w:instrText xml:space="preserve"> HYPERLINK \l _Toc11130 </w:instrText>
          </w:r>
          <w:r>
            <w:rPr>
              <w:b/>
              <w:bCs/>
            </w:rPr>
            <w:fldChar w:fldCharType="separate"/>
          </w:r>
          <w:sdt>
            <w:sdtPr>
              <w:rPr>
                <w:rFonts w:ascii="Times New Roman" w:hAnsi="Times New Roman" w:eastAsia="宋体" w:cs="Times New Roman"/>
                <w:b/>
                <w:bCs/>
                <w:kern w:val="2"/>
                <w:sz w:val="21"/>
                <w:szCs w:val="24"/>
                <w:lang w:val="en-US" w:eastAsia="zh-CN" w:bidi="ar-SA"/>
              </w:rPr>
              <w:id w:val="147479031"/>
              <w:placeholder>
                <w:docPart w:val="{a2c1678c-96a8-4f61-abcc-f225b6ff5a81}"/>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r>
            <w:rPr>
              <w:b/>
              <w:bCs/>
            </w:rPr>
            <w:t>24</w:t>
          </w:r>
          <w:r>
            <w:rPr>
              <w:b/>
              <w:bCs/>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_Toc30428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d4e1b522-ad59-44e2-b867-9b1a919226b2}"/>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一、收入支出决算总表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_Toc26918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016228bd-517b-49f5-9552-3b8cdcc06f1f}"/>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二、收入决算表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_Toc21736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b7ed8c00-40f3-4f88-8ea2-c32d565348d0}"/>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三、支出决算表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_Toc18924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631dfbe7-5a49-4090-9fce-1bc553e5b507}"/>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四、财政拨款收入支出决算总表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_Toc374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0315bc61-cb75-4ad4-9647-3242f5d5c589}"/>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五、财政拨款支出决算明细表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_Toc6345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5c00008f-f01e-4313-80da-076afe356b23}"/>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六、一般公共预算财政拨款支出决算表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_Toc21483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5fa17214-8446-4c98-b401-da327f5bbb7a}"/>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七、一般公共预算财政拨款支出决算明细表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_Toc11878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c3a011fd-28c2-44b3-a9c6-285e7b1a21fa}"/>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八、一般公共预算财政拨款基本支出决算表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_Toc3521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58625499-0d74-436d-8bc0-5d4dce3451eb}"/>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九、一般公共预算财政拨款项目支出决算表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_Toc11264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98d4a4fc-4e28-4f6e-ba48-7578bc124428}"/>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十、一般公共预算财政拨款“三公”经费支出决算表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_Toc16959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9f3beba6-e427-4f1e-8983-bc0835420203}"/>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十一、政府性基金预算财政拨款收入支出决算表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_Toc31417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bb327c10-ddcb-4ccb-9274-29f95437527f}"/>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十二、政府性基金预算财政拨款“三公”经费支出决算表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_Toc13591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924bc6a5-8544-470f-9d2b-4adbc418e66e}"/>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十三、国有资本经营预算财政拨款收入支出决算表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_Toc6730 </w:instrText>
          </w:r>
          <w:r>
            <w:rPr>
              <w:rFonts w:hint="eastAsia" w:ascii="黑体" w:hAnsi="黑体" w:eastAsia="黑体" w:cs="黑体"/>
            </w:rPr>
            <w:fldChar w:fldCharType="separate"/>
          </w:r>
          <w:sdt>
            <w:sdtPr>
              <w:rPr>
                <w:rFonts w:hint="eastAsia" w:ascii="黑体" w:hAnsi="黑体" w:eastAsia="黑体" w:cs="黑体"/>
                <w:kern w:val="2"/>
                <w:sz w:val="21"/>
                <w:szCs w:val="24"/>
                <w:lang w:val="en-US" w:eastAsia="zh-CN" w:bidi="ar-SA"/>
              </w:rPr>
              <w:id w:val="147479031"/>
              <w:placeholder>
                <w:docPart w:val="{97fd5958-f95d-45ef-9088-a37d88209ac8}"/>
              </w:placeholder>
            </w:sdtPr>
            <w:sdtEndPr>
              <w:rPr>
                <w:rFonts w:hint="eastAsia" w:ascii="黑体" w:hAnsi="黑体" w:eastAsia="黑体" w:cs="黑体"/>
                <w:kern w:val="2"/>
                <w:sz w:val="21"/>
                <w:szCs w:val="24"/>
                <w:lang w:val="en-US" w:eastAsia="zh-CN" w:bidi="ar-SA"/>
              </w:rPr>
            </w:sdtEndPr>
            <w:sdtContent>
              <w:r>
                <w:rPr>
                  <w:rFonts w:hint="eastAsia" w:ascii="黑体" w:hAnsi="黑体" w:eastAsia="黑体" w:cs="黑体"/>
                </w:rPr>
                <w:t>十四、国有资本经营预算财政拨款支出决算表</w:t>
              </w:r>
            </w:sdtContent>
          </w:sdt>
          <w:r>
            <w:rPr>
              <w:rFonts w:hint="eastAsia" w:ascii="黑体" w:hAnsi="黑体" w:eastAsia="黑体" w:cs="黑体"/>
            </w:rPr>
            <w:tab/>
          </w:r>
          <w:r>
            <w:rPr>
              <w:rFonts w:hint="eastAsia" w:ascii="黑体" w:hAnsi="黑体" w:eastAsia="黑体" w:cs="黑体"/>
            </w:rPr>
            <w:t>24</w:t>
          </w:r>
          <w:r>
            <w:rPr>
              <w:rFonts w:hint="eastAsia" w:ascii="黑体" w:hAnsi="黑体" w:eastAsia="黑体" w:cs="黑体"/>
            </w:rPr>
            <w:fldChar w:fldCharType="end"/>
          </w:r>
        </w:p>
      </w:sdtContent>
    </w:sdt>
    <w:p>
      <w:pPr>
        <w:widowControl/>
        <w:adjustRightInd w:val="0"/>
        <w:snapToGrid w:val="0"/>
        <w:spacing w:line="440" w:lineRule="exact"/>
        <w:jc w:val="left"/>
        <w:rPr>
          <w:rFonts w:ascii="仿宋" w:hAnsi="仿宋" w:eastAsia="仿宋"/>
          <w:color w:val="FF0000"/>
          <w:sz w:val="44"/>
          <w:szCs w:val="4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hint="eastAsia" w:ascii="黑体" w:hAnsi="黑体" w:eastAsia="黑体"/>
          <w:b w:val="0"/>
        </w:rPr>
      </w:pPr>
      <w:bookmarkStart w:id="14" w:name="_Toc3974"/>
      <w:bookmarkStart w:id="15" w:name="_Toc3478"/>
      <w:r>
        <w:rPr>
          <w:rFonts w:hint="eastAsia" w:ascii="黑体" w:hAnsi="黑体" w:eastAsia="黑体"/>
          <w:b w:val="0"/>
        </w:rPr>
        <w:t xml:space="preserve">第一部分 </w:t>
      </w:r>
      <w:r>
        <w:rPr>
          <w:rFonts w:hint="eastAsia" w:ascii="黑体" w:hAnsi="黑体" w:eastAsia="黑体"/>
          <w:b w:val="0"/>
          <w:lang w:eastAsia="zh-CN"/>
        </w:rPr>
        <w:t>单位</w:t>
      </w:r>
      <w:r>
        <w:rPr>
          <w:rFonts w:hint="eastAsia" w:ascii="黑体" w:hAnsi="黑体" w:eastAsia="黑体"/>
          <w:b w:val="0"/>
        </w:rPr>
        <w:t>概况</w:t>
      </w:r>
      <w:bookmarkEnd w:id="12"/>
      <w:bookmarkEnd w:id="13"/>
      <w:bookmarkEnd w:id="14"/>
      <w:bookmarkEnd w:id="15"/>
    </w:p>
    <w:p>
      <w:pPr>
        <w:widowControl/>
        <w:jc w:val="left"/>
        <w:rPr>
          <w:rFonts w:ascii="黑体" w:eastAsia="黑体"/>
          <w:color w:val="000000"/>
          <w:sz w:val="32"/>
          <w:szCs w:val="32"/>
        </w:rPr>
      </w:pPr>
    </w:p>
    <w:p>
      <w:pPr>
        <w:widowControl/>
        <w:ind w:firstLine="640" w:firstLineChars="200"/>
        <w:jc w:val="left"/>
        <w:rPr>
          <w:rFonts w:hint="eastAsia" w:ascii="黑体" w:eastAsia="黑体"/>
          <w:color w:val="000000"/>
          <w:sz w:val="32"/>
          <w:szCs w:val="32"/>
          <w:lang w:eastAsia="zh-CN"/>
        </w:rPr>
      </w:pPr>
      <w:bookmarkStart w:id="16" w:name="_Toc15396600"/>
      <w:bookmarkStart w:id="17" w:name="_Toc9011"/>
      <w:bookmarkStart w:id="18" w:name="_Toc15377197"/>
      <w:bookmarkStart w:id="19" w:name="_Toc3839"/>
      <w:r>
        <w:rPr>
          <w:rFonts w:hint="eastAsia" w:ascii="黑体" w:eastAsia="黑体"/>
          <w:color w:val="000000"/>
          <w:sz w:val="32"/>
          <w:szCs w:val="32"/>
        </w:rPr>
        <w:t>一、</w:t>
      </w:r>
      <w:bookmarkEnd w:id="16"/>
      <w:bookmarkEnd w:id="17"/>
      <w:bookmarkEnd w:id="18"/>
      <w:r>
        <w:rPr>
          <w:rFonts w:hint="eastAsia" w:ascii="黑体" w:eastAsia="黑体"/>
          <w:color w:val="000000"/>
          <w:sz w:val="32"/>
          <w:szCs w:val="32"/>
          <w:lang w:val="en-US" w:eastAsia="zh-CN"/>
        </w:rPr>
        <w:t>职能简介</w:t>
      </w:r>
      <w:bookmarkEnd w:id="19"/>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一是</w:t>
      </w:r>
      <w:r>
        <w:rPr>
          <w:rFonts w:hint="eastAsia" w:ascii="仿宋_GB2312" w:hAnsi="仿宋_GB2312" w:eastAsia="仿宋_GB2312" w:cs="仿宋_GB2312"/>
          <w:color w:val="000000"/>
          <w:sz w:val="32"/>
          <w:szCs w:val="32"/>
        </w:rPr>
        <w:t>负责机关车辆、通讯、文印、物业管理等服务保障工作</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承担机关委托的部分行政管理的事务性工作；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三是</w:t>
      </w:r>
      <w:r>
        <w:rPr>
          <w:rFonts w:hint="eastAsia" w:ascii="仿宋_GB2312" w:hAnsi="仿宋_GB2312" w:eastAsia="仿宋_GB2312" w:cs="仿宋_GB2312"/>
          <w:color w:val="000000"/>
          <w:sz w:val="32"/>
          <w:szCs w:val="32"/>
        </w:rPr>
        <w:t>负责机关交其使用的固定资产的管理和经营性资产的经营管理工作等</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四是</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政府及</w:t>
      </w:r>
      <w:r>
        <w:rPr>
          <w:rFonts w:hint="eastAsia" w:ascii="仿宋_GB2312" w:hAnsi="仿宋_GB2312" w:eastAsia="仿宋_GB2312" w:cs="仿宋_GB2312"/>
          <w:color w:val="000000"/>
          <w:sz w:val="32"/>
          <w:szCs w:val="32"/>
          <w:lang w:val="en-US" w:eastAsia="zh-CN"/>
        </w:rPr>
        <w:t>省民族宗教委</w:t>
      </w:r>
      <w:r>
        <w:rPr>
          <w:rFonts w:hint="eastAsia" w:ascii="仿宋_GB2312" w:hAnsi="仿宋_GB2312" w:eastAsia="仿宋_GB2312" w:cs="仿宋_GB2312"/>
          <w:color w:val="000000"/>
          <w:sz w:val="32"/>
          <w:szCs w:val="32"/>
        </w:rPr>
        <w:t>交办的其他事项。</w:t>
      </w:r>
    </w:p>
    <w:p>
      <w:pPr>
        <w:widowControl/>
        <w:ind w:firstLine="640" w:firstLineChars="200"/>
        <w:jc w:val="left"/>
        <w:rPr>
          <w:rFonts w:hint="default" w:ascii="黑体" w:eastAsia="黑体"/>
          <w:color w:val="000000"/>
          <w:sz w:val="32"/>
          <w:szCs w:val="32"/>
        </w:rPr>
      </w:pPr>
      <w:bookmarkStart w:id="20" w:name="_Toc15378446"/>
      <w:bookmarkStart w:id="21" w:name="_Toc15377199"/>
      <w:bookmarkStart w:id="22" w:name="_Toc30664"/>
      <w:r>
        <w:rPr>
          <w:rFonts w:hint="eastAsia" w:ascii="黑体" w:eastAsia="黑体"/>
          <w:color w:val="000000"/>
          <w:sz w:val="32"/>
          <w:szCs w:val="32"/>
          <w:lang w:val="en-US" w:eastAsia="zh-CN"/>
        </w:rPr>
        <w:t>二、</w:t>
      </w:r>
      <w:bookmarkEnd w:id="20"/>
      <w:bookmarkEnd w:id="21"/>
      <w:r>
        <w:rPr>
          <w:rFonts w:hint="eastAsia" w:ascii="黑体" w:eastAsia="黑体"/>
          <w:color w:val="000000"/>
          <w:sz w:val="32"/>
          <w:szCs w:val="32"/>
          <w:lang w:val="en-US" w:eastAsia="zh-CN"/>
        </w:rPr>
        <w:t>2020年重点</w:t>
      </w:r>
      <w:r>
        <w:rPr>
          <w:rFonts w:hint="eastAsia" w:ascii="黑体" w:eastAsia="黑体"/>
          <w:color w:val="000000"/>
          <w:sz w:val="32"/>
          <w:szCs w:val="32"/>
        </w:rPr>
        <w:t>工作</w:t>
      </w:r>
      <w:r>
        <w:rPr>
          <w:rFonts w:hint="eastAsia" w:ascii="黑体" w:eastAsia="黑体"/>
          <w:color w:val="000000"/>
          <w:sz w:val="32"/>
          <w:szCs w:val="32"/>
          <w:lang w:eastAsia="zh-CN"/>
        </w:rPr>
        <w:t>完成情况</w:t>
      </w:r>
      <w:bookmarkEnd w:id="2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一是做好物业管理工作，从消防安全、办公环境优化等方面制定并实施了安全生产月主题活动方案，</w:t>
      </w:r>
      <w:r>
        <w:rPr>
          <w:rFonts w:hint="eastAsia" w:ascii="仿宋_GB2312" w:hAnsi="仿宋_GB2312" w:eastAsia="仿宋_GB2312" w:cs="仿宋_GB2312"/>
          <w:color w:val="000000"/>
          <w:sz w:val="32"/>
          <w:szCs w:val="32"/>
          <w:lang w:eastAsia="zh-CN"/>
        </w:rPr>
        <w:t>全年未发生任何安全事故</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二是做好疫情防控工作，根据疫情发展形式和委防疫领导小组的指示精神，主动实时调整疫情防控方案，做好疫情防控日常工作。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三是加强机关食堂精细化管理，规范采购方式，严控成本，落实了食品留样制，更新了食堂餐桌椅及一体化刷卡系统，丰富了菜品样式。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四是做好公务车辆管理，按《四川省机关事务管理局公务用车管理办法》实行24小时值班制。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五是办公管理逐步完善，</w:t>
      </w:r>
      <w:r>
        <w:rPr>
          <w:rFonts w:hint="eastAsia" w:ascii="仿宋_GB2312" w:hAnsi="仿宋_GB2312" w:eastAsia="仿宋_GB2312" w:cs="仿宋_GB2312"/>
          <w:color w:val="000000"/>
          <w:sz w:val="32"/>
          <w:szCs w:val="32"/>
          <w:lang w:eastAsia="zh-CN"/>
        </w:rPr>
        <w:t>高效保障</w:t>
      </w:r>
      <w:r>
        <w:rPr>
          <w:rFonts w:hint="eastAsia" w:ascii="仿宋_GB2312" w:hAnsi="仿宋_GB2312" w:eastAsia="仿宋_GB2312" w:cs="仿宋_GB2312"/>
          <w:color w:val="000000"/>
          <w:sz w:val="32"/>
          <w:szCs w:val="32"/>
        </w:rPr>
        <w:t>档案整理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会议服务</w:t>
      </w:r>
      <w:r>
        <w:rPr>
          <w:rFonts w:hint="eastAsia" w:ascii="仿宋_GB2312" w:hAnsi="仿宋_GB2312" w:eastAsia="仿宋_GB2312" w:cs="仿宋_GB2312"/>
          <w:color w:val="000000"/>
          <w:sz w:val="32"/>
          <w:szCs w:val="32"/>
          <w:lang w:eastAsia="zh-CN"/>
        </w:rPr>
        <w:t>等办公</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。落实节假日</w:t>
      </w:r>
      <w:r>
        <w:rPr>
          <w:rFonts w:hint="eastAsia" w:ascii="仿宋_GB2312" w:hAnsi="仿宋_GB2312" w:eastAsia="仿宋_GB2312" w:cs="仿宋_GB2312"/>
          <w:color w:val="000000"/>
          <w:sz w:val="32"/>
          <w:szCs w:val="32"/>
        </w:rPr>
        <w:t>24小时双人双岗值班和领导带班制度</w:t>
      </w:r>
      <w:r>
        <w:rPr>
          <w:rFonts w:hint="eastAsia" w:ascii="仿宋_GB2312" w:hAnsi="仿宋_GB2312" w:eastAsia="仿宋_GB2312" w:cs="仿宋_GB2312"/>
          <w:color w:val="000000"/>
          <w:sz w:val="32"/>
          <w:szCs w:val="32"/>
          <w:lang w:val="en-US" w:eastAsia="zh-CN"/>
        </w:rPr>
        <w:t>，确保了大楼、车队的稳定运行。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六是节能及国资管理稳步推进，荣获2019-2020年省级节约型公共机构示范单位，荣获2019年度全省机关运行成本统计调查工作先进单位名单。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p>
    <w:p>
      <w:pPr>
        <w:widowControl/>
        <w:ind w:firstLine="640" w:firstLineChars="200"/>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三、机构设置情况</w:t>
      </w:r>
    </w:p>
    <w:p>
      <w:pPr>
        <w:keepNext w:val="0"/>
        <w:keepLines w:val="0"/>
        <w:pageBreakBefore w:val="0"/>
        <w:widowControl/>
        <w:numPr>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color w:val="000000"/>
          <w:sz w:val="32"/>
          <w:szCs w:val="32"/>
        </w:rPr>
      </w:pPr>
      <w:r>
        <w:rPr>
          <w:rFonts w:hint="eastAsia" w:ascii="仿宋_GB2312" w:hAnsi="仿宋_GB2312" w:eastAsia="仿宋_GB2312" w:cs="仿宋_GB2312"/>
          <w:color w:val="000000"/>
          <w:sz w:val="32"/>
          <w:szCs w:val="32"/>
          <w:lang w:val="en-US" w:eastAsia="zh-CN"/>
        </w:rPr>
        <w:t>本单位无内设机构。</w:t>
      </w:r>
      <w:bookmarkStart w:id="144" w:name="_GoBack"/>
      <w:bookmarkEnd w:id="144"/>
      <w:r>
        <w:rPr>
          <w:rFonts w:ascii="黑体" w:eastAsia="黑体"/>
          <w:color w:val="000000"/>
          <w:sz w:val="32"/>
          <w:szCs w:val="32"/>
        </w:rPr>
        <w:br w:type="page"/>
      </w:r>
    </w:p>
    <w:p>
      <w:pPr>
        <w:pStyle w:val="3"/>
        <w:ind w:right="440"/>
        <w:jc w:val="right"/>
        <w:rPr>
          <w:rStyle w:val="25"/>
          <w:rFonts w:ascii="黑体" w:hAnsi="黑体" w:eastAsia="黑体"/>
          <w:b w:val="0"/>
          <w:bCs w:val="0"/>
        </w:rPr>
      </w:pPr>
      <w:bookmarkStart w:id="23" w:name="_Toc15396602"/>
      <w:bookmarkStart w:id="24" w:name="_Toc16637"/>
      <w:bookmarkStart w:id="25" w:name="_Toc13454"/>
      <w:bookmarkStart w:id="26"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w:t>
      </w:r>
      <w:r>
        <w:rPr>
          <w:rStyle w:val="25"/>
          <w:rFonts w:hint="eastAsia" w:ascii="黑体" w:hAnsi="黑体" w:eastAsia="黑体"/>
          <w:b w:val="0"/>
          <w:bCs w:val="0"/>
          <w:lang w:eastAsia="zh-CN"/>
        </w:rPr>
        <w:t>单位决算</w:t>
      </w:r>
      <w:r>
        <w:rPr>
          <w:rStyle w:val="25"/>
          <w:rFonts w:hint="eastAsia" w:ascii="黑体" w:hAnsi="黑体" w:eastAsia="黑体"/>
          <w:b w:val="0"/>
          <w:bCs w:val="0"/>
        </w:rPr>
        <w:t>情况说明</w:t>
      </w:r>
      <w:bookmarkEnd w:id="23"/>
      <w:bookmarkEnd w:id="24"/>
      <w:bookmarkEnd w:id="25"/>
      <w:bookmarkEnd w:id="26"/>
    </w:p>
    <w:p/>
    <w:p>
      <w:pPr>
        <w:pStyle w:val="24"/>
        <w:numPr>
          <w:ilvl w:val="0"/>
          <w:numId w:val="1"/>
        </w:numPr>
        <w:spacing w:line="600" w:lineRule="exact"/>
        <w:ind w:firstLineChars="0"/>
        <w:outlineLvl w:val="1"/>
        <w:rPr>
          <w:rStyle w:val="26"/>
          <w:rFonts w:ascii="黑体" w:hAnsi="黑体" w:eastAsia="黑体"/>
          <w:b w:val="0"/>
        </w:rPr>
      </w:pPr>
      <w:bookmarkStart w:id="27" w:name="_Toc15377205"/>
      <w:bookmarkStart w:id="28" w:name="_Toc15396603"/>
      <w:bookmarkStart w:id="29" w:name="_Toc32041"/>
      <w:bookmarkStart w:id="30" w:name="_Toc57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年度收、支总计</w:t>
      </w:r>
      <w:r>
        <w:rPr>
          <w:rFonts w:hint="default" w:ascii="Times New Roman" w:hAnsi="Times New Roman" w:eastAsia="仿宋_GB2312" w:cs="Times New Roman"/>
          <w:color w:val="000000"/>
          <w:sz w:val="32"/>
          <w:szCs w:val="32"/>
          <w:lang w:val="en-US" w:eastAsia="zh-CN"/>
        </w:rPr>
        <w:t>539.42</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年相比，收、支总计各减少</w:t>
      </w:r>
      <w:r>
        <w:rPr>
          <w:rFonts w:hint="default" w:ascii="Times New Roman" w:hAnsi="Times New Roman" w:eastAsia="仿宋_GB2312" w:cs="Times New Roman"/>
          <w:color w:val="000000"/>
          <w:sz w:val="32"/>
          <w:szCs w:val="32"/>
          <w:lang w:val="en-US" w:eastAsia="zh-CN"/>
        </w:rPr>
        <w:t>31.34</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5.49</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auto"/>
          <w:sz w:val="32"/>
          <w:szCs w:val="32"/>
          <w:lang w:val="en-US" w:eastAsia="zh-CN"/>
        </w:rPr>
        <w:t>受疫情防控影响，一般性支出减少。</w:t>
      </w:r>
    </w:p>
    <w:p>
      <w:pPr>
        <w:spacing w:line="600" w:lineRule="exact"/>
        <w:jc w:val="left"/>
        <w:rPr>
          <w:rFonts w:ascii="仿宋_GB2312" w:eastAsia="仿宋_GB2312"/>
          <w:color w:val="000000"/>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1" locked="0" layoutInCell="1" allowOverlap="1">
            <wp:simplePos x="0" y="0"/>
            <wp:positionH relativeFrom="column">
              <wp:posOffset>254635</wp:posOffset>
            </wp:positionH>
            <wp:positionV relativeFrom="paragraph">
              <wp:posOffset>136525</wp:posOffset>
            </wp:positionV>
            <wp:extent cx="4893310" cy="2929890"/>
            <wp:effectExtent l="4445" t="4445" r="55245" b="18415"/>
            <wp:wrapTight wrapText="bothSides">
              <wp:wrapPolygon>
                <wp:start x="-20" y="-33"/>
                <wp:lineTo x="-20" y="21455"/>
                <wp:lineTo x="21508" y="21455"/>
                <wp:lineTo x="21508" y="-33"/>
                <wp:lineTo x="-20" y="-3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31" w:name="_Toc15377206"/>
      <w:bookmarkStart w:id="32" w:name="_Toc15396604"/>
      <w:bookmarkStart w:id="33" w:name="_Toc28345"/>
      <w:bookmarkStart w:id="34" w:name="_Toc28830"/>
      <w:r>
        <w:rPr>
          <w:rFonts w:hint="eastAsia" w:ascii="黑体" w:hAnsi="黑体" w:eastAsia="黑体"/>
          <w:color w:val="000000"/>
          <w:sz w:val="32"/>
          <w:szCs w:val="32"/>
        </w:rPr>
        <w:t>收</w:t>
      </w:r>
      <w:r>
        <w:rPr>
          <w:rStyle w:val="26"/>
          <w:rFonts w:hint="eastAsia" w:ascii="黑体" w:hAnsi="黑体" w:eastAsia="黑体"/>
          <w:b w:val="0"/>
        </w:rPr>
        <w:t>入决算情况说明</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年本年收入合计</w:t>
      </w:r>
      <w:r>
        <w:rPr>
          <w:rFonts w:hint="default" w:ascii="Times New Roman" w:hAnsi="Times New Roman" w:eastAsia="仿宋" w:cs="Times New Roman"/>
          <w:color w:val="000000"/>
          <w:sz w:val="32"/>
          <w:szCs w:val="32"/>
          <w:lang w:val="en-US" w:eastAsia="zh-CN"/>
        </w:rPr>
        <w:t>515.82</w:t>
      </w:r>
      <w:r>
        <w:rPr>
          <w:rFonts w:hint="default" w:ascii="Times New Roman" w:hAnsi="Times New Roman" w:eastAsia="仿宋" w:cs="Times New Roman"/>
          <w:color w:val="000000"/>
          <w:sz w:val="32"/>
          <w:szCs w:val="32"/>
        </w:rPr>
        <w:t>万元，其中：一般公共预算财政拨款收入</w:t>
      </w:r>
      <w:r>
        <w:rPr>
          <w:rFonts w:hint="default" w:ascii="Times New Roman" w:hAnsi="Times New Roman" w:eastAsia="仿宋" w:cs="Times New Roman"/>
          <w:color w:val="000000"/>
          <w:sz w:val="32"/>
          <w:szCs w:val="32"/>
          <w:lang w:val="en-US" w:eastAsia="zh-CN"/>
        </w:rPr>
        <w:t>515.76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99.99</w:t>
      </w:r>
      <w:r>
        <w:rPr>
          <w:rFonts w:hint="default" w:ascii="Times New Roman" w:hAnsi="Times New Roman" w:eastAsia="仿宋" w:cs="Times New Roman"/>
          <w:color w:val="000000"/>
          <w:sz w:val="32"/>
          <w:szCs w:val="32"/>
        </w:rPr>
        <w:t>%；政府性基金预算财政拨款收入</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上级补助收入</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%；事业收入</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%；经营收入</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%；附属单位上缴收入</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%；其他收入</w:t>
      </w:r>
      <w:r>
        <w:rPr>
          <w:rFonts w:hint="default" w:ascii="Times New Roman" w:hAnsi="Times New Roman" w:eastAsia="仿宋" w:cs="Times New Roman"/>
          <w:color w:val="000000"/>
          <w:sz w:val="32"/>
          <w:szCs w:val="32"/>
          <w:lang w:val="en-US" w:eastAsia="zh-CN"/>
        </w:rPr>
        <w:t>0.06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0.01</w:t>
      </w:r>
      <w:r>
        <w:rPr>
          <w:rFonts w:hint="default" w:ascii="Times New Roman" w:hAnsi="Times New Roman" w:eastAsia="仿宋" w:cs="Times New Roman"/>
          <w:color w:val="000000"/>
          <w:sz w:val="32"/>
          <w:szCs w:val="32"/>
        </w:rPr>
        <w:t>%。</w:t>
      </w:r>
    </w:p>
    <w:p>
      <w:pPr>
        <w:spacing w:line="600" w:lineRule="exact"/>
        <w:ind w:firstLine="640" w:firstLineChars="200"/>
        <w:outlineLvl w:val="1"/>
        <w:rPr>
          <w:rFonts w:ascii="仿宋" w:hAnsi="仿宋" w:eastAsia="仿宋"/>
          <w:b/>
          <w:color w:val="FF0000"/>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2336" behindDoc="1" locked="0" layoutInCell="1" allowOverlap="1">
            <wp:simplePos x="0" y="0"/>
            <wp:positionH relativeFrom="column">
              <wp:posOffset>506730</wp:posOffset>
            </wp:positionH>
            <wp:positionV relativeFrom="paragraph">
              <wp:posOffset>-8505190</wp:posOffset>
            </wp:positionV>
            <wp:extent cx="4470400" cy="2651125"/>
            <wp:effectExtent l="4445" t="4445" r="59055" b="49530"/>
            <wp:wrapThrough wrapText="bothSides">
              <wp:wrapPolygon>
                <wp:start x="-21" y="-36"/>
                <wp:lineTo x="-21" y="21538"/>
                <wp:lineTo x="21517" y="21538"/>
                <wp:lineTo x="21517" y="-36"/>
                <wp:lineTo x="-21" y="-36"/>
              </wp:wrapPolygon>
            </wp:wrapThrough>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5" w:name="_Toc15377207"/>
      <w:bookmarkStart w:id="36" w:name="_Toc13251"/>
      <w:bookmarkStart w:id="37" w:name="_Toc19455"/>
      <w:bookmarkStart w:id="38"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年本年支出合计</w:t>
      </w:r>
      <w:r>
        <w:rPr>
          <w:rFonts w:hint="default" w:ascii="Times New Roman" w:hAnsi="Times New Roman" w:eastAsia="仿宋" w:cs="Times New Roman"/>
          <w:color w:val="000000"/>
          <w:sz w:val="32"/>
          <w:szCs w:val="32"/>
          <w:lang w:val="en-US" w:eastAsia="zh-CN"/>
        </w:rPr>
        <w:t>519.25</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380.12</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73.21</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139.13</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26.79</w:t>
      </w:r>
      <w:r>
        <w:rPr>
          <w:rFonts w:hint="default" w:ascii="Times New Roman" w:hAnsi="Times New Roman" w:eastAsia="仿宋" w:cs="Times New Roman"/>
          <w:color w:val="000000"/>
          <w:sz w:val="32"/>
          <w:szCs w:val="32"/>
        </w:rPr>
        <w:t>%；上缴上级支出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%；经营支出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%；对附属单位补助支出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w:t>
      </w:r>
    </w:p>
    <w:p/>
    <w:p>
      <w:pPr>
        <w:spacing w:line="600" w:lineRule="exact"/>
        <w:ind w:firstLine="640"/>
        <w:rPr>
          <w:rFonts w:ascii="仿宋_GB2312" w:eastAsia="仿宋_GB2312"/>
          <w:color w:val="FF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666432" behindDoc="0" locked="0" layoutInCell="1" allowOverlap="1">
            <wp:simplePos x="0" y="0"/>
            <wp:positionH relativeFrom="column">
              <wp:posOffset>-203200</wp:posOffset>
            </wp:positionH>
            <wp:positionV relativeFrom="paragraph">
              <wp:posOffset>57785</wp:posOffset>
            </wp:positionV>
            <wp:extent cx="5207000" cy="2856865"/>
            <wp:effectExtent l="4445" t="4445" r="8255" b="1524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rPr>
      </w:pPr>
      <w:bookmarkStart w:id="39" w:name="_Toc13224"/>
      <w:bookmarkStart w:id="40" w:name="_Toc15396606"/>
      <w:bookmarkStart w:id="41" w:name="_Toc15377208"/>
      <w:bookmarkStart w:id="42" w:name="_Toc32751"/>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cs="Times New Roman"/>
          <w:color w:val="auto"/>
          <w:sz w:val="32"/>
          <w:szCs w:val="32"/>
          <w:lang w:val="en-US" w:eastAsia="zh-CN"/>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年财政拨款收、支总计</w:t>
      </w:r>
      <w:r>
        <w:rPr>
          <w:rFonts w:hint="default" w:ascii="Times New Roman" w:hAnsi="Times New Roman" w:eastAsia="仿宋" w:cs="Times New Roman"/>
          <w:color w:val="000000"/>
          <w:sz w:val="32"/>
          <w:szCs w:val="32"/>
          <w:lang w:val="en-US" w:eastAsia="zh-CN"/>
        </w:rPr>
        <w:t>515.76</w:t>
      </w:r>
      <w:r>
        <w:rPr>
          <w:rFonts w:hint="default" w:ascii="Times New Roman" w:hAnsi="Times New Roman" w:eastAsia="仿宋" w:cs="Times New Roman"/>
          <w:color w:val="000000"/>
          <w:sz w:val="32"/>
          <w:szCs w:val="32"/>
        </w:rPr>
        <w:t>万元。与201</w:t>
      </w:r>
      <w:r>
        <w:rPr>
          <w:rFonts w:hint="default" w:ascii="Times New Roman" w:hAnsi="Times New Roman" w:eastAsia="仿宋" w:cs="Times New Roman"/>
          <w:color w:val="000000"/>
          <w:sz w:val="32"/>
          <w:szCs w:val="32"/>
          <w:lang w:val="en-US" w:eastAsia="zh-CN"/>
        </w:rPr>
        <w:t>9</w:t>
      </w:r>
      <w:r>
        <w:rPr>
          <w:rFonts w:hint="default" w:ascii="Times New Roman" w:hAnsi="Times New Roman" w:eastAsia="仿宋" w:cs="Times New Roman"/>
          <w:color w:val="000000"/>
          <w:sz w:val="32"/>
          <w:szCs w:val="32"/>
        </w:rPr>
        <w:t>年相比，财政拨款收、支总计各减少</w:t>
      </w:r>
      <w:r>
        <w:rPr>
          <w:rFonts w:hint="default" w:ascii="Times New Roman" w:hAnsi="Times New Roman" w:eastAsia="仿宋" w:cs="Times New Roman"/>
          <w:color w:val="000000"/>
          <w:sz w:val="32"/>
          <w:szCs w:val="32"/>
          <w:lang w:val="en-US" w:eastAsia="zh-CN"/>
        </w:rPr>
        <w:t>27.5</w:t>
      </w:r>
      <w:r>
        <w:rPr>
          <w:rFonts w:hint="default" w:ascii="Times New Roman" w:hAnsi="Times New Roman" w:eastAsia="仿宋" w:cs="Times New Roman"/>
          <w:color w:val="000000"/>
          <w:sz w:val="32"/>
          <w:szCs w:val="32"/>
        </w:rPr>
        <w:t>万元，下降</w:t>
      </w:r>
      <w:r>
        <w:rPr>
          <w:rFonts w:hint="default" w:ascii="Times New Roman" w:hAnsi="Times New Roman" w:eastAsia="仿宋" w:cs="Times New Roman"/>
          <w:color w:val="000000"/>
          <w:sz w:val="32"/>
          <w:szCs w:val="32"/>
          <w:lang w:val="en-US" w:eastAsia="zh-CN"/>
        </w:rPr>
        <w:t>5.06</w:t>
      </w:r>
      <w:r>
        <w:rPr>
          <w:rFonts w:hint="default" w:ascii="Times New Roman" w:hAnsi="Times New Roman" w:eastAsia="仿宋" w:cs="Times New Roman"/>
          <w:color w:val="000000"/>
          <w:sz w:val="32"/>
          <w:szCs w:val="32"/>
        </w:rPr>
        <w:t>%。主要变动原因是</w:t>
      </w:r>
      <w:r>
        <w:rPr>
          <w:rFonts w:hint="default" w:ascii="Times New Roman" w:hAnsi="Times New Roman" w:eastAsia="仿宋_GB2312" w:cs="Times New Roman"/>
          <w:color w:val="auto"/>
          <w:sz w:val="32"/>
          <w:szCs w:val="32"/>
          <w:lang w:val="en-US" w:eastAsia="zh-CN"/>
        </w:rPr>
        <w:t>按照疫情防控要求，压减一般性支出。</w:t>
      </w:r>
    </w:p>
    <w:p>
      <w:r>
        <w:rPr>
          <w:rFonts w:hint="default" w:ascii="Times New Roman" w:hAnsi="Times New Roman" w:eastAsia="仿宋_GB2312" w:cs="Times New Roman"/>
          <w:b/>
          <w:color w:val="auto"/>
          <w:sz w:val="32"/>
          <w:szCs w:val="32"/>
          <w:lang w:eastAsia="zh-CN"/>
        </w:rPr>
        <w:drawing>
          <wp:anchor distT="0" distB="0" distL="114300" distR="114300" simplePos="0" relativeHeight="251671552" behindDoc="1" locked="0" layoutInCell="1" allowOverlap="1">
            <wp:simplePos x="0" y="0"/>
            <wp:positionH relativeFrom="column">
              <wp:posOffset>532130</wp:posOffset>
            </wp:positionH>
            <wp:positionV relativeFrom="paragraph">
              <wp:posOffset>60960</wp:posOffset>
            </wp:positionV>
            <wp:extent cx="3923665" cy="2963545"/>
            <wp:effectExtent l="4445" t="4445" r="53340" b="60960"/>
            <wp:wrapThrough wrapText="bothSides">
              <wp:wrapPolygon>
                <wp:start x="-24" y="-32"/>
                <wp:lineTo x="-24" y="21489"/>
                <wp:lineTo x="21474" y="21489"/>
                <wp:lineTo x="21474" y="-32"/>
                <wp:lineTo x="-24" y="-32"/>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b/>
          <w:color w:val="00B050"/>
          <w:sz w:val="32"/>
          <w:szCs w:val="32"/>
        </w:rPr>
      </w:pPr>
    </w:p>
    <w:p>
      <w:pPr>
        <w:spacing w:line="600" w:lineRule="exact"/>
        <w:ind w:firstLine="640" w:firstLineChars="200"/>
        <w:outlineLvl w:val="1"/>
        <w:rPr>
          <w:rFonts w:hint="eastAsia" w:ascii="黑体" w:hAnsi="黑体" w:eastAsia="黑体"/>
          <w:color w:val="000000"/>
          <w:sz w:val="32"/>
          <w:szCs w:val="32"/>
        </w:rPr>
      </w:pPr>
      <w:bookmarkStart w:id="43" w:name="_Toc15396607"/>
      <w:bookmarkStart w:id="44" w:name="_Toc15377209"/>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bookmarkStart w:id="45" w:name="_Toc16985"/>
      <w:bookmarkStart w:id="46" w:name="_Toc12893"/>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3"/>
      <w:bookmarkEnd w:id="44"/>
      <w:bookmarkEnd w:id="45"/>
      <w:bookmarkEnd w:id="46"/>
    </w:p>
    <w:p>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677696" behindDoc="0" locked="0" layoutInCell="1" allowOverlap="1">
            <wp:simplePos x="0" y="0"/>
            <wp:positionH relativeFrom="column">
              <wp:posOffset>575945</wp:posOffset>
            </wp:positionH>
            <wp:positionV relativeFrom="paragraph">
              <wp:posOffset>1962150</wp:posOffset>
            </wp:positionV>
            <wp:extent cx="3813175" cy="2466975"/>
            <wp:effectExtent l="4445" t="4445" r="11430"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年一般公共预算财政拨款支出</w:t>
      </w:r>
      <w:r>
        <w:rPr>
          <w:rFonts w:hint="default" w:ascii="Times New Roman" w:hAnsi="Times New Roman" w:eastAsia="仿宋_GB2312" w:cs="Times New Roman"/>
          <w:color w:val="000000"/>
          <w:sz w:val="32"/>
          <w:szCs w:val="32"/>
          <w:lang w:val="en-US" w:eastAsia="zh-CN"/>
        </w:rPr>
        <w:t>515.76</w:t>
      </w:r>
      <w:r>
        <w:rPr>
          <w:rFonts w:hint="default" w:ascii="Times New Roman" w:hAnsi="Times New Roman" w:eastAsia="仿宋_GB2312" w:cs="Times New Roman"/>
          <w:color w:val="000000"/>
          <w:sz w:val="32"/>
          <w:szCs w:val="32"/>
        </w:rPr>
        <w:t>万元，占本年支出合计的</w:t>
      </w:r>
      <w:r>
        <w:rPr>
          <w:rFonts w:hint="default" w:ascii="Times New Roman" w:hAnsi="Times New Roman" w:eastAsia="仿宋_GB2312" w:cs="Times New Roman"/>
          <w:color w:val="000000"/>
          <w:sz w:val="32"/>
          <w:szCs w:val="32"/>
          <w:lang w:val="en-US" w:eastAsia="zh-CN"/>
        </w:rPr>
        <w:t>99.99</w:t>
      </w:r>
      <w:r>
        <w:rPr>
          <w:rFonts w:hint="default" w:ascii="Times New Roman" w:hAnsi="Times New Roman" w:eastAsia="仿宋_GB2312" w:cs="Times New Roman"/>
          <w:color w:val="000000"/>
          <w:sz w:val="32"/>
          <w:szCs w:val="32"/>
        </w:rPr>
        <w:t>%。与201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年相比，一般公共预算财政拨款减少</w:t>
      </w:r>
      <w:r>
        <w:rPr>
          <w:rFonts w:hint="default" w:ascii="Times New Roman" w:hAnsi="Times New Roman" w:eastAsia="仿宋_GB2312" w:cs="Times New Roman"/>
          <w:color w:val="000000"/>
          <w:sz w:val="32"/>
          <w:szCs w:val="32"/>
          <w:lang w:val="en-US" w:eastAsia="zh-CN"/>
        </w:rPr>
        <w:t>27.5</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5.06</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auto"/>
          <w:sz w:val="32"/>
          <w:szCs w:val="32"/>
          <w:lang w:val="en-US" w:eastAsia="zh-CN"/>
        </w:rPr>
        <w:t>受疫情防控影响，一般性支出减少。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pPr>
        <w:spacing w:line="600" w:lineRule="exact"/>
        <w:ind w:firstLine="64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w:t>
      </w:r>
      <w:r>
        <w:rPr>
          <w:rFonts w:hint="default" w:ascii="Times New Roman" w:hAnsi="Times New Roman" w:eastAsia="仿宋_GB2312" w:cs="Times New Roman"/>
          <w:color w:val="000000" w:themeColor="text1"/>
          <w:sz w:val="32"/>
          <w:szCs w:val="32"/>
          <w14:textFill>
            <w14:solidFill>
              <w14:schemeClr w14:val="tx1"/>
            </w14:solidFill>
          </w14:textFill>
        </w:rPr>
        <w:t>政拨款支出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515.76</w:t>
      </w:r>
      <w:r>
        <w:rPr>
          <w:rFonts w:hint="default" w:ascii="Times New Roman" w:hAnsi="Times New Roman" w:eastAsia="仿宋_GB2312"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_GB2312" w:cs="Times New Roman"/>
          <w:b/>
          <w:color w:val="000000" w:themeColor="text1"/>
          <w:sz w:val="32"/>
          <w:szCs w:val="32"/>
          <w14:textFill>
            <w14:solidFill>
              <w14:schemeClr w14:val="tx1"/>
            </w14:solidFill>
          </w14:textFill>
        </w:rPr>
        <w:t>一般公共服务（类）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473.54</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91.81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26.07</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6.92</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1.34</w:t>
      </w:r>
      <w:r>
        <w:rPr>
          <w:rFonts w:hint="default" w:ascii="Times New Roman" w:hAnsi="Times New Roman" w:eastAsia="仿宋_GB2312" w:cs="Times New Roman"/>
          <w:color w:val="000000" w:themeColor="text1"/>
          <w:sz w:val="32"/>
          <w:szCs w:val="32"/>
          <w14:textFill>
            <w14:solidFill>
              <w14:schemeClr w14:val="tx1"/>
            </w14:solidFill>
          </w14:textFill>
        </w:rPr>
        <w:t>%；住房保障支出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9.23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1.79</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684864" behindDoc="0" locked="0" layoutInCell="1" allowOverlap="1">
            <wp:simplePos x="0" y="0"/>
            <wp:positionH relativeFrom="column">
              <wp:posOffset>324485</wp:posOffset>
            </wp:positionH>
            <wp:positionV relativeFrom="paragraph">
              <wp:posOffset>111760</wp:posOffset>
            </wp:positionV>
            <wp:extent cx="5178425" cy="2918460"/>
            <wp:effectExtent l="4445" t="4445" r="17780"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color w:val="FF0000"/>
          <w:sz w:val="32"/>
          <w:szCs w:val="32"/>
        </w:rPr>
      </w:pPr>
      <w:bookmarkStart w:id="50" w:name="_Toc15378460"/>
      <w:bookmarkStart w:id="51" w:name="_Toc15377213"/>
      <w:bookmarkStart w:id="52" w:name="_Toc15377444"/>
      <w:r>
        <w:rPr>
          <w:rFonts w:hint="default" w:ascii="Times New Roman" w:hAnsi="Times New Roman" w:eastAsia="仿宋_GB2312" w:cs="Times New Roman"/>
          <w:b/>
          <w:color w:val="000000" w:themeColor="text1"/>
          <w:sz w:val="32"/>
          <w:szCs w:val="32"/>
          <w14:textFill>
            <w14:solidFill>
              <w14:schemeClr w14:val="tx1"/>
            </w14:solidFill>
          </w14:textFill>
        </w:rPr>
        <w:t>20</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color w:val="000000" w:themeColor="text1"/>
          <w:sz w:val="32"/>
          <w:szCs w:val="32"/>
          <w14:textFill>
            <w14:solidFill>
              <w14:schemeClr w14:val="tx1"/>
            </w14:solidFill>
          </w14:textFill>
        </w:rPr>
        <w:t>年</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14:textFill>
            <w14:solidFill>
              <w14:schemeClr w14:val="tx1"/>
            </w14:solidFill>
          </w14:textFill>
        </w:rPr>
        <w:t>般公共预算支出决算数为</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515.76万元</w:t>
      </w:r>
      <w:r>
        <w:rPr>
          <w:rFonts w:hint="default" w:ascii="Times New Roman" w:hAnsi="Times New Roman" w:eastAsia="仿宋_GB2312" w:cs="Times New Roman"/>
          <w:color w:val="000000" w:themeColor="text1"/>
          <w:sz w:val="32"/>
          <w:szCs w:val="32"/>
          <w14:textFill>
            <w14:solidFill>
              <w14:schemeClr w14:val="tx1"/>
            </w14:solidFill>
          </w14:textFill>
        </w:rPr>
        <w:t>，</w:t>
      </w:r>
      <w:r>
        <w:rPr>
          <w:rStyle w:val="14"/>
          <w:rFonts w:hint="default" w:ascii="Times New Roman" w:hAnsi="Times New Roman" w:eastAsia="仿宋_GB2312" w:cs="Times New Roman"/>
          <w:bCs/>
          <w:color w:val="000000" w:themeColor="text1"/>
          <w:sz w:val="32"/>
          <w:szCs w:val="32"/>
          <w14:textFill>
            <w14:solidFill>
              <w14:schemeClr w14:val="tx1"/>
            </w14:solidFill>
          </w14:textFill>
        </w:rPr>
        <w:t>完成</w:t>
      </w:r>
      <w:r>
        <w:rPr>
          <w:rStyle w:val="14"/>
          <w:rFonts w:hint="default" w:ascii="Times New Roman" w:hAnsi="Times New Roman" w:eastAsia="仿宋_GB2312" w:cs="Times New Roman"/>
          <w:bCs/>
          <w:color w:val="000000"/>
          <w:sz w:val="32"/>
          <w:szCs w:val="32"/>
        </w:rPr>
        <w:t>预算</w:t>
      </w:r>
      <w:r>
        <w:rPr>
          <w:rStyle w:val="14"/>
          <w:rFonts w:hint="default" w:ascii="Times New Roman" w:hAnsi="Times New Roman" w:eastAsia="仿宋_GB2312" w:cs="Times New Roman"/>
          <w:bCs/>
          <w:color w:val="000000"/>
          <w:sz w:val="32"/>
          <w:szCs w:val="32"/>
          <w:lang w:val="en-US" w:eastAsia="zh-CN"/>
        </w:rPr>
        <w:t>97.27</w:t>
      </w:r>
      <w:r>
        <w:rPr>
          <w:rStyle w:val="14"/>
          <w:rFonts w:hint="default" w:ascii="Times New Roman" w:hAnsi="Times New Roman" w:eastAsia="仿宋_GB2312" w:cs="Times New Roman"/>
          <w:bCs/>
          <w:color w:val="000000"/>
          <w:sz w:val="32"/>
          <w:szCs w:val="32"/>
        </w:rPr>
        <w:t>%。其中：</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rPr>
      </w:pPr>
      <w:r>
        <w:rPr>
          <w:rStyle w:val="14"/>
          <w:rFonts w:hint="default" w:ascii="Times New Roman" w:hAnsi="Times New Roman" w:eastAsia="仿宋_GB2312" w:cs="Times New Roman"/>
          <w:b/>
          <w:bCs w:val="0"/>
          <w:color w:val="000000"/>
          <w:sz w:val="32"/>
          <w:szCs w:val="32"/>
          <w:lang w:val="en-US" w:eastAsia="zh-CN"/>
        </w:rPr>
        <w:t>1.一般</w:t>
      </w:r>
      <w:r>
        <w:rPr>
          <w:rStyle w:val="14"/>
          <w:rFonts w:hint="default" w:ascii="Times New Roman" w:hAnsi="Times New Roman" w:eastAsia="仿宋_GB2312" w:cs="Times New Roman"/>
          <w:bCs/>
          <w:color w:val="auto"/>
          <w:sz w:val="32"/>
          <w:szCs w:val="32"/>
        </w:rPr>
        <w:t>公共服务</w:t>
      </w:r>
      <w:r>
        <w:rPr>
          <w:rStyle w:val="14"/>
          <w:rFonts w:hint="default" w:ascii="Times New Roman" w:hAnsi="Times New Roman" w:eastAsia="仿宋_GB2312" w:cs="Times New Roman"/>
          <w:bCs/>
          <w:color w:val="auto"/>
          <w:sz w:val="32"/>
          <w:szCs w:val="32"/>
          <w:lang w:eastAsia="zh-CN"/>
        </w:rPr>
        <w:t>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机关服务</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337.90</w:t>
      </w:r>
      <w:r>
        <w:rPr>
          <w:rStyle w:val="14"/>
          <w:rFonts w:hint="default" w:ascii="Times New Roman" w:hAnsi="Times New Roman" w:eastAsia="仿宋_GB2312" w:cs="Times New Roman"/>
          <w:b w:val="0"/>
          <w:bCs/>
          <w:color w:val="auto"/>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97.27</w:t>
      </w:r>
      <w:r>
        <w:rPr>
          <w:rStyle w:val="14"/>
          <w:rFonts w:hint="default" w:ascii="Times New Roman" w:hAnsi="Times New Roman" w:eastAsia="仿宋_GB2312" w:cs="Times New Roman"/>
          <w:b w:val="0"/>
          <w:bCs/>
          <w:color w:val="000000"/>
          <w:sz w:val="32"/>
          <w:szCs w:val="32"/>
        </w:rPr>
        <w:t>%，决算数小于预算数的主要原因是</w:t>
      </w:r>
      <w:r>
        <w:rPr>
          <w:rStyle w:val="14"/>
          <w:rFonts w:hint="default" w:ascii="Times New Roman" w:hAnsi="Times New Roman" w:eastAsia="仿宋_GB2312" w:cs="Times New Roman"/>
          <w:b w:val="0"/>
          <w:bCs/>
          <w:color w:val="000000"/>
          <w:sz w:val="32"/>
          <w:szCs w:val="32"/>
          <w:lang w:val="en-US" w:eastAsia="zh-CN"/>
        </w:rPr>
        <w:t>受疫情影响，</w:t>
      </w:r>
      <w:r>
        <w:rPr>
          <w:rFonts w:hint="default" w:ascii="Times New Roman" w:hAnsi="Times New Roman" w:eastAsia="仿宋_GB2312" w:cs="Times New Roman"/>
          <w:color w:val="auto"/>
          <w:sz w:val="32"/>
          <w:szCs w:val="32"/>
          <w:lang w:val="en-US" w:eastAsia="zh-CN"/>
        </w:rPr>
        <w:t>一般性支出减少</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rPr>
      </w:pPr>
      <w:r>
        <w:rPr>
          <w:rStyle w:val="14"/>
          <w:rFonts w:hint="default" w:ascii="Times New Roman" w:hAnsi="Times New Roman" w:eastAsia="仿宋_GB2312" w:cs="Times New Roman"/>
          <w:b/>
          <w:bCs w:val="0"/>
          <w:color w:val="000000"/>
          <w:sz w:val="32"/>
          <w:szCs w:val="32"/>
          <w:lang w:val="en-US" w:eastAsia="zh-CN"/>
        </w:rPr>
        <w:t>2.</w:t>
      </w:r>
      <w:r>
        <w:rPr>
          <w:rStyle w:val="14"/>
          <w:rFonts w:hint="default" w:ascii="Times New Roman" w:hAnsi="Times New Roman" w:eastAsia="仿宋_GB2312" w:cs="Times New Roman"/>
          <w:b/>
          <w:bCs w:val="0"/>
          <w:color w:val="auto"/>
          <w:sz w:val="32"/>
          <w:szCs w:val="32"/>
        </w:rPr>
        <w:t>一般</w:t>
      </w:r>
      <w:r>
        <w:rPr>
          <w:rStyle w:val="14"/>
          <w:rFonts w:hint="default" w:ascii="Times New Roman" w:hAnsi="Times New Roman" w:eastAsia="仿宋_GB2312" w:cs="Times New Roman"/>
          <w:bCs/>
          <w:color w:val="auto"/>
          <w:sz w:val="32"/>
          <w:szCs w:val="32"/>
        </w:rPr>
        <w:t>公共服务</w:t>
      </w:r>
      <w:r>
        <w:rPr>
          <w:rStyle w:val="14"/>
          <w:rFonts w:hint="default" w:ascii="Times New Roman" w:hAnsi="Times New Roman" w:eastAsia="仿宋_GB2312" w:cs="Times New Roman"/>
          <w:bCs/>
          <w:color w:val="auto"/>
          <w:sz w:val="32"/>
          <w:szCs w:val="32"/>
          <w:lang w:eastAsia="zh-CN"/>
        </w:rPr>
        <w:t>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其他民族事务支出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135.64</w:t>
      </w:r>
      <w:r>
        <w:rPr>
          <w:rStyle w:val="14"/>
          <w:rFonts w:hint="default" w:ascii="Times New Roman" w:hAnsi="Times New Roman" w:eastAsia="仿宋_GB2312" w:cs="Times New Roman"/>
          <w:b w:val="0"/>
          <w:bCs/>
          <w:color w:val="auto"/>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96.89</w:t>
      </w:r>
      <w:r>
        <w:rPr>
          <w:rStyle w:val="14"/>
          <w:rFonts w:hint="default" w:ascii="Times New Roman" w:hAnsi="Times New Roman" w:eastAsia="仿宋_GB2312" w:cs="Times New Roman"/>
          <w:b w:val="0"/>
          <w:bCs/>
          <w:color w:val="000000"/>
          <w:sz w:val="32"/>
          <w:szCs w:val="32"/>
        </w:rPr>
        <w:t>%，决算数小于预算数的主要原因是</w:t>
      </w:r>
      <w:r>
        <w:rPr>
          <w:rStyle w:val="14"/>
          <w:rFonts w:hint="default" w:ascii="Times New Roman" w:hAnsi="Times New Roman" w:eastAsia="仿宋_GB2312" w:cs="Times New Roman"/>
          <w:b w:val="0"/>
          <w:bCs/>
          <w:color w:val="000000"/>
          <w:sz w:val="32"/>
          <w:szCs w:val="32"/>
          <w:lang w:val="en-US" w:eastAsia="zh-CN"/>
        </w:rPr>
        <w:t>受疫情影响，</w:t>
      </w:r>
      <w:r>
        <w:rPr>
          <w:rFonts w:hint="default" w:ascii="Times New Roman" w:hAnsi="Times New Roman" w:eastAsia="仿宋_GB2312" w:cs="Times New Roman"/>
          <w:color w:val="auto"/>
          <w:sz w:val="32"/>
          <w:szCs w:val="32"/>
          <w:lang w:val="en-US" w:eastAsia="zh-CN"/>
        </w:rPr>
        <w:t>一般性支出减少</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Cs/>
          <w:color w:val="000000"/>
          <w:sz w:val="32"/>
          <w:szCs w:val="32"/>
          <w:lang w:val="en-US" w:eastAsia="zh-CN"/>
        </w:rPr>
      </w:pPr>
      <w:r>
        <w:rPr>
          <w:rStyle w:val="14"/>
          <w:rFonts w:hint="default" w:ascii="Times New Roman" w:hAnsi="Times New Roman" w:eastAsia="仿宋_GB2312" w:cs="Times New Roman"/>
          <w:bCs/>
          <w:color w:val="000000"/>
          <w:sz w:val="32"/>
          <w:szCs w:val="32"/>
          <w:lang w:val="en-US" w:eastAsia="zh-CN"/>
        </w:rPr>
        <w:t>3.</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事业单位离退休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8.8</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000000"/>
          <w:sz w:val="32"/>
          <w:szCs w:val="32"/>
        </w:rPr>
      </w:pPr>
      <w:r>
        <w:rPr>
          <w:rStyle w:val="14"/>
          <w:rFonts w:hint="default" w:ascii="Times New Roman" w:hAnsi="Times New Roman" w:eastAsia="仿宋_GB2312" w:cs="Times New Roman"/>
          <w:bCs/>
          <w:color w:val="auto"/>
          <w:sz w:val="32"/>
          <w:szCs w:val="32"/>
          <w:lang w:val="en-US" w:eastAsia="zh-CN"/>
        </w:rPr>
        <w:t>4.</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机关事业单位基本养老保险缴费支出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8.71</w:t>
      </w:r>
      <w:r>
        <w:rPr>
          <w:rStyle w:val="14"/>
          <w:rFonts w:hint="default" w:ascii="Times New Roman" w:hAnsi="Times New Roman" w:eastAsia="仿宋_GB2312" w:cs="Times New Roman"/>
          <w:b w:val="0"/>
          <w:bCs/>
          <w:color w:val="auto"/>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93.35</w:t>
      </w:r>
      <w:r>
        <w:rPr>
          <w:rStyle w:val="14"/>
          <w:rFonts w:hint="default" w:ascii="Times New Roman" w:hAnsi="Times New Roman" w:eastAsia="仿宋_GB2312" w:cs="Times New Roman"/>
          <w:b w:val="0"/>
          <w:bCs/>
          <w:color w:val="000000"/>
          <w:sz w:val="32"/>
          <w:szCs w:val="32"/>
        </w:rPr>
        <w:t>%，决算数小于预算数的主要原因是</w:t>
      </w:r>
      <w:r>
        <w:rPr>
          <w:rStyle w:val="14"/>
          <w:rFonts w:hint="default" w:ascii="Times New Roman" w:hAnsi="Times New Roman" w:eastAsia="仿宋_GB2312" w:cs="Times New Roman"/>
          <w:b w:val="0"/>
          <w:bCs/>
          <w:color w:val="auto"/>
          <w:sz w:val="32"/>
          <w:szCs w:val="32"/>
          <w:lang w:eastAsia="zh-CN"/>
        </w:rPr>
        <w:t>年内各单位有新增退休人员，停缴养老保险</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5.</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机关事业单位职业年金缴费支出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8.56</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rPr>
      </w:pPr>
      <w:r>
        <w:rPr>
          <w:rStyle w:val="14"/>
          <w:rFonts w:hint="default" w:ascii="Times New Roman" w:hAnsi="Times New Roman" w:eastAsia="仿宋_GB2312" w:cs="Times New Roman"/>
          <w:b/>
          <w:bCs w:val="0"/>
          <w:color w:val="auto"/>
          <w:sz w:val="32"/>
          <w:szCs w:val="32"/>
          <w:lang w:val="en-US" w:eastAsia="zh-CN"/>
        </w:rPr>
        <w:t>6.</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行政单位医疗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6.92</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000000"/>
          <w:sz w:val="32"/>
          <w:szCs w:val="32"/>
          <w:lang w:val="en-US" w:eastAsia="zh-CN"/>
        </w:rPr>
        <w:t>7</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Cs/>
          <w:color w:val="auto"/>
          <w:sz w:val="32"/>
          <w:szCs w:val="32"/>
          <w:lang w:eastAsia="zh-CN"/>
        </w:rPr>
        <w:t>住房保障支出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住房改革支出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住房公积金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9.23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rPr>
          <w:rFonts w:hint="default"/>
        </w:rPr>
      </w:pPr>
    </w:p>
    <w:p>
      <w:pPr>
        <w:tabs>
          <w:tab w:val="right" w:pos="8306"/>
        </w:tabs>
        <w:spacing w:line="600" w:lineRule="exact"/>
        <w:ind w:firstLine="640"/>
        <w:outlineLvl w:val="1"/>
        <w:rPr>
          <w:rStyle w:val="26"/>
        </w:rPr>
      </w:pPr>
      <w:bookmarkStart w:id="53" w:name="_Toc3863"/>
      <w:bookmarkStart w:id="54" w:name="_Toc15377214"/>
      <w:bookmarkStart w:id="55" w:name="_Toc15396608"/>
      <w:bookmarkStart w:id="56" w:name="_Toc14532"/>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3"/>
      <w:bookmarkEnd w:id="54"/>
      <w:bookmarkEnd w:id="55"/>
      <w:bookmarkEnd w:id="56"/>
      <w:r>
        <w:rPr>
          <w:rStyle w:val="26"/>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年一般公共预算财政拨款基本支出</w:t>
      </w:r>
      <w:r>
        <w:rPr>
          <w:rFonts w:hint="default" w:ascii="Times New Roman" w:hAnsi="Times New Roman" w:eastAsia="仿宋_GB2312" w:cs="Times New Roman"/>
          <w:color w:val="000000"/>
          <w:sz w:val="32"/>
          <w:szCs w:val="32"/>
          <w:lang w:val="en-US" w:eastAsia="zh-CN"/>
        </w:rPr>
        <w:t>515.76</w:t>
      </w:r>
      <w:r>
        <w:rPr>
          <w:rFonts w:hint="default" w:ascii="Times New Roman" w:hAnsi="Times New Roman" w:eastAsia="仿宋_GB2312" w:cs="Times New Roman"/>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121.65</w:t>
      </w:r>
      <w:r>
        <w:rPr>
          <w:rFonts w:hint="default" w:ascii="Times New Roman" w:hAnsi="Times New Roman" w:eastAsia="仿宋_GB2312" w:cs="Times New Roman"/>
          <w:color w:val="000000"/>
          <w:sz w:val="32"/>
          <w:szCs w:val="32"/>
        </w:rPr>
        <w:t>万元，主要包括：基本工资、津贴补贴、奖金、绩效工资、机关事业单位基本养老保险缴费、职业年金缴费、其他社会保障缴费、其他工资福利支出、医疗费补助、奖励金、住房公积金、其他对个人和家庭的补助支出等。</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日常公用经费</w:t>
      </w:r>
      <w:r>
        <w:rPr>
          <w:rFonts w:hint="default" w:ascii="Times New Roman" w:hAnsi="Times New Roman" w:eastAsia="仿宋_GB2312" w:cs="Times New Roman"/>
          <w:color w:val="000000"/>
          <w:sz w:val="32"/>
          <w:szCs w:val="32"/>
          <w:lang w:val="en-US" w:eastAsia="zh-CN"/>
        </w:rPr>
        <w:t>258.47</w:t>
      </w:r>
      <w:r>
        <w:rPr>
          <w:rFonts w:hint="default" w:ascii="Times New Roman" w:hAnsi="Times New Roman" w:eastAsia="仿宋_GB2312" w:cs="Times New Roman"/>
          <w:color w:val="000000"/>
          <w:sz w:val="32"/>
          <w:szCs w:val="32"/>
        </w:rPr>
        <w:t>万元，主要包括：办公费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水费、电费、邮电费、物业管理费、差旅费、维修（护）费、会议费、培训费、公务接待费、劳务费、工会经费、福利费、公务用车运行维护费、其他交通费、其他商品和服务支出等。</w:t>
      </w:r>
    </w:p>
    <w:p>
      <w:pPr>
        <w:rPr>
          <w:rFonts w:hint="default"/>
        </w:rPr>
      </w:pPr>
    </w:p>
    <w:p>
      <w:pPr>
        <w:numPr>
          <w:ilvl w:val="0"/>
          <w:numId w:val="2"/>
        </w:numPr>
        <w:spacing w:line="600" w:lineRule="exact"/>
        <w:ind w:firstLine="640"/>
        <w:outlineLvl w:val="1"/>
        <w:rPr>
          <w:rStyle w:val="26"/>
          <w:rFonts w:hint="eastAsia" w:ascii="黑体" w:hAnsi="黑体" w:eastAsia="黑体"/>
          <w:b w:val="0"/>
        </w:rPr>
      </w:pPr>
      <w:bookmarkStart w:id="57" w:name="_Toc25839"/>
      <w:bookmarkStart w:id="58" w:name="_Toc8408"/>
      <w:bookmarkStart w:id="59" w:name="_Toc15377215"/>
      <w:bookmarkStart w:id="60" w:name="_Toc15396609"/>
      <w:r>
        <w:rPr>
          <w:rStyle w:val="26"/>
          <w:rFonts w:hint="eastAsia" w:ascii="黑体" w:hAnsi="黑体" w:eastAsia="黑体"/>
        </w:rPr>
        <w:t>“</w:t>
      </w:r>
      <w:r>
        <w:rPr>
          <w:rStyle w:val="26"/>
          <w:rFonts w:hint="eastAsia" w:ascii="黑体" w:hAnsi="黑体" w:eastAsia="黑体"/>
          <w:b w:val="0"/>
        </w:rPr>
        <w:t>三公”经费财政拨款支出决算情况说明</w:t>
      </w:r>
      <w:bookmarkEnd w:id="57"/>
      <w:bookmarkEnd w:id="58"/>
      <w:bookmarkEnd w:id="59"/>
      <w:bookmarkEnd w:id="60"/>
      <w:bookmarkStart w:id="61" w:name="_Toc153772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1"/>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（一）“三公”经费财政拨款支出决算总体情况说明</w:t>
      </w:r>
      <w:bookmarkEnd w:id="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年“三公”经费财政拨款支出决算为</w:t>
      </w:r>
      <w:r>
        <w:rPr>
          <w:rFonts w:hint="default" w:ascii="Times New Roman" w:hAnsi="Times New Roman" w:eastAsia="仿宋_GB2312" w:cs="Times New Roman"/>
          <w:color w:val="000000"/>
          <w:sz w:val="32"/>
          <w:szCs w:val="32"/>
          <w:lang w:val="en-US" w:eastAsia="zh-CN"/>
        </w:rPr>
        <w:t>25.10</w:t>
      </w:r>
      <w:r>
        <w:rPr>
          <w:rFonts w:hint="default" w:ascii="Times New Roman" w:hAnsi="Times New Roman" w:eastAsia="仿宋_GB2312" w:cs="Times New Roman"/>
          <w:color w:val="000000"/>
          <w:sz w:val="32"/>
          <w:szCs w:val="32"/>
        </w:rPr>
        <w:t>万元，完成预算</w:t>
      </w:r>
      <w:r>
        <w:rPr>
          <w:rFonts w:hint="default" w:ascii="Times New Roman" w:hAnsi="Times New Roman" w:eastAsia="仿宋_GB2312" w:cs="Times New Roman"/>
          <w:color w:val="000000"/>
          <w:sz w:val="32"/>
          <w:szCs w:val="32"/>
          <w:lang w:val="en-US" w:eastAsia="zh-CN"/>
        </w:rPr>
        <w:t>83.67</w:t>
      </w:r>
      <w:r>
        <w:rPr>
          <w:rFonts w:hint="default" w:ascii="Times New Roman" w:hAnsi="Times New Roman" w:eastAsia="仿宋_GB2312" w:cs="Times New Roman"/>
          <w:color w:val="000000"/>
          <w:sz w:val="32"/>
          <w:szCs w:val="32"/>
        </w:rPr>
        <w:t>%，决算数小于预算数的主要原因是</w:t>
      </w:r>
      <w:r>
        <w:rPr>
          <w:rFonts w:hint="default" w:ascii="Times New Roman" w:hAnsi="Times New Roman" w:eastAsia="仿宋_GB2312" w:cs="Times New Roman"/>
          <w:color w:val="auto"/>
          <w:sz w:val="32"/>
          <w:szCs w:val="32"/>
          <w:lang w:val="en-US" w:eastAsia="zh-CN"/>
        </w:rPr>
        <w:t>受疫情影响出差减少，公务用车运行维护费减少</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b/>
          <w:color w:val="000000"/>
          <w:sz w:val="32"/>
          <w:szCs w:val="32"/>
        </w:rPr>
      </w:pPr>
      <w:bookmarkStart w:id="62" w:name="_Toc15377217"/>
      <w:r>
        <w:rPr>
          <w:rFonts w:hint="default" w:ascii="Times New Roman" w:hAnsi="Times New Roman" w:eastAsia="仿宋_GB2312" w:cs="Times New Roman"/>
          <w:b/>
          <w:color w:val="000000"/>
          <w:sz w:val="32"/>
          <w:szCs w:val="32"/>
        </w:rPr>
        <w:t>（二）“三公”经费财政拨款支出决算具体情况说明</w:t>
      </w:r>
      <w:bookmarkEnd w:id="6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年“三公”经费财政拨款支出决算中，因公出国（境）费支出决算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%；公务用车购置及运行维护费支出决算</w:t>
      </w:r>
      <w:r>
        <w:rPr>
          <w:rFonts w:hint="default" w:ascii="Times New Roman" w:hAnsi="Times New Roman" w:eastAsia="仿宋_GB2312" w:cs="Times New Roman"/>
          <w:color w:val="000000"/>
          <w:sz w:val="32"/>
          <w:szCs w:val="32"/>
          <w:lang w:val="en-US" w:eastAsia="zh-CN"/>
        </w:rPr>
        <w:t>25.10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%；公务接待费支出决算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%。具体情况如下：</w:t>
      </w:r>
    </w:p>
    <w:p>
      <w:r>
        <w:rPr>
          <w:rFonts w:hint="default" w:ascii="Times New Roman" w:hAnsi="Times New Roman" w:eastAsia="仿宋" w:cs="Times New Roman"/>
          <w:color w:val="auto"/>
          <w:sz w:val="32"/>
          <w:szCs w:val="32"/>
          <w:lang w:eastAsia="zh-CN"/>
        </w:rPr>
        <w:drawing>
          <wp:anchor distT="0" distB="0" distL="114300" distR="114300" simplePos="0" relativeHeight="251693056" behindDoc="0" locked="0" layoutInCell="1" allowOverlap="1">
            <wp:simplePos x="0" y="0"/>
            <wp:positionH relativeFrom="column">
              <wp:posOffset>385445</wp:posOffset>
            </wp:positionH>
            <wp:positionV relativeFrom="paragraph">
              <wp:posOffset>88900</wp:posOffset>
            </wp:positionV>
            <wp:extent cx="4521200" cy="2136140"/>
            <wp:effectExtent l="4445" t="4445" r="8255"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0"/>
        </w:num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0</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auto"/>
          <w:sz w:val="32"/>
          <w:szCs w:val="32"/>
        </w:rPr>
        <w:t>因公出国（境）支出决算比201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lang w:val="en-US" w:eastAsia="zh-CN"/>
        </w:rPr>
        <w:t>25.1</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83.67</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公务用车购置及运行维护费支出决算比201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年减少</w:t>
      </w:r>
      <w:r>
        <w:rPr>
          <w:rFonts w:hint="default" w:ascii="Times New Roman" w:hAnsi="Times New Roman" w:eastAsia="仿宋_GB2312" w:cs="Times New Roman"/>
          <w:color w:val="000000"/>
          <w:sz w:val="32"/>
          <w:szCs w:val="32"/>
          <w:lang w:val="en-US" w:eastAsia="zh-CN"/>
        </w:rPr>
        <w:t>3.14</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11.12</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auto"/>
          <w:sz w:val="32"/>
          <w:szCs w:val="32"/>
          <w:lang w:val="en-US" w:eastAsia="zh-CN"/>
        </w:rPr>
        <w:t>受疫情影响出差减少，公务用车运行维护费减少</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万元。全年按规定更新购置公务用车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年12月底，单位共有公务用车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25.1</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val="en-US" w:eastAsia="zh-CN"/>
        </w:rPr>
        <w:t>委机关</w:t>
      </w:r>
      <w:r>
        <w:rPr>
          <w:rFonts w:hint="default" w:ascii="Times New Roman" w:hAnsi="Times New Roman" w:eastAsia="仿宋_GB2312" w:cs="Times New Roman"/>
          <w:color w:val="auto"/>
          <w:sz w:val="32"/>
          <w:szCs w:val="32"/>
          <w:lang w:eastAsia="zh-CN"/>
        </w:rPr>
        <w:t>民族宗教工作调研、民族团结进步示范创建工作验收、宗教督查</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0</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年增加/减少</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万元，增长/下降</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国内公务接待支出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outlineLvl w:val="1"/>
        <w:rPr>
          <w:rFonts w:ascii="黑体" w:eastAsia="黑体"/>
          <w:color w:val="000000"/>
          <w:sz w:val="32"/>
          <w:szCs w:val="32"/>
        </w:rPr>
      </w:pPr>
      <w:bookmarkStart w:id="63" w:name="_Toc15396610"/>
      <w:bookmarkStart w:id="64" w:name="_Toc15377218"/>
    </w:p>
    <w:p>
      <w:pPr>
        <w:spacing w:line="600" w:lineRule="exact"/>
        <w:ind w:firstLine="640"/>
        <w:outlineLvl w:val="1"/>
        <w:rPr>
          <w:rStyle w:val="26"/>
          <w:rFonts w:ascii="黑体" w:hAnsi="黑体" w:eastAsia="黑体"/>
        </w:rPr>
      </w:pPr>
      <w:bookmarkStart w:id="65" w:name="_Toc3451"/>
      <w:bookmarkStart w:id="66" w:name="_Toc10197"/>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63"/>
      <w:bookmarkEnd w:id="64"/>
      <w:bookmarkEnd w:id="65"/>
      <w:bookmarkEnd w:id="66"/>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年政府性基金预算</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67" w:name="_Toc2847"/>
      <w:bookmarkStart w:id="68" w:name="_Toc15396611"/>
      <w:bookmarkStart w:id="69" w:name="_Toc15377219"/>
      <w:bookmarkStart w:id="70" w:name="_Toc12692"/>
      <w:r>
        <w:rPr>
          <w:rStyle w:val="26"/>
          <w:rFonts w:hint="eastAsia" w:ascii="黑体" w:hAnsi="黑体" w:eastAsia="黑体"/>
          <w:b w:val="0"/>
        </w:rPr>
        <w:t>国有资本经营预算支出决算情况说明</w:t>
      </w:r>
      <w:bookmarkEnd w:id="67"/>
      <w:bookmarkEnd w:id="68"/>
      <w:bookmarkEnd w:id="69"/>
      <w:bookmarkEnd w:id="70"/>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年国有资本经营预算</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hint="eastAsia" w:ascii="黑体" w:hAnsi="黑体" w:eastAsia="黑体"/>
          <w:b w:val="0"/>
        </w:rPr>
      </w:pPr>
      <w:bookmarkStart w:id="71" w:name="_Toc15396612"/>
      <w:bookmarkStart w:id="72" w:name="_Toc32230"/>
      <w:bookmarkStart w:id="73" w:name="_Toc15377221"/>
      <w:bookmarkStart w:id="74" w:name="_Toc28935"/>
      <w:r>
        <w:rPr>
          <w:rStyle w:val="26"/>
          <w:rFonts w:hint="eastAsia" w:ascii="黑体" w:hAnsi="黑体" w:eastAsia="黑体"/>
          <w:b w:val="0"/>
        </w:rPr>
        <w:t>其他重要事项的情况说明</w:t>
      </w:r>
      <w:bookmarkEnd w:id="71"/>
      <w:bookmarkEnd w:id="72"/>
      <w:bookmarkEnd w:id="73"/>
      <w:bookmarkEnd w:id="74"/>
    </w:p>
    <w:p>
      <w:pPr>
        <w:spacing w:line="600" w:lineRule="exact"/>
        <w:ind w:firstLine="643" w:firstLineChars="200"/>
        <w:outlineLvl w:val="2"/>
        <w:rPr>
          <w:rFonts w:ascii="仿宋" w:hAnsi="仿宋" w:eastAsia="仿宋"/>
          <w:color w:val="000000"/>
          <w:sz w:val="32"/>
          <w:szCs w:val="32"/>
        </w:rPr>
      </w:pPr>
      <w:bookmarkStart w:id="75" w:name="_Toc15377222"/>
      <w:r>
        <w:rPr>
          <w:rFonts w:hint="eastAsia" w:ascii="仿宋" w:hAnsi="仿宋" w:eastAsia="仿宋"/>
          <w:b/>
          <w:color w:val="000000"/>
          <w:sz w:val="32"/>
          <w:szCs w:val="32"/>
        </w:rPr>
        <w:t>（一）机关运行经费支出情况</w:t>
      </w:r>
      <w:bookmarkEnd w:id="7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auto"/>
          <w:sz w:val="32"/>
          <w:szCs w:val="32"/>
          <w:lang w:val="en-US" w:eastAsia="zh-CN"/>
        </w:rPr>
        <w:t>省民族宗教委机关服务中心</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年决算数持平</w:t>
      </w:r>
      <w:r>
        <w:rPr>
          <w:rFonts w:hint="default" w:ascii="Times New Roman" w:hAnsi="Times New Roman" w:eastAsia="仿宋_GB2312" w:cs="Times New Roman"/>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6" w:name="_Toc15377223"/>
      <w:r>
        <w:rPr>
          <w:rFonts w:hint="eastAsia" w:ascii="仿宋" w:hAnsi="仿宋" w:eastAsia="仿宋"/>
          <w:b/>
          <w:color w:val="000000"/>
          <w:sz w:val="32"/>
          <w:szCs w:val="32"/>
        </w:rPr>
        <w:t>（二）政府采购支出情况</w:t>
      </w:r>
      <w:bookmarkEnd w:id="7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auto"/>
          <w:sz w:val="32"/>
          <w:szCs w:val="32"/>
          <w:lang w:val="en-US" w:eastAsia="zh-CN"/>
        </w:rPr>
        <w:t>省民族宗教委机关服务中心</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93.5</w:t>
      </w:r>
      <w:r>
        <w:rPr>
          <w:rFonts w:hint="default" w:ascii="Times New Roman" w:hAnsi="Times New Roman" w:eastAsia="仿宋_GB2312" w:cs="Times New Roman"/>
          <w:color w:val="000000"/>
          <w:sz w:val="32"/>
          <w:szCs w:val="32"/>
        </w:rPr>
        <w:t>万元，其中：政府采购货物支出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93.5</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val="en-US" w:eastAsia="zh-CN"/>
        </w:rPr>
        <w:t>单位办公楼物业管理服务和车辆维修维护等后勤保障工作</w:t>
      </w:r>
      <w:r>
        <w:rPr>
          <w:rFonts w:hint="default" w:ascii="Times New Roman" w:hAnsi="Times New Roman" w:eastAsia="仿宋_GB2312" w:cs="Times New Roman"/>
          <w:color w:val="000000"/>
          <w:sz w:val="32"/>
          <w:szCs w:val="32"/>
        </w:rPr>
        <w:t>。授予中小企业合同金额</w:t>
      </w:r>
      <w:r>
        <w:rPr>
          <w:rFonts w:hint="default" w:ascii="Times New Roman" w:hAnsi="Times New Roman" w:eastAsia="仿宋_GB2312" w:cs="Times New Roman"/>
          <w:color w:val="000000"/>
          <w:sz w:val="32"/>
          <w:szCs w:val="32"/>
          <w:lang w:val="en-US" w:eastAsia="zh-CN"/>
        </w:rPr>
        <w:t>70.5</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75.4</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24.6</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7" w:name="_Toc15377224"/>
      <w:r>
        <w:rPr>
          <w:rFonts w:hint="eastAsia" w:ascii="仿宋" w:hAnsi="仿宋" w:eastAsia="仿宋"/>
          <w:b/>
          <w:color w:val="000000"/>
          <w:sz w:val="32"/>
          <w:szCs w:val="32"/>
        </w:rPr>
        <w:t>（三）国有资产占有使用情况</w:t>
      </w:r>
      <w:bookmarkEnd w:id="77"/>
    </w:p>
    <w:p>
      <w:pPr>
        <w:autoSpaceDE w:val="0"/>
        <w:autoSpaceDN w:val="0"/>
        <w:adjustRightInd w:val="0"/>
        <w:spacing w:line="600" w:lineRule="exact"/>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sz w:val="32"/>
          <w:szCs w:val="32"/>
        </w:rPr>
        <w:t>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年12月31日，</w:t>
      </w:r>
      <w:r>
        <w:rPr>
          <w:rFonts w:hint="default" w:ascii="Times New Roman" w:hAnsi="Times New Roman" w:eastAsia="仿宋_GB2312" w:cs="Times New Roman"/>
          <w:color w:val="auto"/>
          <w:sz w:val="32"/>
          <w:szCs w:val="32"/>
          <w:lang w:val="en-US" w:eastAsia="zh-CN"/>
        </w:rPr>
        <w:t>省民族宗教委机关服务中心</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其他用车主要是用于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保障后勤服务工作。</w:t>
      </w:r>
      <w:r>
        <w:rPr>
          <w:rFonts w:hint="default" w:ascii="Times New Roman" w:hAnsi="Times New Roman" w:eastAsia="仿宋_GB2312" w:cs="Times New Roman"/>
          <w:color w:val="000000" w:themeColor="text1"/>
          <w:sz w:val="32"/>
          <w:szCs w:val="32"/>
          <w14:textFill>
            <w14:solidFill>
              <w14:schemeClr w14:val="tx1"/>
            </w14:solidFill>
          </w14:textFill>
        </w:rPr>
        <w:t>单价50万元以上通用设备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台（套），单价100</w:t>
      </w:r>
      <w:r>
        <w:rPr>
          <w:rFonts w:hint="default" w:ascii="Times New Roman" w:hAnsi="Times New Roman" w:eastAsia="仿宋_GB2312" w:cs="Times New Roman"/>
          <w:color w:val="000000"/>
          <w:sz w:val="32"/>
          <w:szCs w:val="32"/>
        </w:rPr>
        <w:t>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（四）预算绩效管理情况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根据预算绩效管理要求，本单位在年初预算编制阶段，组织对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机关后勤保障经费</w:t>
      </w:r>
      <w:r>
        <w:rPr>
          <w:rFonts w:hint="default" w:ascii="Times New Roman" w:hAnsi="Times New Roman" w:eastAsia="仿宋_GB2312" w:cs="Times New Roman"/>
          <w:color w:val="000000" w:themeColor="text1"/>
          <w:sz w:val="32"/>
          <w:szCs w:val="32"/>
          <w14:textFill>
            <w14:solidFill>
              <w14:schemeClr w14:val="tx1"/>
            </w14:solidFill>
          </w14:textFill>
        </w:rPr>
        <w:t>项目开展了预算事前绩效评估，对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个项目编制了绩效目标，预算执行过程中，选取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个项目开展绩效监控，年终执行完毕后，对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按要求对20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年整体支出开展绩效自评，从评价情况来看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绩效目标要素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相对完整，指标较为细化、量化；绩效目标实际程度与预期目标的总体偏移度不是太大，实际完成情况还是达到了预期绩效目标；年初预算编制较准确</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还自行组织了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个项目支出绩效评价，从评价情况来看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绩效目标总体实现程度良好，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充分发挥了财政资金的使用绩效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项目绩效目标完成情况。</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在20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年度</w:t>
      </w:r>
      <w:r>
        <w:rPr>
          <w:rFonts w:hint="eastAsia" w:eastAsia="仿宋_GB2312" w:cs="Times New Roman"/>
          <w:color w:val="000000" w:themeColor="text1"/>
          <w:sz w:val="32"/>
          <w:szCs w:val="32"/>
          <w:lang w:eastAsia="zh-CN"/>
          <w14:textFill>
            <w14:solidFill>
              <w14:schemeClr w14:val="tx1"/>
            </w14:solidFill>
          </w14:textFill>
        </w:rPr>
        <w:t>单位决算</w:t>
      </w:r>
      <w:r>
        <w:rPr>
          <w:rFonts w:hint="default" w:ascii="Times New Roman" w:hAnsi="Times New Roman" w:eastAsia="仿宋_GB2312" w:cs="Times New Roman"/>
          <w:color w:val="000000" w:themeColor="text1"/>
          <w:sz w:val="32"/>
          <w:szCs w:val="32"/>
          <w14:textFill>
            <w14:solidFill>
              <w14:schemeClr w14:val="tx1"/>
            </w14:solidFill>
          </w14:textFill>
        </w:rPr>
        <w:t>中反映“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机关后勤保障经费</w:t>
      </w:r>
      <w:r>
        <w:rPr>
          <w:rFonts w:hint="default" w:ascii="Times New Roman" w:hAnsi="Times New Roman" w:eastAsia="仿宋_GB2312" w:cs="Times New Roman"/>
          <w:color w:val="000000" w:themeColor="text1"/>
          <w:sz w:val="32"/>
          <w:szCs w:val="32"/>
          <w14:textFill>
            <w14:solidFill>
              <w14:schemeClr w14:val="tx1"/>
            </w14:solidFill>
          </w14:textFill>
        </w:rPr>
        <w:t>项目”绩效目标实际完成情况。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机关后勤保障经费</w:t>
      </w:r>
      <w:r>
        <w:rPr>
          <w:rFonts w:hint="default" w:ascii="Times New Roman" w:hAnsi="Times New Roman" w:eastAsia="仿宋_GB2312" w:cs="Times New Roman"/>
          <w:color w:val="000000" w:themeColor="text1"/>
          <w:sz w:val="32"/>
          <w:szCs w:val="32"/>
          <w14:textFill>
            <w14:solidFill>
              <w14:schemeClr w14:val="tx1"/>
            </w14:solidFill>
          </w14:textFill>
        </w:rPr>
        <w:t>项目绩效目标完成情况综述。项目全年预算数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115</w:t>
      </w:r>
      <w:r>
        <w:rPr>
          <w:rFonts w:hint="default" w:ascii="Times New Roman" w:hAnsi="Times New Roman" w:eastAsia="仿宋_GB2312" w:cs="Times New Roman"/>
          <w:color w:val="000000" w:themeColor="text1"/>
          <w:sz w:val="32"/>
          <w:szCs w:val="32"/>
          <w14:textFill>
            <w14:solidFill>
              <w14:schemeClr w14:val="tx1"/>
            </w14:solidFill>
          </w14:textFill>
        </w:rPr>
        <w:t>万元，执行数为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115</w:t>
      </w:r>
      <w:r>
        <w:rPr>
          <w:rFonts w:hint="default" w:ascii="Times New Roman" w:hAnsi="Times New Roman" w:eastAsia="仿宋_GB2312" w:cs="Times New Roman"/>
          <w:color w:val="000000" w:themeColor="text1"/>
          <w:sz w:val="32"/>
          <w:szCs w:val="32"/>
          <w14:textFill>
            <w14:solidFill>
              <w14:schemeClr w14:val="tx1"/>
            </w14:solidFill>
          </w14:textFill>
        </w:rPr>
        <w:t>万元，完成预算的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%。通过项目实施，保障了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机关后勤服务中心相关运转</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为机关提供后勤保障服务。</w:t>
      </w:r>
      <w:r>
        <w:rPr>
          <w:rFonts w:hint="default" w:ascii="Times New Roman" w:hAnsi="Times New Roman" w:eastAsia="仿宋_GB2312" w:cs="Times New Roman"/>
          <w:color w:val="000000" w:themeColor="text1"/>
          <w:sz w:val="32"/>
          <w:szCs w:val="32"/>
          <w14:textFill>
            <w14:solidFill>
              <w14:schemeClr w14:val="tx1"/>
            </w14:solidFill>
          </w14:textFill>
        </w:rPr>
        <w:t>发现的主要问题：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绩效目标不够细化</w:t>
      </w:r>
      <w:r>
        <w:rPr>
          <w:rFonts w:hint="default" w:ascii="Times New Roman" w:hAnsi="Times New Roman" w:eastAsia="仿宋_GB2312" w:cs="Times New Roman"/>
          <w:color w:val="000000" w:themeColor="text1"/>
          <w:sz w:val="32"/>
          <w:szCs w:val="32"/>
          <w14:textFill>
            <w14:solidFill>
              <w14:schemeClr w14:val="tx1"/>
            </w14:solidFill>
          </w14:textFill>
        </w:rPr>
        <w:t>。下一步改进措施：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强化绩效目标编制审核。</w:t>
      </w:r>
    </w:p>
    <w:tbl>
      <w:tblPr>
        <w:tblStyle w:val="16"/>
        <w:tblW w:w="9077" w:type="dxa"/>
        <w:tblInd w:w="93" w:type="dxa"/>
        <w:shd w:val="clear" w:color="auto" w:fill="auto"/>
        <w:tblLayout w:type="fixed"/>
        <w:tblCellMar>
          <w:top w:w="0" w:type="dxa"/>
          <w:left w:w="108" w:type="dxa"/>
          <w:bottom w:w="0" w:type="dxa"/>
          <w:right w:w="108" w:type="dxa"/>
        </w:tblCellMar>
      </w:tblPr>
      <w:tblGrid>
        <w:gridCol w:w="1125"/>
        <w:gridCol w:w="818"/>
        <w:gridCol w:w="1600"/>
        <w:gridCol w:w="702"/>
        <w:gridCol w:w="1182"/>
        <w:gridCol w:w="2150"/>
        <w:gridCol w:w="1500"/>
      </w:tblGrid>
      <w:tr>
        <w:tblPrEx>
          <w:tblLayout w:type="fixed"/>
          <w:tblCellMar>
            <w:top w:w="0" w:type="dxa"/>
            <w:left w:w="108" w:type="dxa"/>
            <w:bottom w:w="0" w:type="dxa"/>
            <w:right w:w="108" w:type="dxa"/>
          </w:tblCellMar>
        </w:tblPrEx>
        <w:trPr>
          <w:trHeight w:val="675" w:hRule="atLeast"/>
        </w:trPr>
        <w:tc>
          <w:tcPr>
            <w:tcW w:w="907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项目支出绩效自评表</w:t>
            </w:r>
          </w:p>
        </w:tc>
      </w:tr>
      <w:tr>
        <w:tblPrEx>
          <w:tblLayout w:type="fixed"/>
          <w:tblCellMar>
            <w:top w:w="0" w:type="dxa"/>
            <w:left w:w="108" w:type="dxa"/>
            <w:bottom w:w="0" w:type="dxa"/>
            <w:right w:w="108" w:type="dxa"/>
          </w:tblCellMar>
        </w:tblPrEx>
        <w:trPr>
          <w:trHeight w:val="285" w:hRule="atLeast"/>
        </w:trPr>
        <w:tc>
          <w:tcPr>
            <w:tcW w:w="907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2020   年度）</w:t>
            </w:r>
          </w:p>
        </w:tc>
      </w:tr>
      <w:tr>
        <w:tblPrEx>
          <w:shd w:val="clear" w:color="auto" w:fill="auto"/>
          <w:tblLayout w:type="fixed"/>
          <w:tblCellMar>
            <w:top w:w="0" w:type="dxa"/>
            <w:left w:w="108" w:type="dxa"/>
            <w:bottom w:w="0" w:type="dxa"/>
            <w:right w:w="108" w:type="dxa"/>
          </w:tblCellMar>
        </w:tblPrEx>
        <w:trPr>
          <w:trHeight w:val="439"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项目名称</w:t>
            </w:r>
          </w:p>
        </w:tc>
        <w:tc>
          <w:tcPr>
            <w:tcW w:w="7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机关后勤保障经费</w:t>
            </w:r>
          </w:p>
        </w:tc>
      </w:tr>
      <w:tr>
        <w:tblPrEx>
          <w:shd w:val="clear" w:color="auto" w:fill="auto"/>
          <w:tblLayout w:type="fixed"/>
          <w:tblCellMar>
            <w:top w:w="0" w:type="dxa"/>
            <w:left w:w="108" w:type="dxa"/>
            <w:bottom w:w="0" w:type="dxa"/>
            <w:right w:w="108" w:type="dxa"/>
          </w:tblCellMar>
        </w:tblPrEx>
        <w:trPr>
          <w:trHeight w:val="439"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主管部门及代码</w:t>
            </w:r>
          </w:p>
        </w:tc>
        <w:tc>
          <w:tcPr>
            <w:tcW w:w="3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四川省民族宗教事务委员会</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实施单位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四川省民族宗教事务委员会服务中心</w:t>
            </w:r>
          </w:p>
        </w:tc>
      </w:tr>
      <w:tr>
        <w:tblPrEx>
          <w:tblLayout w:type="fixed"/>
          <w:tblCellMar>
            <w:top w:w="0" w:type="dxa"/>
            <w:left w:w="108" w:type="dxa"/>
            <w:bottom w:w="0" w:type="dxa"/>
            <w:right w:w="108" w:type="dxa"/>
          </w:tblCellMar>
        </w:tblPrEx>
        <w:trPr>
          <w:trHeight w:val="439" w:hRule="atLeast"/>
        </w:trPr>
        <w:tc>
          <w:tcPr>
            <w:tcW w:w="1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项目预算</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执行情况</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（万元）</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预算数：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执行数：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115.0</w:t>
            </w:r>
          </w:p>
        </w:tc>
      </w:tr>
      <w:tr>
        <w:tblPrEx>
          <w:shd w:val="clear" w:color="auto" w:fill="auto"/>
          <w:tblLayout w:type="fixed"/>
          <w:tblCellMar>
            <w:top w:w="0" w:type="dxa"/>
            <w:left w:w="108" w:type="dxa"/>
            <w:bottom w:w="0" w:type="dxa"/>
            <w:right w:w="108" w:type="dxa"/>
          </w:tblCellMar>
        </w:tblPrEx>
        <w:trPr>
          <w:trHeight w:val="439" w:hRule="atLeast"/>
        </w:trPr>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其中：财政拨款</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115.0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其中：财政拨款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115.0</w:t>
            </w:r>
          </w:p>
        </w:tc>
      </w:tr>
      <w:tr>
        <w:tblPrEx>
          <w:tblLayout w:type="fixed"/>
          <w:tblCellMar>
            <w:top w:w="0" w:type="dxa"/>
            <w:left w:w="108" w:type="dxa"/>
            <w:bottom w:w="0" w:type="dxa"/>
            <w:right w:w="108" w:type="dxa"/>
          </w:tblCellMar>
        </w:tblPrEx>
        <w:trPr>
          <w:trHeight w:val="439" w:hRule="atLeast"/>
        </w:trPr>
        <w:tc>
          <w:tcPr>
            <w:tcW w:w="1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其他资金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             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0.0</w:t>
            </w:r>
          </w:p>
        </w:tc>
      </w:tr>
      <w:tr>
        <w:tblPrEx>
          <w:shd w:val="clear" w:color="auto" w:fill="auto"/>
          <w:tblLayout w:type="fixed"/>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度</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总</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体</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目</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标</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完</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成</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情</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况</w:t>
            </w: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预期目标</w:t>
            </w:r>
          </w:p>
        </w:tc>
        <w:tc>
          <w:tcPr>
            <w:tcW w:w="3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目标实际完成情况</w:t>
            </w:r>
          </w:p>
        </w:tc>
      </w:tr>
      <w:tr>
        <w:tblPrEx>
          <w:tblLayout w:type="fixed"/>
          <w:tblCellMar>
            <w:top w:w="0" w:type="dxa"/>
            <w:left w:w="108" w:type="dxa"/>
            <w:bottom w:w="0" w:type="dxa"/>
            <w:right w:w="108" w:type="dxa"/>
          </w:tblCellMar>
        </w:tblPrEx>
        <w:trPr>
          <w:trHeight w:val="138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43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机关后勤保障经费，保障聘用人员及借用人员工资、五险一金、绩效等相关经费。</w:t>
            </w:r>
          </w:p>
        </w:tc>
        <w:tc>
          <w:tcPr>
            <w:tcW w:w="36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机关后勤保障经费，保障聘用人员及借用人员工资、五险一金、绩效等相关经费。</w:t>
            </w:r>
          </w:p>
        </w:tc>
      </w:tr>
      <w:tr>
        <w:tblPrEx>
          <w:shd w:val="clear" w:color="auto" w:fill="auto"/>
          <w:tblLayout w:type="fixed"/>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年度绩效指标完成情况</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二级指标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三级指标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预期指标值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实际完成指标值</w:t>
            </w:r>
          </w:p>
        </w:tc>
      </w:tr>
      <w:tr>
        <w:tblPrEx>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完</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成</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指</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数量指标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聘用人员数和借用人员数</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聘用人员21人，借用人员4人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聘用人员21人，借用人员4人</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质量指标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服务，保障机关后勤运行</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良好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良好</w:t>
            </w:r>
          </w:p>
        </w:tc>
      </w:tr>
      <w:tr>
        <w:tblPrEx>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时效指标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当年工作按期完成率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w:t>
            </w:r>
          </w:p>
        </w:tc>
      </w:tr>
      <w:tr>
        <w:tblPrEx>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成本指标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聘用人员工资支出成本</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6.67*12=80.12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80.12</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聘用人员五险一金支出成本</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1.33*21=27.93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27.93</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借用人员工资及绩效支出成本</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1.74*4=6.95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6.95</w:t>
            </w:r>
          </w:p>
        </w:tc>
      </w:tr>
      <w:tr>
        <w:tblPrEx>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效</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益</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指</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br w:type="textWrapping"/>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经济效益指标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资金使用效果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良好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良好</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社会效益指标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确保机关后期保障工作人员相对稳定性</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较稳定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较稳定</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生态效益指标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无</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无</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可持续影响指标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项目影响年限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三年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三年</w:t>
            </w:r>
          </w:p>
        </w:tc>
      </w:tr>
      <w:tr>
        <w:tblPrEx>
          <w:shd w:val="clear" w:color="auto" w:fill="auto"/>
          <w:tblLayout w:type="fixed"/>
          <w:tblCellMar>
            <w:top w:w="0" w:type="dxa"/>
            <w:left w:w="108" w:type="dxa"/>
            <w:bottom w:w="0" w:type="dxa"/>
            <w:right w:w="108"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满意度</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满意度指标</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保障对象满意度</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100%</w:t>
            </w:r>
          </w:p>
        </w:tc>
      </w:tr>
    </w:tbl>
    <w:p>
      <w:pPr>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left="63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w:t>
      </w:r>
      <w:r>
        <w:rPr>
          <w:rFonts w:hint="eastAsia" w:ascii="楷体_GB2312" w:hAnsi="楷体_GB2312" w:eastAsia="楷体_GB2312" w:cs="楷体_GB2312"/>
          <w:color w:val="000000" w:themeColor="text1"/>
          <w:sz w:val="32"/>
          <w:szCs w:val="32"/>
          <w:lang w:eastAsia="zh-CN"/>
          <w14:textFill>
            <w14:solidFill>
              <w14:schemeClr w14:val="tx1"/>
            </w14:solidFill>
          </w14:textFill>
        </w:rPr>
        <w:t>单位</w:t>
      </w:r>
      <w:r>
        <w:rPr>
          <w:rFonts w:hint="eastAsia" w:ascii="楷体_GB2312" w:hAnsi="楷体_GB2312" w:eastAsia="楷体_GB2312" w:cs="楷体_GB2312"/>
          <w:color w:val="000000" w:themeColor="text1"/>
          <w:sz w:val="32"/>
          <w:szCs w:val="32"/>
          <w14:textFill>
            <w14:solidFill>
              <w14:schemeClr w14:val="tx1"/>
            </w14:solidFill>
          </w14:textFill>
        </w:rPr>
        <w:t>绩效评价结果。</w:t>
      </w:r>
    </w:p>
    <w:p>
      <w:pPr>
        <w:spacing w:line="580" w:lineRule="exact"/>
        <w:ind w:firstLine="640"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自行组织对“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机关后勤保障经费</w:t>
      </w:r>
      <w:r>
        <w:rPr>
          <w:rFonts w:hint="default" w:ascii="Times New Roman" w:hAnsi="Times New Roman" w:eastAsia="仿宋_GB2312" w:cs="Times New Roman"/>
          <w:color w:val="000000" w:themeColor="text1"/>
          <w:sz w:val="32"/>
          <w:szCs w:val="32"/>
          <w14:textFill>
            <w14:solidFill>
              <w14:schemeClr w14:val="tx1"/>
            </w14:solidFill>
          </w14:textFill>
        </w:rPr>
        <w:t>项目”开展了绩效评价，《20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机关后勤保障经费</w:t>
      </w:r>
      <w:r>
        <w:rPr>
          <w:rFonts w:hint="default" w:ascii="Times New Roman" w:hAnsi="Times New Roman" w:eastAsia="仿宋_GB2312" w:cs="Times New Roman"/>
          <w:color w:val="000000" w:themeColor="text1"/>
          <w:sz w:val="32"/>
          <w:szCs w:val="32"/>
          <w14:textFill>
            <w14:solidFill>
              <w14:schemeClr w14:val="tx1"/>
            </w14:solidFill>
          </w14:textFill>
        </w:rPr>
        <w:t>项目绩效评价报告》见附件（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第四部分</w:t>
      </w:r>
      <w:r>
        <w:rPr>
          <w:rFonts w:hint="default" w:ascii="Times New Roman" w:hAnsi="Times New Roman" w:eastAsia="仿宋_GB2312" w:cs="Times New Roman"/>
          <w:color w:val="000000" w:themeColor="text1"/>
          <w:sz w:val="32"/>
          <w:szCs w:val="32"/>
          <w14:textFill>
            <w14:solidFill>
              <w14:schemeClr w14:val="tx1"/>
            </w14:solidFill>
          </w14:textFill>
        </w:rPr>
        <w:t>）。</w:t>
      </w:r>
    </w:p>
    <w:p>
      <w:pPr>
        <w:widowControl/>
        <w:jc w:val="left"/>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78" w:name="_Toc19249"/>
      <w:bookmarkStart w:id="79" w:name="_Toc15396613"/>
      <w:bookmarkStart w:id="80" w:name="_Toc15377225"/>
      <w:bookmarkStart w:id="81" w:name="_Toc5315"/>
      <w:r>
        <w:rPr>
          <w:rFonts w:hint="eastAsia" w:ascii="黑体" w:hAnsi="黑体" w:eastAsia="黑体"/>
          <w:color w:val="000000"/>
          <w:sz w:val="44"/>
          <w:szCs w:val="44"/>
        </w:rPr>
        <w:t>名</w:t>
      </w:r>
      <w:r>
        <w:rPr>
          <w:rStyle w:val="25"/>
          <w:rFonts w:hint="eastAsia" w:ascii="黑体" w:hAnsi="黑体" w:eastAsia="黑体"/>
          <w:b w:val="0"/>
        </w:rPr>
        <w:t>词解释</w:t>
      </w:r>
      <w:bookmarkEnd w:id="78"/>
      <w:bookmarkEnd w:id="79"/>
      <w:bookmarkEnd w:id="80"/>
      <w:bookmarkEnd w:id="81"/>
    </w:p>
    <w:p>
      <w:pPr>
        <w:spacing w:line="600" w:lineRule="exact"/>
        <w:jc w:val="left"/>
        <w:rPr>
          <w:rFonts w:ascii="宋体"/>
          <w:b/>
          <w:color w:val="000000"/>
          <w:sz w:val="44"/>
          <w:szCs w:val="44"/>
        </w:rPr>
      </w:pP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.其他收入：指单位取得的除上述收入以外的各项收入。主要是</w:t>
      </w:r>
      <w:r>
        <w:rPr>
          <w:rFonts w:hint="eastAsia" w:ascii="仿宋_GB2312" w:hAnsi="仿宋_GB2312" w:eastAsia="仿宋_GB2312" w:cs="仿宋_GB2312"/>
          <w:sz w:val="32"/>
          <w:szCs w:val="32"/>
          <w:lang w:val="en-US" w:eastAsia="zh-CN"/>
        </w:rPr>
        <w:t>银行账户利息收入</w:t>
      </w:r>
      <w:r>
        <w:rPr>
          <w:rFonts w:hint="eastAsia" w:ascii="仿宋_GB2312" w:hAnsi="仿宋_GB2312" w:eastAsia="仿宋_GB2312" w:cs="仿宋_GB2312"/>
          <w:sz w:val="32"/>
          <w:szCs w:val="32"/>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（类）民族事务（款）机关服务（项）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反映为行政单位( 包括实行公务员管理的事业单位)提供后勤服务的各类后勤服务中心、医务室等附属事业单位的支出。其他事业单位的支出，凡单独设置了项级科目的，在单独设置的项级科目中反映。未单设项级科目的，在“ 其他”项级科目中反映。</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（类）民族事务（款）其他民族事务支出（项）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反映除上述项目以外其他用于民族事务方面的支出。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auto"/>
          <w:sz w:val="32"/>
          <w:szCs w:val="32"/>
        </w:rPr>
        <w:t>社会保障和就业支出（类）</w:t>
      </w:r>
      <w:r>
        <w:rPr>
          <w:rStyle w:val="14"/>
          <w:rFonts w:hint="eastAsia" w:ascii="仿宋_GB2312" w:hAnsi="仿宋_GB2312" w:eastAsia="仿宋_GB2312" w:cs="仿宋_GB2312"/>
          <w:b w:val="0"/>
          <w:bCs w:val="0"/>
          <w:color w:val="auto"/>
          <w:sz w:val="32"/>
          <w:szCs w:val="32"/>
          <w:lang w:eastAsia="zh-CN"/>
        </w:rPr>
        <w:t>行政事业单位</w:t>
      </w:r>
      <w:r>
        <w:rPr>
          <w:rStyle w:val="14"/>
          <w:rFonts w:hint="eastAsia" w:ascii="仿宋_GB2312" w:hAnsi="仿宋_GB2312" w:eastAsia="仿宋_GB2312" w:cs="仿宋_GB2312"/>
          <w:b w:val="0"/>
          <w:bCs w:val="0"/>
          <w:color w:val="auto"/>
          <w:sz w:val="32"/>
          <w:szCs w:val="32"/>
          <w:lang w:val="en-US" w:eastAsia="zh-CN"/>
        </w:rPr>
        <w:t>养老支出</w:t>
      </w:r>
      <w:r>
        <w:rPr>
          <w:rFonts w:hint="eastAsia" w:ascii="仿宋_GB2312" w:hAnsi="仿宋_GB2312" w:eastAsia="仿宋_GB2312" w:cs="仿宋_GB2312"/>
          <w:b w:val="0"/>
          <w:bCs w:val="0"/>
          <w:color w:val="auto"/>
          <w:sz w:val="32"/>
          <w:szCs w:val="32"/>
        </w:rPr>
        <w:t>（款）事业单位离退休（项）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反映实行归口管理的事业单位开支的离退休经费。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auto"/>
          <w:sz w:val="32"/>
          <w:szCs w:val="32"/>
        </w:rPr>
        <w:t>社会保障和就业支出（类）</w:t>
      </w:r>
      <w:r>
        <w:rPr>
          <w:rStyle w:val="14"/>
          <w:rFonts w:hint="eastAsia" w:ascii="仿宋_GB2312" w:hAnsi="仿宋_GB2312" w:eastAsia="仿宋_GB2312" w:cs="仿宋_GB2312"/>
          <w:b w:val="0"/>
          <w:bCs w:val="0"/>
          <w:color w:val="auto"/>
          <w:sz w:val="32"/>
          <w:szCs w:val="32"/>
          <w:lang w:eastAsia="zh-CN"/>
        </w:rPr>
        <w:t>行政事业单位</w:t>
      </w:r>
      <w:r>
        <w:rPr>
          <w:rStyle w:val="14"/>
          <w:rFonts w:hint="eastAsia" w:ascii="仿宋_GB2312" w:hAnsi="仿宋_GB2312" w:eastAsia="仿宋_GB2312" w:cs="仿宋_GB2312"/>
          <w:b w:val="0"/>
          <w:bCs w:val="0"/>
          <w:color w:val="auto"/>
          <w:sz w:val="32"/>
          <w:szCs w:val="32"/>
          <w:lang w:val="en-US" w:eastAsia="zh-CN"/>
        </w:rPr>
        <w:t>养老支出</w:t>
      </w:r>
      <w:r>
        <w:rPr>
          <w:rFonts w:hint="eastAsia" w:ascii="仿宋_GB2312" w:hAnsi="仿宋_GB2312" w:eastAsia="仿宋_GB2312" w:cs="仿宋_GB2312"/>
          <w:b w:val="0"/>
          <w:bCs w:val="0"/>
          <w:color w:val="auto"/>
          <w:sz w:val="32"/>
          <w:szCs w:val="32"/>
        </w:rPr>
        <w:t>（款）机关事业单位基本养老保险缴费支出（项）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反映机关事业单位实施养老保险制度由单位缴纳的基本养老保险费支出。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auto"/>
          <w:sz w:val="32"/>
          <w:szCs w:val="32"/>
        </w:rPr>
        <w:t>社会保障和就业支出（类）</w:t>
      </w:r>
      <w:r>
        <w:rPr>
          <w:rStyle w:val="14"/>
          <w:rFonts w:hint="eastAsia" w:ascii="仿宋_GB2312" w:hAnsi="仿宋_GB2312" w:eastAsia="仿宋_GB2312" w:cs="仿宋_GB2312"/>
          <w:b w:val="0"/>
          <w:bCs w:val="0"/>
          <w:color w:val="auto"/>
          <w:sz w:val="32"/>
          <w:szCs w:val="32"/>
          <w:lang w:eastAsia="zh-CN"/>
        </w:rPr>
        <w:t>行政事业单位</w:t>
      </w:r>
      <w:r>
        <w:rPr>
          <w:rStyle w:val="14"/>
          <w:rFonts w:hint="eastAsia" w:ascii="仿宋_GB2312" w:hAnsi="仿宋_GB2312" w:eastAsia="仿宋_GB2312" w:cs="仿宋_GB2312"/>
          <w:b w:val="0"/>
          <w:bCs w:val="0"/>
          <w:color w:val="auto"/>
          <w:sz w:val="32"/>
          <w:szCs w:val="32"/>
          <w:lang w:val="en-US" w:eastAsia="zh-CN"/>
        </w:rPr>
        <w:t>养老支出</w:t>
      </w:r>
      <w:r>
        <w:rPr>
          <w:rFonts w:hint="eastAsia" w:ascii="仿宋_GB2312" w:hAnsi="仿宋_GB2312" w:eastAsia="仿宋_GB2312" w:cs="仿宋_GB2312"/>
          <w:b w:val="0"/>
          <w:bCs w:val="0"/>
          <w:color w:val="auto"/>
          <w:sz w:val="32"/>
          <w:szCs w:val="32"/>
        </w:rPr>
        <w:t>（款）机关事业单位职业年金缴费支出（项）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反映机关事业单位实施养老保险制度由单位</w:t>
      </w:r>
      <w:r>
        <w:rPr>
          <w:rFonts w:hint="eastAsia" w:ascii="仿宋_GB2312" w:hAnsi="仿宋_GB2312" w:eastAsia="仿宋_GB2312" w:cs="仿宋_GB2312"/>
          <w:b w:val="0"/>
          <w:bCs w:val="0"/>
          <w:color w:val="auto"/>
          <w:sz w:val="32"/>
          <w:szCs w:val="32"/>
          <w:lang w:eastAsia="zh-CN"/>
        </w:rPr>
        <w:t>实际</w:t>
      </w:r>
      <w:r>
        <w:rPr>
          <w:rFonts w:hint="eastAsia" w:ascii="仿宋_GB2312" w:hAnsi="仿宋_GB2312" w:eastAsia="仿宋_GB2312" w:cs="仿宋_GB2312"/>
          <w:b w:val="0"/>
          <w:bCs w:val="0"/>
          <w:color w:val="auto"/>
          <w:sz w:val="32"/>
          <w:szCs w:val="32"/>
        </w:rPr>
        <w:t>缴纳的职业年金支出。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支出（类）行政事业单位医疗（款）行政单位医疗（项）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反映财政部门集中安排的行政单位基本医疗保险缴费经费，未参加医疗保险的行政单位的公费医疗经费，按国家规定享受离休人员、红军老战土待遇人员的医疗经费。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住房保障支出（类）住房改革支出（款）住房公积金（项）</w:t>
      </w:r>
      <w:r>
        <w:rPr>
          <w:rFonts w:hint="eastAsia" w:ascii="仿宋_GB2312" w:hAnsi="仿宋_GB2312" w:eastAsia="仿宋_GB2312" w:cs="仿宋_GB2312"/>
          <w:color w:val="auto"/>
          <w:sz w:val="32"/>
          <w:szCs w:val="32"/>
          <w:lang w:eastAsia="zh-CN"/>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 xml:space="preserve">.项目支出：指在基本支出之外为完成特定行政任务和事业发展目标所发生的支出。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.“三公”经费：指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600" w:lineRule="exact"/>
        <w:ind w:firstLine="643" w:firstLineChars="200"/>
        <w:jc w:val="center"/>
        <w:textAlignment w:val="auto"/>
        <w:outlineLvl w:val="0"/>
        <w:rPr>
          <w:rStyle w:val="25"/>
          <w:rFonts w:hint="eastAsia" w:ascii="黑体" w:hAnsi="黑体" w:eastAsia="黑体"/>
          <w:b w:val="0"/>
          <w:color w:val="0000FF"/>
          <w:lang w:eastAsia="zh-CN"/>
        </w:rPr>
      </w:pPr>
      <w:bookmarkStart w:id="82" w:name="_Toc15377226"/>
      <w:r>
        <w:rPr>
          <w:rFonts w:hint="eastAsia" w:ascii="仿宋_GB2312" w:hAnsi="仿宋_GB2312" w:eastAsia="仿宋_GB2312" w:cs="仿宋_GB2312"/>
          <w:b/>
          <w:color w:val="000000"/>
          <w:sz w:val="32"/>
          <w:szCs w:val="32"/>
        </w:rPr>
        <w:br w:type="page"/>
      </w:r>
      <w:bookmarkStart w:id="83" w:name="_Toc4962"/>
      <w:bookmarkStart w:id="84" w:name="_Toc16312"/>
      <w:bookmarkStart w:id="85" w:name="_Toc15396614"/>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四部分 附件</w:t>
      </w:r>
      <w:bookmarkEnd w:id="83"/>
      <w:bookmarkEnd w:id="84"/>
      <w:bookmarkEnd w:id="85"/>
    </w:p>
    <w:p>
      <w:pPr>
        <w:spacing w:line="580" w:lineRule="exact"/>
        <w:ind w:firstLine="560" w:firstLineChars="200"/>
        <w:rPr>
          <w:rFonts w:ascii="仿宋_GB2312" w:hAnsi="仿宋_GB2312" w:eastAsia="仿宋_GB2312" w:cs="仿宋_GB2312"/>
          <w:color w:val="0000FF"/>
          <w:spacing w:val="-2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pacing w:val="-11"/>
          <w:sz w:val="40"/>
          <w:szCs w:val="40"/>
        </w:rPr>
      </w:pPr>
      <w:bookmarkStart w:id="86" w:name="_Toc23425"/>
      <w:bookmarkStart w:id="87" w:name="_Toc13152"/>
      <w:r>
        <w:rPr>
          <w:rFonts w:hint="eastAsia" w:eastAsia="方正小标宋简体" w:cs="Times New Roman"/>
          <w:color w:val="auto"/>
          <w:spacing w:val="-11"/>
          <w:sz w:val="40"/>
          <w:szCs w:val="40"/>
          <w:lang w:val="en-US" w:eastAsia="zh-CN"/>
        </w:rPr>
        <w:t>2020年</w:t>
      </w:r>
      <w:r>
        <w:rPr>
          <w:rFonts w:hint="default" w:ascii="Times New Roman" w:hAnsi="Times New Roman" w:eastAsia="方正小标宋简体" w:cs="Times New Roman"/>
          <w:color w:val="auto"/>
          <w:spacing w:val="-11"/>
          <w:sz w:val="40"/>
          <w:szCs w:val="40"/>
          <w:lang w:val="en-US" w:eastAsia="zh-CN"/>
        </w:rPr>
        <w:t>机关后勤保障经费</w:t>
      </w:r>
      <w:r>
        <w:rPr>
          <w:rFonts w:hint="default" w:ascii="Times New Roman" w:hAnsi="Times New Roman" w:eastAsia="方正小标宋简体" w:cs="Times New Roman"/>
          <w:color w:val="auto"/>
          <w:spacing w:val="-11"/>
          <w:sz w:val="40"/>
          <w:szCs w:val="40"/>
        </w:rPr>
        <w:t>项目</w:t>
      </w:r>
      <w:r>
        <w:rPr>
          <w:rFonts w:hint="default" w:ascii="Times New Roman" w:hAnsi="Times New Roman" w:eastAsia="方正小标宋简体" w:cs="Times New Roman"/>
          <w:color w:val="auto"/>
          <w:spacing w:val="-11"/>
          <w:sz w:val="40"/>
          <w:szCs w:val="40"/>
          <w:lang w:val="en-US" w:eastAsia="zh-CN"/>
        </w:rPr>
        <w:t>支出绩效自评报告</w:t>
      </w:r>
      <w:bookmarkEnd w:id="86"/>
      <w:bookmarkEnd w:id="87"/>
    </w:p>
    <w:p>
      <w:pPr>
        <w:keepLines w:val="0"/>
        <w:adjustRightInd w:val="0"/>
        <w:snapToGrid w:val="0"/>
        <w:spacing w:line="600" w:lineRule="exact"/>
        <w:ind w:firstLine="720"/>
        <w:rPr>
          <w:rFonts w:hint="default" w:ascii="Times New Roman" w:hAnsi="Times New Roman" w:cs="Times New Roman"/>
          <w:color w:val="auto"/>
        </w:rPr>
      </w:pPr>
    </w:p>
    <w:p>
      <w:pPr>
        <w:keepLines w:val="0"/>
        <w:adjustRightInd w:val="0"/>
        <w:snapToGrid w:val="0"/>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根据《财政厅关于开展202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政策和项目支出绩效评价工作的通知》（川财绩〔202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我委对2020年“机关服务中心机关后勤保障经费”项目开展了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6"/>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bookmarkStart w:id="88" w:name="_Toc29029"/>
      <w:bookmarkStart w:id="89" w:name="_Toc29409"/>
      <w:r>
        <w:rPr>
          <w:rFonts w:hint="default" w:ascii="Times New Roman" w:hAnsi="Times New Roman" w:eastAsia="黑体" w:cs="Times New Roman"/>
          <w:color w:val="auto"/>
          <w:sz w:val="32"/>
          <w:szCs w:val="32"/>
          <w:lang w:eastAsia="zh-CN"/>
        </w:rPr>
        <w:t>基本情况</w:t>
      </w:r>
      <w:bookmarkEnd w:id="88"/>
      <w:bookmarkEnd w:id="89"/>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spacing w:line="578"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四川省民族宗教事务委员会机关服务中心隶属于四川省民族宗教事务委员会，系全额拨款事业单位。机关服务中心的主要职能是</w:t>
      </w:r>
      <w:r>
        <w:rPr>
          <w:rFonts w:hint="default" w:ascii="Times New Roman" w:hAnsi="Times New Roman" w:eastAsia="仿宋_GB2312" w:cs="Times New Roman"/>
          <w:color w:val="auto"/>
          <w:sz w:val="32"/>
          <w:szCs w:val="32"/>
        </w:rPr>
        <w:t>负责机关车辆、通讯、文印、物业管理等服务保障工作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承担机关委托的部分行政管理的事务性工作；负责机关交其使用的固定资产的管理和经营性资产的经营管理工作等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2020年末，服务中心事业编制19名，在职人员7人。</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3" w:firstLineChars="200"/>
        <w:jc w:val="left"/>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2.项目设立基本情况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机关后勤保障经费是保障单位服务工作正常运转过程中聘用人员及借用人员工资、五险一金、绩效等相关经费</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机关服务中心在编职工较少，工作涉及面广且工作量大（涉及物管、食堂、公务用车管理等方面），故单位聘用职工21人，借用工作人员4人用于维持单位机关后勤保障。为切实保障单位后勤工作正常运转，设立了“机关服务中心机关后勤保障经费”项目，并作为常年项目予以保留。</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）项目绩效目标</w:t>
      </w:r>
      <w:r>
        <w:rPr>
          <w:rFonts w:hint="default" w:ascii="Times New Roman" w:hAnsi="Times New Roman" w:eastAsia="仿宋_GB2312" w:cs="Times New Roman"/>
          <w:b/>
          <w:color w:val="auto"/>
          <w:sz w:val="32"/>
          <w:szCs w:val="32"/>
          <w:lang w:val="en-US" w:eastAsia="zh-CN"/>
        </w:rPr>
        <w:t>设置情况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机关服务中心具体细化量化了三级指标，共计设置绩效目标14项。其中：数量指标2项，用于量化聘用人员和借用人员数量；质量指标1项，用于衡量后勤保障服务质量；时效指标1项，用于量化按期发放聘用人员和借用人员待遇的完成率；成本指标3项，用于量化聘用人员工资支出、聘用人员五险一金支出、借用人员工资及绩效支出成本；经济效益指标1项，用于衡量资金使用效果；社会效益指标1项，用于确保机关后勤保障工作人员相对稳定的社会效益；可持续影响指标1项，用于衡量项目的可持续性效益；满意度指标1项，用于量化保障对象的满意度水平。</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val="zh-CN" w:eastAsia="zh-CN"/>
        </w:rPr>
        <w:t>）资金投入</w:t>
      </w:r>
      <w:r>
        <w:rPr>
          <w:rFonts w:hint="default" w:ascii="Times New Roman" w:hAnsi="Times New Roman" w:eastAsia="仿宋_GB2312" w:cs="Times New Roman"/>
          <w:b/>
          <w:color w:val="auto"/>
          <w:sz w:val="32"/>
          <w:szCs w:val="32"/>
          <w:lang w:val="en-US" w:eastAsia="zh-CN"/>
        </w:rPr>
        <w:t>及项目实施</w:t>
      </w:r>
      <w:r>
        <w:rPr>
          <w:rFonts w:hint="default" w:ascii="Times New Roman" w:hAnsi="Times New Roman" w:eastAsia="仿宋_GB2312" w:cs="Times New Roman"/>
          <w:b/>
          <w:color w:val="auto"/>
          <w:sz w:val="32"/>
          <w:szCs w:val="32"/>
          <w:lang w:val="zh-CN" w:eastAsia="zh-CN"/>
        </w:rPr>
        <w:t>情况</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“机关服务中心机关后勤保障经费”项目总预算115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均为劳务费。根据项目预算绩效管理要求，机关服务中心</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项目资金的主要用途为：</w:t>
      </w:r>
      <w:r>
        <w:rPr>
          <w:rFonts w:hint="default" w:ascii="Times New Roman" w:hAnsi="Times New Roman" w:eastAsia="仿宋_GB2312" w:cs="Times New Roman"/>
          <w:color w:val="auto"/>
          <w:sz w:val="32"/>
          <w:szCs w:val="32"/>
          <w:lang w:val="en-US" w:eastAsia="zh-CN"/>
        </w:rPr>
        <w:t>一是保障服务中心后勤保障工作的正常运作，按时发放和缴纳聘用人员的工资及社会保险、住房公积金等，按期发放借用人员的绩效工资；二是保障后勤服务保障的其他工作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全年，项目支出共计115万元，预算执行率为100%。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0" w:name="_Toc1613"/>
      <w:bookmarkStart w:id="91" w:name="_Toc27254"/>
      <w:r>
        <w:rPr>
          <w:rFonts w:hint="default" w:ascii="Times New Roman" w:hAnsi="Times New Roman" w:eastAsia="黑体" w:cs="Times New Roman"/>
          <w:color w:val="auto"/>
          <w:sz w:val="32"/>
          <w:szCs w:val="32"/>
          <w:lang w:eastAsia="zh-CN"/>
        </w:rPr>
        <w:t>二、评价工作开展情况</w:t>
      </w:r>
      <w:bookmarkEnd w:id="90"/>
      <w:bookmarkEnd w:id="91"/>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本次绩效评价按照前期准备、</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自评、</w:t>
      </w:r>
      <w:r>
        <w:rPr>
          <w:rFonts w:hint="default" w:ascii="Times New Roman" w:hAnsi="Times New Roman" w:eastAsia="仿宋_GB2312" w:cs="Times New Roman"/>
          <w:color w:val="auto"/>
          <w:sz w:val="32"/>
          <w:szCs w:val="32"/>
          <w:lang w:val="en-US" w:eastAsia="zh-CN"/>
        </w:rPr>
        <w:t>部门复评、</w:t>
      </w:r>
      <w:r>
        <w:rPr>
          <w:rFonts w:hint="default" w:ascii="Times New Roman" w:hAnsi="Times New Roman" w:eastAsia="仿宋_GB2312" w:cs="Times New Roman"/>
          <w:color w:val="auto"/>
          <w:sz w:val="32"/>
          <w:szCs w:val="32"/>
        </w:rPr>
        <w:t>报告撰写</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个阶段，组织实施项目绩效评价工作。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val="zh-CN" w:eastAsia="zh-CN"/>
        </w:rPr>
        <w:t>）评价方法和评价标准</w:t>
      </w:r>
      <w:r>
        <w:rPr>
          <w:rFonts w:hint="default" w:ascii="Times New Roman" w:hAnsi="Times New Roman" w:eastAsia="仿宋_GB2312" w:cs="Times New Roman"/>
          <w:b/>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在支付缴纳聘用和借用人员工资、绩效、五险一金时，</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2" w:name="_Toc19680"/>
      <w:bookmarkStart w:id="93" w:name="_Toc25546"/>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r>
        <w:rPr>
          <w:rFonts w:hint="default" w:ascii="Times New Roman" w:hAnsi="Times New Roman" w:eastAsia="黑体" w:cs="Times New Roman"/>
          <w:color w:val="auto"/>
          <w:sz w:val="32"/>
          <w:szCs w:val="32"/>
          <w:lang w:eastAsia="zh-CN"/>
        </w:rPr>
        <w:t>（附评分表）</w:t>
      </w:r>
      <w:bookmarkEnd w:id="92"/>
      <w:bookmarkEnd w:id="9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按照《省民族宗教委2021年度部门预算项目支出绩效评价指标体系》，单位自评得分88分，部门考核自评质量得分10分，总计得分为98分。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扣分原因说明：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目标制定：绩效目标细化量化上尚不完善，按评分要求扣2分。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bookmarkStart w:id="94" w:name="_Toc19463"/>
      <w:bookmarkStart w:id="95" w:name="_Toc21173"/>
      <w:r>
        <w:rPr>
          <w:rFonts w:hint="default" w:ascii="Times New Roman" w:hAnsi="Times New Roman" w:eastAsia="黑体" w:cs="Times New Roman"/>
          <w:b w:val="0"/>
          <w:bCs/>
          <w:color w:val="auto"/>
          <w:sz w:val="32"/>
          <w:szCs w:val="32"/>
          <w:lang w:eastAsia="zh-CN"/>
        </w:rPr>
        <w:t>四、绩效评价分析</w:t>
      </w:r>
      <w:bookmarkEnd w:id="94"/>
      <w:bookmarkEnd w:id="95"/>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1.决策依据充分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严格按照《中华人民共和国劳动法》，参照成都市最低工资标准，本着自愿平等的原则，依法签订劳动合同，严格按照合同约定支付薪金报酬和五险一金。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2.决策程序严谨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召开主任办公会和支委会，明确聘用人员和借用人员的具体分工以及聘用人员薪金待遇，严格遵守《中华人民共和国劳动法》。并按照预算编制要求，于年初预算编制时，填报了《部门预算项目立项审核表》，报经委计财处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3.成本核算科学</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相关经费预算，严格按照相关业务成本进行测算，坚持“厉行节约”，确保财政资金使用绩效。</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项目支出均按照有关规章制度和项目实施完成情况进行支付。专项经费使用由办公室为主管理，严格按照委相关财务管理制度执行，并按要求完善记录，确保专款专用。</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left="0" w:leftChars="0"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项目产出情况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有效的保障了聘用人员和借用人员的工资待遇以及人员的稳定性。2020年全年服务保障工作圆满结束，省民宗委及下属事业单位全体职工一致好评。</w:t>
      </w:r>
    </w:p>
    <w:p>
      <w:pPr>
        <w:keepNext w:val="0"/>
        <w:keepLines w:val="0"/>
        <w:pageBreakBefore w:val="0"/>
        <w:widowControl w:val="0"/>
        <w:numPr>
          <w:ilvl w:val="0"/>
          <w:numId w:val="7"/>
        </w:numPr>
        <w:kinsoku/>
        <w:wordWrap/>
        <w:overflowPunct/>
        <w:topLinePunct w:val="0"/>
        <w:autoSpaceDE/>
        <w:autoSpaceDN/>
        <w:bidi w:val="0"/>
        <w:adjustRightInd/>
        <w:snapToGrid w:val="0"/>
        <w:spacing w:line="600" w:lineRule="exact"/>
        <w:ind w:left="0" w:leftChars="0"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项目效益情况</w:t>
      </w:r>
    </w:p>
    <w:p>
      <w:pPr>
        <w:keepNext w:val="0"/>
        <w:keepLines w:val="0"/>
        <w:pageBreakBefore w:val="0"/>
        <w:numPr>
          <w:ilvl w:val="0"/>
          <w:numId w:val="8"/>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落实防疫保障工作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根据疫情形势</w:t>
      </w:r>
      <w:r>
        <w:rPr>
          <w:rFonts w:hint="default" w:ascii="Times New Roman" w:hAnsi="Times New Roman" w:eastAsia="仿宋_GB2312" w:cs="Times New Roman"/>
          <w:color w:val="auto"/>
          <w:sz w:val="32"/>
          <w:szCs w:val="32"/>
          <w:highlight w:val="none"/>
          <w:lang w:val="en-US" w:eastAsia="zh-CN"/>
        </w:rPr>
        <w:t>发放防疫物资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封闭式管理办公区，做好公区防疫消杀，保障委机关工作的正常运行</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落实消防安全保障工作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lang w:val="en-US" w:eastAsia="zh-CN"/>
        </w:rPr>
        <w:t>从消防安全、办公环境优化等领域制定并实施了安全生产月主题活动方案，</w:t>
      </w:r>
      <w:r>
        <w:rPr>
          <w:rFonts w:hint="default" w:ascii="Times New Roman" w:hAnsi="Times New Roman" w:eastAsia="仿宋_GB2312" w:cs="Times New Roman"/>
          <w:color w:val="auto"/>
          <w:sz w:val="32"/>
          <w:szCs w:val="32"/>
          <w:lang w:eastAsia="zh-CN"/>
        </w:rPr>
        <w:t>全年委没有一起安全事故发生</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eastAsia="zh-CN"/>
        </w:rPr>
        <w:t>落实节假日</w:t>
      </w:r>
      <w:r>
        <w:rPr>
          <w:rFonts w:hint="default" w:ascii="Times New Roman" w:hAnsi="Times New Roman" w:eastAsia="仿宋_GB2312" w:cs="Times New Roman"/>
          <w:color w:val="auto"/>
          <w:kern w:val="0"/>
          <w:sz w:val="32"/>
          <w:szCs w:val="32"/>
        </w:rPr>
        <w:t>24小时双人双岗值班和领导带班制度，确保了大楼、车队的</w:t>
      </w:r>
      <w:r>
        <w:rPr>
          <w:rFonts w:hint="default" w:ascii="Times New Roman" w:hAnsi="Times New Roman" w:eastAsia="仿宋_GB2312" w:cs="Times New Roman"/>
          <w:color w:val="auto"/>
          <w:kern w:val="0"/>
          <w:sz w:val="32"/>
          <w:szCs w:val="32"/>
          <w:lang w:eastAsia="zh-CN"/>
        </w:rPr>
        <w:t>稳定运行</w:t>
      </w:r>
      <w:r>
        <w:rPr>
          <w:rFonts w:hint="default" w:ascii="Times New Roman" w:hAnsi="Times New Roman" w:eastAsia="仿宋_GB2312" w:cs="Times New Roman"/>
          <w:color w:val="auto"/>
          <w:kern w:val="0"/>
          <w:sz w:val="32"/>
          <w:szCs w:val="32"/>
        </w:rPr>
        <w:t>。</w:t>
      </w:r>
    </w:p>
    <w:p>
      <w:pPr>
        <w:numPr>
          <w:ilvl w:val="0"/>
          <w:numId w:val="8"/>
        </w:numPr>
        <w:ind w:left="0" w:leftChars="0"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提升食堂服务水平</w:t>
      </w:r>
    </w:p>
    <w:p>
      <w:pPr>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在委党组的关心下，机关食堂被区食药监局荣评为A级食堂，被省市场监管局、省机关事务管理局评为A级（低风险）食堂，提高了聘用职工的工作积极性和荣誉感。</w:t>
      </w:r>
    </w:p>
    <w:p>
      <w:pPr>
        <w:keepNext w:val="0"/>
        <w:keepLines w:val="0"/>
        <w:pageBreakBefore w:val="0"/>
        <w:widowControl w:val="0"/>
        <w:numPr>
          <w:ilvl w:val="0"/>
          <w:numId w:val="9"/>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96" w:name="_Toc14399"/>
      <w:bookmarkStart w:id="97" w:name="_Toc31061"/>
      <w:r>
        <w:rPr>
          <w:rFonts w:hint="default" w:ascii="Times New Roman" w:hAnsi="Times New Roman" w:eastAsia="黑体" w:cs="Times New Roman"/>
          <w:color w:val="auto"/>
          <w:sz w:val="32"/>
          <w:szCs w:val="32"/>
        </w:rPr>
        <w:t>存在主要问题</w:t>
      </w:r>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机关服务中心机关后勤保障经费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主要是劳务费，用于发放聘用人员和借用人员薪金待遇、缴纳五险一金。绩效目标只能用聘用和借用的人数来量化，不够细化。</w:t>
      </w:r>
    </w:p>
    <w:p>
      <w:pPr>
        <w:keepNext w:val="0"/>
        <w:keepLines w:val="0"/>
        <w:pageBreakBefore w:val="0"/>
        <w:widowControl w:val="0"/>
        <w:numPr>
          <w:ilvl w:val="0"/>
          <w:numId w:val="9"/>
        </w:numPr>
        <w:kinsoku/>
        <w:wordWrap/>
        <w:overflowPunct/>
        <w:topLinePunct w:val="0"/>
        <w:autoSpaceDE/>
        <w:autoSpaceDN/>
        <w:bidi w:val="0"/>
        <w:adjustRightInd/>
        <w:snapToGrid w:val="0"/>
        <w:spacing w:line="600" w:lineRule="exact"/>
        <w:ind w:left="0" w:leftChars="0" w:firstLine="640" w:firstLineChars="200"/>
        <w:textAlignment w:val="auto"/>
        <w:outlineLvl w:val="9"/>
        <w:rPr>
          <w:rFonts w:hint="default" w:ascii="Times New Roman" w:hAnsi="Times New Roman" w:eastAsia="黑体" w:cs="Times New Roman"/>
          <w:color w:val="auto"/>
          <w:sz w:val="32"/>
          <w:szCs w:val="32"/>
        </w:rPr>
      </w:pPr>
      <w:bookmarkStart w:id="98" w:name="_Toc22346"/>
      <w:bookmarkStart w:id="99" w:name="_Toc22391"/>
      <w:r>
        <w:rPr>
          <w:rFonts w:hint="default" w:ascii="Times New Roman" w:hAnsi="Times New Roman" w:eastAsia="黑体" w:cs="Times New Roman"/>
          <w:color w:val="auto"/>
          <w:sz w:val="32"/>
          <w:szCs w:val="32"/>
        </w:rPr>
        <w:t>相关措施建议</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进一步细化量化机关后勤保障经费，严格遵守《中华人民共和国劳动法》和《中华人民共和国预算法》。</w:t>
      </w: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Fonts w:hint="eastAsia" w:ascii="仿宋" w:hAnsi="仿宋" w:eastAsia="仿宋"/>
          <w:b w:val="0"/>
          <w:color w:val="000000"/>
        </w:rPr>
      </w:pPr>
      <w:bookmarkStart w:id="100" w:name="_Toc15396618"/>
      <w:bookmarkStart w:id="101" w:name="_Toc1019"/>
      <w:bookmarkStart w:id="102" w:name="_Toc11130"/>
      <w:r>
        <w:rPr>
          <w:rFonts w:hint="eastAsia" w:ascii="黑体" w:hAnsi="黑体" w:eastAsia="黑体"/>
          <w:color w:val="000000"/>
          <w:sz w:val="44"/>
          <w:szCs w:val="44"/>
        </w:rPr>
        <w:t>第</w:t>
      </w:r>
      <w:r>
        <w:rPr>
          <w:rStyle w:val="25"/>
          <w:rFonts w:hint="eastAsia" w:ascii="黑体" w:hAnsi="黑体" w:eastAsia="黑体"/>
          <w:b w:val="0"/>
        </w:rPr>
        <w:t>五部分 附表</w:t>
      </w:r>
      <w:bookmarkEnd w:id="82"/>
      <w:bookmarkEnd w:id="100"/>
      <w:bookmarkEnd w:id="101"/>
      <w:bookmarkEnd w:id="102"/>
      <w:bookmarkStart w:id="103" w:name="_Toc15396619"/>
    </w:p>
    <w:p>
      <w:pPr>
        <w:pStyle w:val="4"/>
        <w:rPr>
          <w:rFonts w:hint="eastAsia" w:ascii="仿宋_GB2312" w:hAnsi="仿宋_GB2312" w:eastAsia="仿宋_GB2312" w:cs="仿宋_GB2312"/>
          <w:color w:val="000000"/>
        </w:rPr>
      </w:pPr>
      <w:bookmarkStart w:id="104" w:name="_Toc427"/>
      <w:bookmarkStart w:id="105" w:name="_Toc30428"/>
      <w:r>
        <w:rPr>
          <w:rFonts w:hint="eastAsia" w:ascii="仿宋_GB2312" w:hAnsi="仿宋_GB2312" w:eastAsia="仿宋_GB2312" w:cs="仿宋_GB2312"/>
          <w:b w:val="0"/>
          <w:color w:val="000000"/>
        </w:rPr>
        <w:t>一、收</w:t>
      </w:r>
      <w:r>
        <w:rPr>
          <w:rStyle w:val="26"/>
          <w:rFonts w:hint="eastAsia" w:ascii="仿宋_GB2312" w:hAnsi="仿宋_GB2312" w:eastAsia="仿宋_GB2312" w:cs="仿宋_GB2312"/>
          <w:b w:val="0"/>
          <w:bCs w:val="0"/>
        </w:rPr>
        <w:t>入支出决算总表</w:t>
      </w:r>
      <w:bookmarkEnd w:id="103"/>
      <w:bookmarkEnd w:id="104"/>
      <w:bookmarkEnd w:id="105"/>
    </w:p>
    <w:p>
      <w:pPr>
        <w:pStyle w:val="4"/>
        <w:rPr>
          <w:rFonts w:hint="eastAsia" w:ascii="仿宋_GB2312" w:hAnsi="仿宋_GB2312" w:eastAsia="仿宋_GB2312" w:cs="仿宋_GB2312"/>
          <w:color w:val="000000"/>
        </w:rPr>
      </w:pPr>
      <w:bookmarkStart w:id="106" w:name="_Toc14083"/>
      <w:bookmarkStart w:id="107" w:name="_Toc26918"/>
      <w:bookmarkStart w:id="108" w:name="_Toc15396620"/>
      <w:r>
        <w:rPr>
          <w:rFonts w:hint="eastAsia" w:ascii="仿宋_GB2312" w:hAnsi="仿宋_GB2312" w:eastAsia="仿宋_GB2312" w:cs="仿宋_GB2312"/>
          <w:b w:val="0"/>
          <w:color w:val="000000"/>
        </w:rPr>
        <w:t>二、收</w:t>
      </w:r>
      <w:r>
        <w:rPr>
          <w:rStyle w:val="26"/>
          <w:rFonts w:hint="eastAsia" w:ascii="仿宋_GB2312" w:hAnsi="仿宋_GB2312" w:eastAsia="仿宋_GB2312" w:cs="仿宋_GB2312"/>
          <w:b w:val="0"/>
          <w:bCs w:val="0"/>
        </w:rPr>
        <w:t>入决算表</w:t>
      </w:r>
      <w:bookmarkEnd w:id="106"/>
      <w:bookmarkEnd w:id="107"/>
      <w:bookmarkEnd w:id="108"/>
    </w:p>
    <w:p>
      <w:pPr>
        <w:pStyle w:val="4"/>
        <w:rPr>
          <w:rFonts w:hint="eastAsia" w:ascii="仿宋_GB2312" w:hAnsi="仿宋_GB2312" w:eastAsia="仿宋_GB2312" w:cs="仿宋_GB2312"/>
          <w:color w:val="000000"/>
        </w:rPr>
      </w:pPr>
      <w:bookmarkStart w:id="109" w:name="_Toc7860"/>
      <w:bookmarkStart w:id="110" w:name="_Toc21736"/>
      <w:bookmarkStart w:id="111" w:name="_Toc15396621"/>
      <w:r>
        <w:rPr>
          <w:rStyle w:val="2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6"/>
          <w:rFonts w:hint="eastAsia" w:ascii="仿宋_GB2312" w:hAnsi="仿宋_GB2312" w:eastAsia="仿宋_GB2312" w:cs="仿宋_GB2312"/>
          <w:b w:val="0"/>
          <w:bCs w:val="0"/>
        </w:rPr>
        <w:t>出决算表</w:t>
      </w:r>
      <w:bookmarkEnd w:id="109"/>
      <w:bookmarkEnd w:id="110"/>
      <w:bookmarkEnd w:id="111"/>
    </w:p>
    <w:p>
      <w:pPr>
        <w:pStyle w:val="4"/>
        <w:rPr>
          <w:rFonts w:hint="eastAsia" w:ascii="仿宋_GB2312" w:hAnsi="仿宋_GB2312" w:eastAsia="仿宋_GB2312" w:cs="仿宋_GB2312"/>
          <w:b w:val="0"/>
          <w:color w:val="000000"/>
        </w:rPr>
      </w:pPr>
      <w:bookmarkStart w:id="112" w:name="_Toc22440"/>
      <w:bookmarkStart w:id="113" w:name="_Toc18924"/>
      <w:bookmarkStart w:id="114" w:name="_Toc15396622"/>
      <w:r>
        <w:rPr>
          <w:rStyle w:val="2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政拨款收入支出决算总表</w:t>
      </w:r>
      <w:bookmarkEnd w:id="112"/>
      <w:bookmarkEnd w:id="113"/>
      <w:bookmarkEnd w:id="114"/>
    </w:p>
    <w:p>
      <w:pPr>
        <w:pStyle w:val="4"/>
        <w:rPr>
          <w:rStyle w:val="26"/>
          <w:rFonts w:hint="eastAsia" w:ascii="仿宋_GB2312" w:hAnsi="仿宋_GB2312" w:eastAsia="仿宋_GB2312" w:cs="仿宋_GB2312"/>
          <w:b w:val="0"/>
          <w:bCs w:val="0"/>
        </w:rPr>
      </w:pPr>
      <w:bookmarkStart w:id="115" w:name="_Toc374"/>
      <w:bookmarkStart w:id="116" w:name="_Toc15396623"/>
      <w:bookmarkStart w:id="117" w:name="_Toc1828"/>
      <w:r>
        <w:rPr>
          <w:rStyle w:val="2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政拨款支出决算明细表</w:t>
      </w:r>
      <w:bookmarkEnd w:id="115"/>
      <w:bookmarkEnd w:id="116"/>
      <w:bookmarkEnd w:id="117"/>
      <w:bookmarkStart w:id="118" w:name="_Toc15396624"/>
    </w:p>
    <w:p>
      <w:pPr>
        <w:pStyle w:val="4"/>
        <w:rPr>
          <w:rFonts w:hint="eastAsia" w:ascii="仿宋_GB2312" w:hAnsi="仿宋_GB2312" w:eastAsia="仿宋_GB2312" w:cs="仿宋_GB2312"/>
          <w:color w:val="000000"/>
        </w:rPr>
      </w:pPr>
      <w:bookmarkStart w:id="119" w:name="_Toc10838"/>
      <w:bookmarkStart w:id="120" w:name="_Toc6345"/>
      <w:r>
        <w:rPr>
          <w:rStyle w:val="2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般公共预算财政拨款支出决算表</w:t>
      </w:r>
      <w:bookmarkEnd w:id="118"/>
      <w:bookmarkEnd w:id="119"/>
      <w:bookmarkEnd w:id="120"/>
    </w:p>
    <w:p>
      <w:pPr>
        <w:pStyle w:val="4"/>
        <w:rPr>
          <w:rFonts w:hint="eastAsia" w:ascii="仿宋_GB2312" w:hAnsi="仿宋_GB2312" w:eastAsia="仿宋_GB2312" w:cs="仿宋_GB2312"/>
          <w:color w:val="000000"/>
        </w:rPr>
      </w:pPr>
      <w:bookmarkStart w:id="121" w:name="_Toc21483"/>
      <w:bookmarkStart w:id="122" w:name="_Toc10685"/>
      <w:bookmarkStart w:id="123" w:name="_Toc15396625"/>
      <w:r>
        <w:rPr>
          <w:rStyle w:val="2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般公共预算财政拨款支出决算明细表</w:t>
      </w:r>
      <w:bookmarkEnd w:id="121"/>
      <w:bookmarkEnd w:id="122"/>
      <w:bookmarkEnd w:id="123"/>
    </w:p>
    <w:p>
      <w:pPr>
        <w:pStyle w:val="4"/>
        <w:rPr>
          <w:rFonts w:hint="eastAsia" w:ascii="仿宋_GB2312" w:hAnsi="仿宋_GB2312" w:eastAsia="仿宋_GB2312" w:cs="仿宋_GB2312"/>
          <w:color w:val="000000"/>
        </w:rPr>
      </w:pPr>
      <w:bookmarkStart w:id="124" w:name="_Toc11878"/>
      <w:bookmarkStart w:id="125" w:name="_Toc15396626"/>
      <w:bookmarkStart w:id="126" w:name="_Toc14020"/>
      <w:r>
        <w:rPr>
          <w:rStyle w:val="2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般公共预算财政拨款基本支出决算表</w:t>
      </w:r>
      <w:bookmarkEnd w:id="124"/>
      <w:bookmarkEnd w:id="125"/>
      <w:bookmarkEnd w:id="126"/>
    </w:p>
    <w:p>
      <w:pPr>
        <w:pStyle w:val="4"/>
        <w:rPr>
          <w:rFonts w:hint="eastAsia" w:ascii="仿宋_GB2312" w:hAnsi="仿宋_GB2312" w:eastAsia="仿宋_GB2312" w:cs="仿宋_GB2312"/>
          <w:color w:val="000000"/>
        </w:rPr>
      </w:pPr>
      <w:bookmarkStart w:id="127" w:name="_Toc23400"/>
      <w:bookmarkStart w:id="128" w:name="_Toc3521"/>
      <w:bookmarkStart w:id="129" w:name="_Toc15396627"/>
      <w:r>
        <w:rPr>
          <w:rStyle w:val="2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般公共预算财政拨款项目支出决算表</w:t>
      </w:r>
      <w:bookmarkEnd w:id="127"/>
      <w:bookmarkEnd w:id="128"/>
      <w:bookmarkEnd w:id="129"/>
    </w:p>
    <w:p>
      <w:pPr>
        <w:pStyle w:val="4"/>
        <w:rPr>
          <w:rFonts w:hint="eastAsia" w:ascii="仿宋_GB2312" w:hAnsi="仿宋_GB2312" w:eastAsia="仿宋_GB2312" w:cs="仿宋_GB2312"/>
          <w:color w:val="000000"/>
        </w:rPr>
      </w:pPr>
      <w:bookmarkStart w:id="130" w:name="_Toc510"/>
      <w:bookmarkStart w:id="131" w:name="_Toc15396628"/>
      <w:bookmarkStart w:id="132" w:name="_Toc11264"/>
      <w:r>
        <w:rPr>
          <w:rStyle w:val="2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般公共预算财政拨款“三公”经费支出决算表</w:t>
      </w:r>
      <w:bookmarkEnd w:id="130"/>
      <w:bookmarkEnd w:id="131"/>
      <w:bookmarkEnd w:id="132"/>
    </w:p>
    <w:p>
      <w:pPr>
        <w:pStyle w:val="4"/>
        <w:rPr>
          <w:rFonts w:hint="eastAsia" w:ascii="仿宋_GB2312" w:hAnsi="仿宋_GB2312" w:eastAsia="仿宋_GB2312" w:cs="仿宋_GB2312"/>
          <w:color w:val="000000"/>
        </w:rPr>
      </w:pPr>
      <w:bookmarkStart w:id="133" w:name="_Toc16959"/>
      <w:bookmarkStart w:id="134" w:name="_Toc15396629"/>
      <w:bookmarkStart w:id="135" w:name="_Toc10664"/>
      <w:r>
        <w:rPr>
          <w:rStyle w:val="2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府性基金预算财政拨款收入支出决算表</w:t>
      </w:r>
      <w:bookmarkEnd w:id="133"/>
      <w:bookmarkEnd w:id="134"/>
      <w:bookmarkEnd w:id="135"/>
    </w:p>
    <w:p>
      <w:pPr>
        <w:pStyle w:val="4"/>
        <w:rPr>
          <w:rFonts w:hint="eastAsia" w:ascii="仿宋_GB2312" w:hAnsi="仿宋_GB2312" w:eastAsia="仿宋_GB2312" w:cs="仿宋_GB2312"/>
          <w:color w:val="000000"/>
        </w:rPr>
      </w:pPr>
      <w:bookmarkStart w:id="136" w:name="_Toc5528"/>
      <w:bookmarkStart w:id="137" w:name="_Toc31417"/>
      <w:bookmarkStart w:id="138" w:name="_Toc15396630"/>
      <w:r>
        <w:rPr>
          <w:rStyle w:val="2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府性基金预算财政拨款“三公”经费支出决算表</w:t>
      </w:r>
      <w:bookmarkEnd w:id="136"/>
      <w:bookmarkEnd w:id="137"/>
      <w:bookmarkEnd w:id="138"/>
    </w:p>
    <w:p>
      <w:pPr>
        <w:pStyle w:val="4"/>
        <w:rPr>
          <w:rStyle w:val="26"/>
          <w:rFonts w:hint="eastAsia" w:ascii="仿宋_GB2312" w:hAnsi="仿宋_GB2312" w:eastAsia="仿宋_GB2312" w:cs="仿宋_GB2312"/>
          <w:b w:val="0"/>
          <w:bCs w:val="0"/>
        </w:rPr>
      </w:pPr>
      <w:bookmarkStart w:id="139" w:name="_Toc13591"/>
      <w:bookmarkStart w:id="140" w:name="_Toc15396631"/>
      <w:bookmarkStart w:id="141" w:name="_Toc18800"/>
      <w:r>
        <w:rPr>
          <w:rStyle w:val="2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6"/>
          <w:rFonts w:hint="eastAsia" w:ascii="仿宋_GB2312" w:hAnsi="仿宋_GB2312" w:eastAsia="仿宋_GB2312" w:cs="仿宋_GB2312"/>
          <w:b w:val="0"/>
          <w:bCs w:val="0"/>
        </w:rPr>
        <w:t>有资本经营预算</w:t>
      </w:r>
      <w:r>
        <w:rPr>
          <w:rStyle w:val="26"/>
          <w:rFonts w:hint="eastAsia" w:ascii="仿宋_GB2312" w:hAnsi="仿宋_GB2312" w:eastAsia="仿宋_GB2312" w:cs="仿宋_GB2312"/>
          <w:b w:val="0"/>
          <w:bCs w:val="0"/>
          <w:lang w:eastAsia="zh-CN"/>
        </w:rPr>
        <w:t>财政拨款收入</w:t>
      </w:r>
      <w:r>
        <w:rPr>
          <w:rStyle w:val="26"/>
          <w:rFonts w:hint="eastAsia" w:ascii="仿宋_GB2312" w:hAnsi="仿宋_GB2312" w:eastAsia="仿宋_GB2312" w:cs="仿宋_GB2312"/>
          <w:b w:val="0"/>
          <w:bCs w:val="0"/>
        </w:rPr>
        <w:t>支出决算表</w:t>
      </w:r>
      <w:bookmarkEnd w:id="139"/>
      <w:bookmarkEnd w:id="140"/>
      <w:bookmarkEnd w:id="141"/>
    </w:p>
    <w:p>
      <w:pPr>
        <w:rPr>
          <w:rFonts w:hint="eastAsia" w:ascii="仿宋_GB2312" w:hAnsi="仿宋_GB2312" w:eastAsia="仿宋_GB2312" w:cs="仿宋_GB2312"/>
          <w:lang w:eastAsia="zh-CN"/>
        </w:rPr>
      </w:pPr>
      <w:bookmarkStart w:id="142" w:name="_Toc9633"/>
      <w:bookmarkStart w:id="143" w:name="_Toc6730"/>
      <w:r>
        <w:rPr>
          <w:rStyle w:val="26"/>
          <w:rFonts w:hint="eastAsia" w:ascii="仿宋_GB2312" w:hAnsi="仿宋_GB2312" w:eastAsia="仿宋_GB2312" w:cs="仿宋_GB2312"/>
          <w:b w:val="0"/>
          <w:bCs w:val="0"/>
          <w:lang w:eastAsia="zh-CN"/>
        </w:rPr>
        <w:t>十四、国有资本经营预算财政拨款支出决算表</w:t>
      </w:r>
      <w:bookmarkEnd w:id="142"/>
      <w:bookmarkEnd w:id="14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34457"/>
    <w:multiLevelType w:val="singleLevel"/>
    <w:tmpl w:val="A9534457"/>
    <w:lvl w:ilvl="0" w:tentative="0">
      <w:start w:val="5"/>
      <w:numFmt w:val="chineseCounting"/>
      <w:suff w:val="nothing"/>
      <w:lvlText w:val="%1、"/>
      <w:lvlJc w:val="left"/>
      <w:rPr>
        <w:rFonts w:hint="eastAsia"/>
      </w:rPr>
    </w:lvl>
  </w:abstractNum>
  <w:abstractNum w:abstractNumId="1">
    <w:nsid w:val="B8BC8524"/>
    <w:multiLevelType w:val="singleLevel"/>
    <w:tmpl w:val="B8BC8524"/>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846DBD9"/>
    <w:multiLevelType w:val="singleLevel"/>
    <w:tmpl w:val="F846DBD9"/>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064A595"/>
    <w:multiLevelType w:val="singleLevel"/>
    <w:tmpl w:val="3064A595"/>
    <w:lvl w:ilvl="0" w:tentative="0">
      <w:start w:val="1"/>
      <w:numFmt w:val="chineseCounting"/>
      <w:suff w:val="nothing"/>
      <w:lvlText w:val="%1、"/>
      <w:lvlJc w:val="left"/>
      <w:rPr>
        <w:rFonts w:hint="eastAsia"/>
      </w:rPr>
    </w:lvl>
  </w:abstractNum>
  <w:abstractNum w:abstractNumId="7">
    <w:nsid w:val="3D6F4198"/>
    <w:multiLevelType w:val="singleLevel"/>
    <w:tmpl w:val="3D6F4198"/>
    <w:lvl w:ilvl="0" w:tentative="0">
      <w:start w:val="1"/>
      <w:numFmt w:val="decimal"/>
      <w:lvlText w:val="%1."/>
      <w:lvlJc w:val="left"/>
      <w:pPr>
        <w:tabs>
          <w:tab w:val="left" w:pos="312"/>
        </w:tabs>
      </w:pPr>
    </w:lvl>
  </w:abstractNum>
  <w:abstractNum w:abstractNumId="8">
    <w:nsid w:val="664869FC"/>
    <w:multiLevelType w:val="singleLevel"/>
    <w:tmpl w:val="664869FC"/>
    <w:lvl w:ilvl="0" w:tentative="0">
      <w:start w:val="7"/>
      <w:numFmt w:val="chineseCounting"/>
      <w:suff w:val="nothing"/>
      <w:lvlText w:val="%1、"/>
      <w:lvlJc w:val="left"/>
      <w:rPr>
        <w:rFonts w:hint="eastAsia"/>
      </w:rPr>
    </w:lvl>
  </w:abstractNum>
  <w:num w:numId="1">
    <w:abstractNumId w:val="5"/>
  </w:num>
  <w:num w:numId="2">
    <w:abstractNumId w:val="8"/>
  </w:num>
  <w:num w:numId="3">
    <w:abstractNumId w:val="2"/>
  </w:num>
  <w:num w:numId="4">
    <w:abstractNumId w:val="1"/>
  </w:num>
  <w:num w:numId="5">
    <w:abstractNumId w:val="3"/>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C719C"/>
    <w:rsid w:val="0A2032A3"/>
    <w:rsid w:val="0AC93BA4"/>
    <w:rsid w:val="10C055FF"/>
    <w:rsid w:val="117D6B0D"/>
    <w:rsid w:val="118107EC"/>
    <w:rsid w:val="12006EF3"/>
    <w:rsid w:val="16BB723D"/>
    <w:rsid w:val="18015F3F"/>
    <w:rsid w:val="1AF57FF0"/>
    <w:rsid w:val="1BE8440E"/>
    <w:rsid w:val="1D155CEE"/>
    <w:rsid w:val="20F57F95"/>
    <w:rsid w:val="240371BF"/>
    <w:rsid w:val="29FD04D3"/>
    <w:rsid w:val="2ABE7A3E"/>
    <w:rsid w:val="312E5288"/>
    <w:rsid w:val="319F7F4E"/>
    <w:rsid w:val="362E253A"/>
    <w:rsid w:val="36D0355B"/>
    <w:rsid w:val="3DFB5506"/>
    <w:rsid w:val="482066F0"/>
    <w:rsid w:val="496F39ED"/>
    <w:rsid w:val="4BE068DB"/>
    <w:rsid w:val="4ECE2238"/>
    <w:rsid w:val="51C95FD9"/>
    <w:rsid w:val="52D44A74"/>
    <w:rsid w:val="564A5871"/>
    <w:rsid w:val="5F3016CE"/>
    <w:rsid w:val="607F72F6"/>
    <w:rsid w:val="6A473258"/>
    <w:rsid w:val="6A9A4B1C"/>
    <w:rsid w:val="6C4A05C8"/>
    <w:rsid w:val="6E3C48E1"/>
    <w:rsid w:val="72734D90"/>
    <w:rsid w:val="73FA724E"/>
    <w:rsid w:val="76C917BB"/>
    <w:rsid w:val="7C7159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able of figures1"/>
    <w:basedOn w:val="1"/>
    <w:next w:val="1"/>
    <w:qFormat/>
    <w:uiPriority w:val="0"/>
    <w:pPr>
      <w:jc w:val="left"/>
    </w:pPr>
    <w:rPr>
      <w:rFonts w:ascii="Calibri" w:hAnsi="Calibri"/>
      <w:kern w:val="0"/>
      <w:szCs w:val="21"/>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5">
                <a:lumMod val="40000"/>
                <a:lumOff val="60000"/>
              </a:schemeClr>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570.76</c:v>
                </c:pt>
              </c:numCache>
            </c:numRef>
          </c:val>
        </c:ser>
        <c:ser>
          <c:idx val="1"/>
          <c:order val="1"/>
          <c:tx>
            <c:strRef>
              <c:f>Sheet1!$C$1</c:f>
              <c:strCache>
                <c:ptCount val="1"/>
                <c:pt idx="0">
                  <c:v>2020年度</c:v>
                </c:pt>
              </c:strCache>
            </c:strRef>
          </c:tx>
          <c:spPr>
            <a:solidFill>
              <a:schemeClr val="accent2">
                <a:lumMod val="20000"/>
                <a:lumOff val="8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539.42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majorUnit val="20"/>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261899189590118"/>
          <c:y val="0.0276168441321436"/>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a:solidFill>
              <a:schemeClr val="accent5">
                <a:lumMod val="20000"/>
                <a:lumOff val="80000"/>
              </a:schemeClr>
            </a:solidFill>
          </c:spPr>
          <c:explosion val="0"/>
          <c:dPt>
            <c:idx val="0"/>
            <c:bubble3D val="0"/>
            <c:spPr>
              <a:solidFill>
                <a:schemeClr val="accent5">
                  <a:lumMod val="20000"/>
                  <a:lumOff val="80000"/>
                </a:schemeClr>
              </a:solidFill>
              <a:ln w="19050">
                <a:solidFill>
                  <a:schemeClr val="lt1"/>
                </a:solidFill>
              </a:ln>
              <a:effectLst/>
            </c:spPr>
          </c:dPt>
          <c:dPt>
            <c:idx val="1"/>
            <c:bubble3D val="0"/>
            <c:spPr>
              <a:solidFill>
                <a:schemeClr val="accent2">
                  <a:lumMod val="20000"/>
                  <a:lumOff val="8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General</c:formatCode>
                <c:ptCount val="2"/>
                <c:pt idx="0">
                  <c:v>515.76</c:v>
                </c:pt>
                <c:pt idx="1">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tx1"/>
                </a:solidFill>
                <a:uFill>
                  <a:solidFill>
                    <a:schemeClr val="tx1"/>
                  </a:solidFill>
                </a:uFill>
                <a:latin typeface="+mn-lt"/>
                <a:ea typeface="+mn-ea"/>
                <a:cs typeface="+mn-cs"/>
              </a:defRPr>
            </a:pPr>
            <a:r>
              <a:rPr u="none" strike="noStrike" cap="none" normalizeH="0">
                <a:solidFill>
                  <a:schemeClr val="tx1"/>
                </a:solidFill>
                <a:uFill>
                  <a:solidFill>
                    <a:schemeClr val="tx1"/>
                  </a:solidFill>
                </a:uFill>
              </a:rPr>
              <a:t>图三：支出决算结构图</a:t>
            </a:r>
            <a:endParaRPr u="none" strike="noStrike" cap="none" normalizeH="0">
              <a:solidFill>
                <a:schemeClr val="tx1"/>
              </a:solidFill>
              <a:uFill>
                <a:solidFill>
                  <a:schemeClr val="tx1"/>
                </a:solidFill>
              </a:uFill>
            </a:endParaRP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lumMod val="40000"/>
                  <a:lumOff val="60000"/>
                </a:schemeClr>
              </a:solidFill>
              <a:ln w="19050">
                <a:solidFill>
                  <a:schemeClr val="lt1"/>
                </a:solidFill>
              </a:ln>
              <a:effectLst/>
            </c:spPr>
          </c:dPt>
          <c:dPt>
            <c:idx val="1"/>
            <c:bubble3D val="0"/>
            <c:spPr>
              <a:solidFill>
                <a:schemeClr val="accent2">
                  <a:lumMod val="40000"/>
                  <a:lumOff val="60000"/>
                </a:schemeClr>
              </a:solidFill>
              <a:ln w="19050">
                <a:solidFill>
                  <a:schemeClr val="lt1"/>
                </a:solidFill>
              </a:ln>
              <a:effectLst/>
            </c:spPr>
          </c:dPt>
          <c:dLbls>
            <c:dLbl>
              <c:idx val="0"/>
              <c:layout>
                <c:manualLayout>
                  <c:x val="-0.1171929287598"/>
                  <c:y val="-0.1143121496167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2314875411391"/>
                  <c:y val="0.1294266244589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73.21</c:v>
                </c:pt>
                <c:pt idx="1">
                  <c:v>26.79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图四：财政拨款收、支总计变动情况</a:t>
            </a:r>
          </a:p>
        </c:rich>
      </c:tx>
      <c:layout>
        <c:manualLayout>
          <c:xMode val="edge"/>
          <c:yMode val="edge"/>
          <c:x val="0.234038672017512"/>
          <c:y val="0.020902281832433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5">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543.26</c:v>
                </c:pt>
              </c:numCache>
            </c:numRef>
          </c:val>
        </c:ser>
        <c:ser>
          <c:idx val="1"/>
          <c:order val="1"/>
          <c:tx>
            <c:strRef>
              <c:f>Sheet1!$C$1</c:f>
              <c:strCache>
                <c:ptCount val="1"/>
                <c:pt idx="0">
                  <c:v>2020年度</c:v>
                </c:pt>
              </c:strCache>
            </c:strRef>
          </c:tx>
          <c:spPr>
            <a:solidFill>
              <a:schemeClr val="accent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515.76</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majorUnit val="10"/>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图五：一般公共预算财政拨款支出决算变动情况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5">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543.26</c:v>
                </c:pt>
              </c:numCache>
            </c:numRef>
          </c:val>
        </c:ser>
        <c:ser>
          <c:idx val="1"/>
          <c:order val="1"/>
          <c:tx>
            <c:strRef>
              <c:f>Sheet1!$C$1</c:f>
              <c:strCache>
                <c:ptCount val="1"/>
                <c:pt idx="0">
                  <c:v>2020年度</c:v>
                </c:pt>
              </c:strCache>
            </c:strRef>
          </c:tx>
          <c:spPr>
            <a:solidFill>
              <a:schemeClr val="accent2">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515.76</c:v>
                </c:pt>
              </c:numCache>
            </c:numRef>
          </c:val>
        </c:ser>
        <c:dLbls>
          <c:showLegendKey val="0"/>
          <c:showVal val="1"/>
          <c:showCatName val="0"/>
          <c:showSerName val="0"/>
          <c:showPercent val="0"/>
          <c:showBubbleSize val="0"/>
        </c:dLbls>
        <c:gapWidth val="219"/>
        <c:overlap val="-27"/>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majorUnit val="2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图六：一般公共预算财政拨款支出决算结构</a:t>
            </a:r>
          </a:p>
        </c:rich>
      </c:tx>
      <c:layout>
        <c:manualLayout>
          <c:xMode val="edge"/>
          <c:yMode val="edge"/>
          <c:x val="0.168669527896996"/>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5">
                  <a:lumMod val="40000"/>
                  <a:lumOff val="60000"/>
                </a:schemeClr>
              </a:solidFill>
              <a:ln w="19050">
                <a:solidFill>
                  <a:schemeClr val="lt1"/>
                </a:solidFill>
              </a:ln>
              <a:effectLst/>
            </c:spPr>
          </c:dPt>
          <c:dPt>
            <c:idx val="1"/>
            <c:bubble3D val="0"/>
            <c:spPr>
              <a:solidFill>
                <a:schemeClr val="accent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社会保障和就业</c:v>
                </c:pt>
                <c:pt idx="2">
                  <c:v>医疗卫生支出</c:v>
                </c:pt>
                <c:pt idx="3">
                  <c:v>住房保障支出</c:v>
                </c:pt>
                <c:pt idx="4">
                  <c:v>教育支出</c:v>
                </c:pt>
              </c:strCache>
            </c:strRef>
          </c:cat>
          <c:val>
            <c:numRef>
              <c:f>Sheet1!$B$2:$B$6</c:f>
              <c:numCache>
                <c:formatCode>General</c:formatCode>
                <c:ptCount val="5"/>
                <c:pt idx="0">
                  <c:v>536.5</c:v>
                </c:pt>
                <c:pt idx="1">
                  <c:v>37.79</c:v>
                </c:pt>
                <c:pt idx="2">
                  <c:v>7.75</c:v>
                </c:pt>
                <c:pt idx="3">
                  <c:v>29.48</c:v>
                </c:pt>
                <c:pt idx="4">
                  <c:v>0.31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altLang="en-US"/>
              <a:t>七：</a:t>
            </a: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5">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3626651861799"/>
                  <c:y val="0.05307888473245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25.1</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8c5fe4-a165-4908-87c7-e7bca2e67f0b}"/>
        <w:style w:val=""/>
        <w:category>
          <w:name w:val="常规"/>
          <w:gallery w:val="placeholder"/>
        </w:category>
        <w:types>
          <w:type w:val="bbPlcHdr"/>
        </w:types>
        <w:behaviors>
          <w:behavior w:val="content"/>
        </w:behaviors>
        <w:description w:val=""/>
        <w:guid w:val="{348c5fe4-a165-4908-87c7-e7bca2e67f0b}"/>
      </w:docPartPr>
      <w:docPartBody>
        <w:p>
          <w:r>
            <w:rPr>
              <w:color w:val="808080"/>
            </w:rPr>
            <w:t>单击此处输入文字。</w:t>
          </w:r>
        </w:p>
      </w:docPartBody>
    </w:docPart>
    <w:docPart>
      <w:docPartPr>
        <w:name w:val="{3699ea86-5055-49f3-bab1-e737c4f41d00}"/>
        <w:style w:val=""/>
        <w:category>
          <w:name w:val="常规"/>
          <w:gallery w:val="placeholder"/>
        </w:category>
        <w:types>
          <w:type w:val="bbPlcHdr"/>
        </w:types>
        <w:behaviors>
          <w:behavior w:val="content"/>
        </w:behaviors>
        <w:description w:val=""/>
        <w:guid w:val="{3699ea86-5055-49f3-bab1-e737c4f41d00}"/>
      </w:docPartPr>
      <w:docPartBody>
        <w:p>
          <w:r>
            <w:rPr>
              <w:color w:val="808080"/>
            </w:rPr>
            <w:t>单击此处输入文字。</w:t>
          </w:r>
        </w:p>
      </w:docPartBody>
    </w:docPart>
    <w:docPart>
      <w:docPartPr>
        <w:name w:val="{f14208d0-0fe6-4f5c-ba03-fbe66cd03898}"/>
        <w:style w:val=""/>
        <w:category>
          <w:name w:val="常规"/>
          <w:gallery w:val="placeholder"/>
        </w:category>
        <w:types>
          <w:type w:val="bbPlcHdr"/>
        </w:types>
        <w:behaviors>
          <w:behavior w:val="content"/>
        </w:behaviors>
        <w:description w:val=""/>
        <w:guid w:val="{f14208d0-0fe6-4f5c-ba03-fbe66cd03898}"/>
      </w:docPartPr>
      <w:docPartBody>
        <w:p>
          <w:r>
            <w:rPr>
              <w:color w:val="808080"/>
            </w:rPr>
            <w:t>单击此处输入文字。</w:t>
          </w:r>
        </w:p>
      </w:docPartBody>
    </w:docPart>
    <w:docPart>
      <w:docPartPr>
        <w:name w:val="{89dcc005-1afe-4c54-a3ae-f29759bb5af1}"/>
        <w:style w:val=""/>
        <w:category>
          <w:name w:val="常规"/>
          <w:gallery w:val="placeholder"/>
        </w:category>
        <w:types>
          <w:type w:val="bbPlcHdr"/>
        </w:types>
        <w:behaviors>
          <w:behavior w:val="content"/>
        </w:behaviors>
        <w:description w:val=""/>
        <w:guid w:val="{89dcc005-1afe-4c54-a3ae-f29759bb5af1}"/>
      </w:docPartPr>
      <w:docPartBody>
        <w:p>
          <w:r>
            <w:rPr>
              <w:color w:val="808080"/>
            </w:rPr>
            <w:t>单击此处输入文字。</w:t>
          </w:r>
        </w:p>
      </w:docPartBody>
    </w:docPart>
    <w:docPart>
      <w:docPartPr>
        <w:name w:val="{53b87086-6096-4e65-9936-e1b384367dff}"/>
        <w:style w:val=""/>
        <w:category>
          <w:name w:val="常规"/>
          <w:gallery w:val="placeholder"/>
        </w:category>
        <w:types>
          <w:type w:val="bbPlcHdr"/>
        </w:types>
        <w:behaviors>
          <w:behavior w:val="content"/>
        </w:behaviors>
        <w:description w:val=""/>
        <w:guid w:val="{53b87086-6096-4e65-9936-e1b384367dff}"/>
      </w:docPartPr>
      <w:docPartBody>
        <w:p>
          <w:r>
            <w:rPr>
              <w:color w:val="808080"/>
            </w:rPr>
            <w:t>单击此处输入文字。</w:t>
          </w:r>
        </w:p>
      </w:docPartBody>
    </w:docPart>
    <w:docPart>
      <w:docPartPr>
        <w:name w:val="{7839daca-420b-4da9-abb2-4e29386a201b}"/>
        <w:style w:val=""/>
        <w:category>
          <w:name w:val="常规"/>
          <w:gallery w:val="placeholder"/>
        </w:category>
        <w:types>
          <w:type w:val="bbPlcHdr"/>
        </w:types>
        <w:behaviors>
          <w:behavior w:val="content"/>
        </w:behaviors>
        <w:description w:val=""/>
        <w:guid w:val="{7839daca-420b-4da9-abb2-4e29386a201b}"/>
      </w:docPartPr>
      <w:docPartBody>
        <w:p>
          <w:r>
            <w:rPr>
              <w:color w:val="808080"/>
            </w:rPr>
            <w:t>单击此处输入文字。</w:t>
          </w:r>
        </w:p>
      </w:docPartBody>
    </w:docPart>
    <w:docPart>
      <w:docPartPr>
        <w:name w:val="{1c7e09c4-1f7b-426c-a479-7335062d75bd}"/>
        <w:style w:val=""/>
        <w:category>
          <w:name w:val="常规"/>
          <w:gallery w:val="placeholder"/>
        </w:category>
        <w:types>
          <w:type w:val="bbPlcHdr"/>
        </w:types>
        <w:behaviors>
          <w:behavior w:val="content"/>
        </w:behaviors>
        <w:description w:val=""/>
        <w:guid w:val="{1c7e09c4-1f7b-426c-a479-7335062d75bd}"/>
      </w:docPartPr>
      <w:docPartBody>
        <w:p>
          <w:r>
            <w:rPr>
              <w:color w:val="808080"/>
            </w:rPr>
            <w:t>单击此处输入文字。</w:t>
          </w:r>
        </w:p>
      </w:docPartBody>
    </w:docPart>
    <w:docPart>
      <w:docPartPr>
        <w:name w:val="{187cce91-978e-4134-9ef3-b3caf87541ad}"/>
        <w:style w:val=""/>
        <w:category>
          <w:name w:val="常规"/>
          <w:gallery w:val="placeholder"/>
        </w:category>
        <w:types>
          <w:type w:val="bbPlcHdr"/>
        </w:types>
        <w:behaviors>
          <w:behavior w:val="content"/>
        </w:behaviors>
        <w:description w:val=""/>
        <w:guid w:val="{187cce91-978e-4134-9ef3-b3caf87541ad}"/>
      </w:docPartPr>
      <w:docPartBody>
        <w:p>
          <w:r>
            <w:rPr>
              <w:color w:val="808080"/>
            </w:rPr>
            <w:t>单击此处输入文字。</w:t>
          </w:r>
        </w:p>
      </w:docPartBody>
    </w:docPart>
    <w:docPart>
      <w:docPartPr>
        <w:name w:val="{9b6e55ea-0643-4a18-9a39-73a5c2102373}"/>
        <w:style w:val=""/>
        <w:category>
          <w:name w:val="常规"/>
          <w:gallery w:val="placeholder"/>
        </w:category>
        <w:types>
          <w:type w:val="bbPlcHdr"/>
        </w:types>
        <w:behaviors>
          <w:behavior w:val="content"/>
        </w:behaviors>
        <w:description w:val=""/>
        <w:guid w:val="{9b6e55ea-0643-4a18-9a39-73a5c2102373}"/>
      </w:docPartPr>
      <w:docPartBody>
        <w:p>
          <w:r>
            <w:rPr>
              <w:color w:val="808080"/>
            </w:rPr>
            <w:t>单击此处输入文字。</w:t>
          </w:r>
        </w:p>
      </w:docPartBody>
    </w:docPart>
    <w:docPart>
      <w:docPartPr>
        <w:name w:val="{41082d96-6999-42c1-8ee0-b519ac8b7bcf}"/>
        <w:style w:val=""/>
        <w:category>
          <w:name w:val="常规"/>
          <w:gallery w:val="placeholder"/>
        </w:category>
        <w:types>
          <w:type w:val="bbPlcHdr"/>
        </w:types>
        <w:behaviors>
          <w:behavior w:val="content"/>
        </w:behaviors>
        <w:description w:val=""/>
        <w:guid w:val="{41082d96-6999-42c1-8ee0-b519ac8b7bcf}"/>
      </w:docPartPr>
      <w:docPartBody>
        <w:p>
          <w:r>
            <w:rPr>
              <w:color w:val="808080"/>
            </w:rPr>
            <w:t>单击此处输入文字。</w:t>
          </w:r>
        </w:p>
      </w:docPartBody>
    </w:docPart>
    <w:docPart>
      <w:docPartPr>
        <w:name w:val="{714cea6f-42da-4b1a-a64a-10f153f7c2bd}"/>
        <w:style w:val=""/>
        <w:category>
          <w:name w:val="常规"/>
          <w:gallery w:val="placeholder"/>
        </w:category>
        <w:types>
          <w:type w:val="bbPlcHdr"/>
        </w:types>
        <w:behaviors>
          <w:behavior w:val="content"/>
        </w:behaviors>
        <w:description w:val=""/>
        <w:guid w:val="{714cea6f-42da-4b1a-a64a-10f153f7c2bd}"/>
      </w:docPartPr>
      <w:docPartBody>
        <w:p>
          <w:r>
            <w:rPr>
              <w:color w:val="808080"/>
            </w:rPr>
            <w:t>单击此处输入文字。</w:t>
          </w:r>
        </w:p>
      </w:docPartBody>
    </w:docPart>
    <w:docPart>
      <w:docPartPr>
        <w:name w:val="{a95c2f60-6bb1-4de0-8704-16aa7deb9d5e}"/>
        <w:style w:val=""/>
        <w:category>
          <w:name w:val="常规"/>
          <w:gallery w:val="placeholder"/>
        </w:category>
        <w:types>
          <w:type w:val="bbPlcHdr"/>
        </w:types>
        <w:behaviors>
          <w:behavior w:val="content"/>
        </w:behaviors>
        <w:description w:val=""/>
        <w:guid w:val="{a95c2f60-6bb1-4de0-8704-16aa7deb9d5e}"/>
      </w:docPartPr>
      <w:docPartBody>
        <w:p>
          <w:r>
            <w:rPr>
              <w:color w:val="808080"/>
            </w:rPr>
            <w:t>单击此处输入文字。</w:t>
          </w:r>
        </w:p>
      </w:docPartBody>
    </w:docPart>
    <w:docPart>
      <w:docPartPr>
        <w:name w:val="{6cf5eea8-ff49-4c52-b1c3-80709f6a3766}"/>
        <w:style w:val=""/>
        <w:category>
          <w:name w:val="常规"/>
          <w:gallery w:val="placeholder"/>
        </w:category>
        <w:types>
          <w:type w:val="bbPlcHdr"/>
        </w:types>
        <w:behaviors>
          <w:behavior w:val="content"/>
        </w:behaviors>
        <w:description w:val=""/>
        <w:guid w:val="{6cf5eea8-ff49-4c52-b1c3-80709f6a3766}"/>
      </w:docPartPr>
      <w:docPartBody>
        <w:p>
          <w:r>
            <w:rPr>
              <w:color w:val="808080"/>
            </w:rPr>
            <w:t>单击此处输入文字。</w:t>
          </w:r>
        </w:p>
      </w:docPartBody>
    </w:docPart>
    <w:docPart>
      <w:docPartPr>
        <w:name w:val="{6209e9c4-a1dc-425c-9bda-1e77a74d6c57}"/>
        <w:style w:val=""/>
        <w:category>
          <w:name w:val="常规"/>
          <w:gallery w:val="placeholder"/>
        </w:category>
        <w:types>
          <w:type w:val="bbPlcHdr"/>
        </w:types>
        <w:behaviors>
          <w:behavior w:val="content"/>
        </w:behaviors>
        <w:description w:val=""/>
        <w:guid w:val="{6209e9c4-a1dc-425c-9bda-1e77a74d6c57}"/>
      </w:docPartPr>
      <w:docPartBody>
        <w:p>
          <w:r>
            <w:rPr>
              <w:color w:val="808080"/>
            </w:rPr>
            <w:t>单击此处输入文字。</w:t>
          </w:r>
        </w:p>
      </w:docPartBody>
    </w:docPart>
    <w:docPart>
      <w:docPartPr>
        <w:name w:val="{b5604053-5c7b-4f04-9863-05ec55e52c36}"/>
        <w:style w:val=""/>
        <w:category>
          <w:name w:val="常规"/>
          <w:gallery w:val="placeholder"/>
        </w:category>
        <w:types>
          <w:type w:val="bbPlcHdr"/>
        </w:types>
        <w:behaviors>
          <w:behavior w:val="content"/>
        </w:behaviors>
        <w:description w:val=""/>
        <w:guid w:val="{b5604053-5c7b-4f04-9863-05ec55e52c36}"/>
      </w:docPartPr>
      <w:docPartBody>
        <w:p>
          <w:r>
            <w:rPr>
              <w:color w:val="808080"/>
            </w:rPr>
            <w:t>单击此处输入文字。</w:t>
          </w:r>
        </w:p>
      </w:docPartBody>
    </w:docPart>
    <w:docPart>
      <w:docPartPr>
        <w:name w:val="{a6d1841a-f383-4347-a290-4b76c2b162e3}"/>
        <w:style w:val=""/>
        <w:category>
          <w:name w:val="常规"/>
          <w:gallery w:val="placeholder"/>
        </w:category>
        <w:types>
          <w:type w:val="bbPlcHdr"/>
        </w:types>
        <w:behaviors>
          <w:behavior w:val="content"/>
        </w:behaviors>
        <w:description w:val=""/>
        <w:guid w:val="{a6d1841a-f383-4347-a290-4b76c2b162e3}"/>
      </w:docPartPr>
      <w:docPartBody>
        <w:p>
          <w:r>
            <w:rPr>
              <w:color w:val="808080"/>
            </w:rPr>
            <w:t>单击此处输入文字。</w:t>
          </w:r>
        </w:p>
      </w:docPartBody>
    </w:docPart>
    <w:docPart>
      <w:docPartPr>
        <w:name w:val="{895ca116-ce6d-4f33-b64e-48bafac484b4}"/>
        <w:style w:val=""/>
        <w:category>
          <w:name w:val="常规"/>
          <w:gallery w:val="placeholder"/>
        </w:category>
        <w:types>
          <w:type w:val="bbPlcHdr"/>
        </w:types>
        <w:behaviors>
          <w:behavior w:val="content"/>
        </w:behaviors>
        <w:description w:val=""/>
        <w:guid w:val="{895ca116-ce6d-4f33-b64e-48bafac484b4}"/>
      </w:docPartPr>
      <w:docPartBody>
        <w:p>
          <w:r>
            <w:rPr>
              <w:color w:val="808080"/>
            </w:rPr>
            <w:t>单击此处输入文字。</w:t>
          </w:r>
        </w:p>
      </w:docPartBody>
    </w:docPart>
    <w:docPart>
      <w:docPartPr>
        <w:name w:val="{585306eb-44d4-4dbb-b11d-e2ef6c3eb958}"/>
        <w:style w:val=""/>
        <w:category>
          <w:name w:val="常规"/>
          <w:gallery w:val="placeholder"/>
        </w:category>
        <w:types>
          <w:type w:val="bbPlcHdr"/>
        </w:types>
        <w:behaviors>
          <w:behavior w:val="content"/>
        </w:behaviors>
        <w:description w:val=""/>
        <w:guid w:val="{585306eb-44d4-4dbb-b11d-e2ef6c3eb958}"/>
      </w:docPartPr>
      <w:docPartBody>
        <w:p>
          <w:r>
            <w:rPr>
              <w:color w:val="808080"/>
            </w:rPr>
            <w:t>单击此处输入文字。</w:t>
          </w:r>
        </w:p>
      </w:docPartBody>
    </w:docPart>
    <w:docPart>
      <w:docPartPr>
        <w:name w:val="{b0557760-aa4c-4b82-b8c2-d74afe7e931a}"/>
        <w:style w:val=""/>
        <w:category>
          <w:name w:val="常规"/>
          <w:gallery w:val="placeholder"/>
        </w:category>
        <w:types>
          <w:type w:val="bbPlcHdr"/>
        </w:types>
        <w:behaviors>
          <w:behavior w:val="content"/>
        </w:behaviors>
        <w:description w:val=""/>
        <w:guid w:val="{b0557760-aa4c-4b82-b8c2-d74afe7e931a}"/>
      </w:docPartPr>
      <w:docPartBody>
        <w:p>
          <w:r>
            <w:rPr>
              <w:color w:val="808080"/>
            </w:rPr>
            <w:t>单击此处输入文字。</w:t>
          </w:r>
        </w:p>
      </w:docPartBody>
    </w:docPart>
    <w:docPart>
      <w:docPartPr>
        <w:name w:val="{283f3c32-c0e3-4beb-8685-7793c579a085}"/>
        <w:style w:val=""/>
        <w:category>
          <w:name w:val="常规"/>
          <w:gallery w:val="placeholder"/>
        </w:category>
        <w:types>
          <w:type w:val="bbPlcHdr"/>
        </w:types>
        <w:behaviors>
          <w:behavior w:val="content"/>
        </w:behaviors>
        <w:description w:val=""/>
        <w:guid w:val="{283f3c32-c0e3-4beb-8685-7793c579a085}"/>
      </w:docPartPr>
      <w:docPartBody>
        <w:p>
          <w:r>
            <w:rPr>
              <w:color w:val="808080"/>
            </w:rPr>
            <w:t>单击此处输入文字。</w:t>
          </w:r>
        </w:p>
      </w:docPartBody>
    </w:docPart>
    <w:docPart>
      <w:docPartPr>
        <w:name w:val="{fa7a58ac-dfed-43c4-a144-01b3c136add5}"/>
        <w:style w:val=""/>
        <w:category>
          <w:name w:val="常规"/>
          <w:gallery w:val="placeholder"/>
        </w:category>
        <w:types>
          <w:type w:val="bbPlcHdr"/>
        </w:types>
        <w:behaviors>
          <w:behavior w:val="content"/>
        </w:behaviors>
        <w:description w:val=""/>
        <w:guid w:val="{fa7a58ac-dfed-43c4-a144-01b3c136add5}"/>
      </w:docPartPr>
      <w:docPartBody>
        <w:p>
          <w:r>
            <w:rPr>
              <w:color w:val="808080"/>
            </w:rPr>
            <w:t>单击此处输入文字。</w:t>
          </w:r>
        </w:p>
      </w:docPartBody>
    </w:docPart>
    <w:docPart>
      <w:docPartPr>
        <w:name w:val="{d1ec0bb0-9050-4557-8c95-4a846e90fb78}"/>
        <w:style w:val=""/>
        <w:category>
          <w:name w:val="常规"/>
          <w:gallery w:val="placeholder"/>
        </w:category>
        <w:types>
          <w:type w:val="bbPlcHdr"/>
        </w:types>
        <w:behaviors>
          <w:behavior w:val="content"/>
        </w:behaviors>
        <w:description w:val=""/>
        <w:guid w:val="{d1ec0bb0-9050-4557-8c95-4a846e90fb78}"/>
      </w:docPartPr>
      <w:docPartBody>
        <w:p>
          <w:r>
            <w:rPr>
              <w:color w:val="808080"/>
            </w:rPr>
            <w:t>单击此处输入文字。</w:t>
          </w:r>
        </w:p>
      </w:docPartBody>
    </w:docPart>
    <w:docPart>
      <w:docPartPr>
        <w:name w:val="{088d606b-2cbf-4cfc-8817-6ddb0a74d530}"/>
        <w:style w:val=""/>
        <w:category>
          <w:name w:val="常规"/>
          <w:gallery w:val="placeholder"/>
        </w:category>
        <w:types>
          <w:type w:val="bbPlcHdr"/>
        </w:types>
        <w:behaviors>
          <w:behavior w:val="content"/>
        </w:behaviors>
        <w:description w:val=""/>
        <w:guid w:val="{088d606b-2cbf-4cfc-8817-6ddb0a74d530}"/>
      </w:docPartPr>
      <w:docPartBody>
        <w:p>
          <w:r>
            <w:rPr>
              <w:color w:val="808080"/>
            </w:rPr>
            <w:t>单击此处输入文字。</w:t>
          </w:r>
        </w:p>
      </w:docPartBody>
    </w:docPart>
    <w:docPart>
      <w:docPartPr>
        <w:name w:val="{a2c1678c-96a8-4f61-abcc-f225b6ff5a81}"/>
        <w:style w:val=""/>
        <w:category>
          <w:name w:val="常规"/>
          <w:gallery w:val="placeholder"/>
        </w:category>
        <w:types>
          <w:type w:val="bbPlcHdr"/>
        </w:types>
        <w:behaviors>
          <w:behavior w:val="content"/>
        </w:behaviors>
        <w:description w:val=""/>
        <w:guid w:val="{a2c1678c-96a8-4f61-abcc-f225b6ff5a81}"/>
      </w:docPartPr>
      <w:docPartBody>
        <w:p>
          <w:r>
            <w:rPr>
              <w:color w:val="808080"/>
            </w:rPr>
            <w:t>单击此处输入文字。</w:t>
          </w:r>
        </w:p>
      </w:docPartBody>
    </w:docPart>
    <w:docPart>
      <w:docPartPr>
        <w:name w:val="{d4e1b522-ad59-44e2-b867-9b1a919226b2}"/>
        <w:style w:val=""/>
        <w:category>
          <w:name w:val="常规"/>
          <w:gallery w:val="placeholder"/>
        </w:category>
        <w:types>
          <w:type w:val="bbPlcHdr"/>
        </w:types>
        <w:behaviors>
          <w:behavior w:val="content"/>
        </w:behaviors>
        <w:description w:val=""/>
        <w:guid w:val="{d4e1b522-ad59-44e2-b867-9b1a919226b2}"/>
      </w:docPartPr>
      <w:docPartBody>
        <w:p>
          <w:r>
            <w:rPr>
              <w:color w:val="808080"/>
            </w:rPr>
            <w:t>单击此处输入文字。</w:t>
          </w:r>
        </w:p>
      </w:docPartBody>
    </w:docPart>
    <w:docPart>
      <w:docPartPr>
        <w:name w:val="{016228bd-517b-49f5-9552-3b8cdcc06f1f}"/>
        <w:style w:val=""/>
        <w:category>
          <w:name w:val="常规"/>
          <w:gallery w:val="placeholder"/>
        </w:category>
        <w:types>
          <w:type w:val="bbPlcHdr"/>
        </w:types>
        <w:behaviors>
          <w:behavior w:val="content"/>
        </w:behaviors>
        <w:description w:val=""/>
        <w:guid w:val="{016228bd-517b-49f5-9552-3b8cdcc06f1f}"/>
      </w:docPartPr>
      <w:docPartBody>
        <w:p>
          <w:r>
            <w:rPr>
              <w:color w:val="808080"/>
            </w:rPr>
            <w:t>单击此处输入文字。</w:t>
          </w:r>
        </w:p>
      </w:docPartBody>
    </w:docPart>
    <w:docPart>
      <w:docPartPr>
        <w:name w:val="{b7ed8c00-40f3-4f88-8ea2-c32d565348d0}"/>
        <w:style w:val=""/>
        <w:category>
          <w:name w:val="常规"/>
          <w:gallery w:val="placeholder"/>
        </w:category>
        <w:types>
          <w:type w:val="bbPlcHdr"/>
        </w:types>
        <w:behaviors>
          <w:behavior w:val="content"/>
        </w:behaviors>
        <w:description w:val=""/>
        <w:guid w:val="{b7ed8c00-40f3-4f88-8ea2-c32d565348d0}"/>
      </w:docPartPr>
      <w:docPartBody>
        <w:p>
          <w:r>
            <w:rPr>
              <w:color w:val="808080"/>
            </w:rPr>
            <w:t>单击此处输入文字。</w:t>
          </w:r>
        </w:p>
      </w:docPartBody>
    </w:docPart>
    <w:docPart>
      <w:docPartPr>
        <w:name w:val="{631dfbe7-5a49-4090-9fce-1bc553e5b507}"/>
        <w:style w:val=""/>
        <w:category>
          <w:name w:val="常规"/>
          <w:gallery w:val="placeholder"/>
        </w:category>
        <w:types>
          <w:type w:val="bbPlcHdr"/>
        </w:types>
        <w:behaviors>
          <w:behavior w:val="content"/>
        </w:behaviors>
        <w:description w:val=""/>
        <w:guid w:val="{631dfbe7-5a49-4090-9fce-1bc553e5b507}"/>
      </w:docPartPr>
      <w:docPartBody>
        <w:p>
          <w:r>
            <w:rPr>
              <w:color w:val="808080"/>
            </w:rPr>
            <w:t>单击此处输入文字。</w:t>
          </w:r>
        </w:p>
      </w:docPartBody>
    </w:docPart>
    <w:docPart>
      <w:docPartPr>
        <w:name w:val="{0315bc61-cb75-4ad4-9647-3242f5d5c589}"/>
        <w:style w:val=""/>
        <w:category>
          <w:name w:val="常规"/>
          <w:gallery w:val="placeholder"/>
        </w:category>
        <w:types>
          <w:type w:val="bbPlcHdr"/>
        </w:types>
        <w:behaviors>
          <w:behavior w:val="content"/>
        </w:behaviors>
        <w:description w:val=""/>
        <w:guid w:val="{0315bc61-cb75-4ad4-9647-3242f5d5c589}"/>
      </w:docPartPr>
      <w:docPartBody>
        <w:p>
          <w:r>
            <w:rPr>
              <w:color w:val="808080"/>
            </w:rPr>
            <w:t>单击此处输入文字。</w:t>
          </w:r>
        </w:p>
      </w:docPartBody>
    </w:docPart>
    <w:docPart>
      <w:docPartPr>
        <w:name w:val="{5c00008f-f01e-4313-80da-076afe356b23}"/>
        <w:style w:val=""/>
        <w:category>
          <w:name w:val="常规"/>
          <w:gallery w:val="placeholder"/>
        </w:category>
        <w:types>
          <w:type w:val="bbPlcHdr"/>
        </w:types>
        <w:behaviors>
          <w:behavior w:val="content"/>
        </w:behaviors>
        <w:description w:val=""/>
        <w:guid w:val="{5c00008f-f01e-4313-80da-076afe356b23}"/>
      </w:docPartPr>
      <w:docPartBody>
        <w:p>
          <w:r>
            <w:rPr>
              <w:color w:val="808080"/>
            </w:rPr>
            <w:t>单击此处输入文字。</w:t>
          </w:r>
        </w:p>
      </w:docPartBody>
    </w:docPart>
    <w:docPart>
      <w:docPartPr>
        <w:name w:val="{5fa17214-8446-4c98-b401-da327f5bbb7a}"/>
        <w:style w:val=""/>
        <w:category>
          <w:name w:val="常规"/>
          <w:gallery w:val="placeholder"/>
        </w:category>
        <w:types>
          <w:type w:val="bbPlcHdr"/>
        </w:types>
        <w:behaviors>
          <w:behavior w:val="content"/>
        </w:behaviors>
        <w:description w:val=""/>
        <w:guid w:val="{5fa17214-8446-4c98-b401-da327f5bbb7a}"/>
      </w:docPartPr>
      <w:docPartBody>
        <w:p>
          <w:r>
            <w:rPr>
              <w:color w:val="808080"/>
            </w:rPr>
            <w:t>单击此处输入文字。</w:t>
          </w:r>
        </w:p>
      </w:docPartBody>
    </w:docPart>
    <w:docPart>
      <w:docPartPr>
        <w:name w:val="{c3a011fd-28c2-44b3-a9c6-285e7b1a21fa}"/>
        <w:style w:val=""/>
        <w:category>
          <w:name w:val="常规"/>
          <w:gallery w:val="placeholder"/>
        </w:category>
        <w:types>
          <w:type w:val="bbPlcHdr"/>
        </w:types>
        <w:behaviors>
          <w:behavior w:val="content"/>
        </w:behaviors>
        <w:description w:val=""/>
        <w:guid w:val="{c3a011fd-28c2-44b3-a9c6-285e7b1a21fa}"/>
      </w:docPartPr>
      <w:docPartBody>
        <w:p>
          <w:r>
            <w:rPr>
              <w:color w:val="808080"/>
            </w:rPr>
            <w:t>单击此处输入文字。</w:t>
          </w:r>
        </w:p>
      </w:docPartBody>
    </w:docPart>
    <w:docPart>
      <w:docPartPr>
        <w:name w:val="{58625499-0d74-436d-8bc0-5d4dce3451eb}"/>
        <w:style w:val=""/>
        <w:category>
          <w:name w:val="常规"/>
          <w:gallery w:val="placeholder"/>
        </w:category>
        <w:types>
          <w:type w:val="bbPlcHdr"/>
        </w:types>
        <w:behaviors>
          <w:behavior w:val="content"/>
        </w:behaviors>
        <w:description w:val=""/>
        <w:guid w:val="{58625499-0d74-436d-8bc0-5d4dce3451eb}"/>
      </w:docPartPr>
      <w:docPartBody>
        <w:p>
          <w:r>
            <w:rPr>
              <w:color w:val="808080"/>
            </w:rPr>
            <w:t>单击此处输入文字。</w:t>
          </w:r>
        </w:p>
      </w:docPartBody>
    </w:docPart>
    <w:docPart>
      <w:docPartPr>
        <w:name w:val="{98d4a4fc-4e28-4f6e-ba48-7578bc124428}"/>
        <w:style w:val=""/>
        <w:category>
          <w:name w:val="常规"/>
          <w:gallery w:val="placeholder"/>
        </w:category>
        <w:types>
          <w:type w:val="bbPlcHdr"/>
        </w:types>
        <w:behaviors>
          <w:behavior w:val="content"/>
        </w:behaviors>
        <w:description w:val=""/>
        <w:guid w:val="{98d4a4fc-4e28-4f6e-ba48-7578bc124428}"/>
      </w:docPartPr>
      <w:docPartBody>
        <w:p>
          <w:r>
            <w:rPr>
              <w:color w:val="808080"/>
            </w:rPr>
            <w:t>单击此处输入文字。</w:t>
          </w:r>
        </w:p>
      </w:docPartBody>
    </w:docPart>
    <w:docPart>
      <w:docPartPr>
        <w:name w:val="{9f3beba6-e427-4f1e-8983-bc0835420203}"/>
        <w:style w:val=""/>
        <w:category>
          <w:name w:val="常规"/>
          <w:gallery w:val="placeholder"/>
        </w:category>
        <w:types>
          <w:type w:val="bbPlcHdr"/>
        </w:types>
        <w:behaviors>
          <w:behavior w:val="content"/>
        </w:behaviors>
        <w:description w:val=""/>
        <w:guid w:val="{9f3beba6-e427-4f1e-8983-bc0835420203}"/>
      </w:docPartPr>
      <w:docPartBody>
        <w:p>
          <w:r>
            <w:rPr>
              <w:color w:val="808080"/>
            </w:rPr>
            <w:t>单击此处输入文字。</w:t>
          </w:r>
        </w:p>
      </w:docPartBody>
    </w:docPart>
    <w:docPart>
      <w:docPartPr>
        <w:name w:val="{bb327c10-ddcb-4ccb-9274-29f95437527f}"/>
        <w:style w:val=""/>
        <w:category>
          <w:name w:val="常规"/>
          <w:gallery w:val="placeholder"/>
        </w:category>
        <w:types>
          <w:type w:val="bbPlcHdr"/>
        </w:types>
        <w:behaviors>
          <w:behavior w:val="content"/>
        </w:behaviors>
        <w:description w:val=""/>
        <w:guid w:val="{bb327c10-ddcb-4ccb-9274-29f95437527f}"/>
      </w:docPartPr>
      <w:docPartBody>
        <w:p>
          <w:r>
            <w:rPr>
              <w:color w:val="808080"/>
            </w:rPr>
            <w:t>单击此处输入文字。</w:t>
          </w:r>
        </w:p>
      </w:docPartBody>
    </w:docPart>
    <w:docPart>
      <w:docPartPr>
        <w:name w:val="{924bc6a5-8544-470f-9d2b-4adbc418e66e}"/>
        <w:style w:val=""/>
        <w:category>
          <w:name w:val="常规"/>
          <w:gallery w:val="placeholder"/>
        </w:category>
        <w:types>
          <w:type w:val="bbPlcHdr"/>
        </w:types>
        <w:behaviors>
          <w:behavior w:val="content"/>
        </w:behaviors>
        <w:description w:val=""/>
        <w:guid w:val="{924bc6a5-8544-470f-9d2b-4adbc418e66e}"/>
      </w:docPartPr>
      <w:docPartBody>
        <w:p>
          <w:r>
            <w:rPr>
              <w:color w:val="808080"/>
            </w:rPr>
            <w:t>单击此处输入文字。</w:t>
          </w:r>
        </w:p>
      </w:docPartBody>
    </w:docPart>
    <w:docPart>
      <w:docPartPr>
        <w:name w:val="{97fd5958-f95d-45ef-9088-a37d88209ac8}"/>
        <w:style w:val=""/>
        <w:category>
          <w:name w:val="常规"/>
          <w:gallery w:val="placeholder"/>
        </w:category>
        <w:types>
          <w:type w:val="bbPlcHdr"/>
        </w:types>
        <w:behaviors>
          <w:behavior w:val="content"/>
        </w:behaviors>
        <w:description w:val=""/>
        <w:guid w:val="{97fd5958-f95d-45ef-9088-a37d88209ac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2021-08-26T03:20:00Z</cp:lastPrinted>
  <dcterms:modified xsi:type="dcterms:W3CDTF">2022-11-14T07:19:52Z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D80AA73018B74539AE1BDE3728DDC7E5</vt:lpwstr>
  </property>
</Properties>
</file>