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8441"/>
      <w:bookmarkStart w:id="3" w:name="_Toc15377425"/>
      <w:bookmarkStart w:id="4" w:name="_Toc15396475"/>
      <w:bookmarkStart w:id="5" w:name="_Toc15396597"/>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8442"/>
      <w:bookmarkStart w:id="7" w:name="_Toc15377426"/>
      <w:bookmarkStart w:id="8" w:name="_Toc15396476"/>
      <w:bookmarkStart w:id="9" w:name="_Toc15377194"/>
      <w:bookmarkStart w:id="10" w:name="_Toc15396598"/>
      <w:r>
        <w:rPr>
          <w:rFonts w:hint="eastAsia" w:ascii="方正小标宋简体" w:hAnsi="宋体" w:eastAsia="方正小标宋简体"/>
          <w:color w:val="000000"/>
          <w:sz w:val="72"/>
          <w:szCs w:val="72"/>
        </w:rPr>
        <w:t>四川省</w:t>
      </w:r>
      <w:bookmarkEnd w:id="0"/>
      <w:bookmarkStart w:id="11" w:name="_Toc15306268"/>
      <w:r>
        <w:rPr>
          <w:rFonts w:hint="eastAsia" w:ascii="方正小标宋简体" w:hAnsi="宋体" w:eastAsia="方正小标宋简体"/>
          <w:color w:val="000000"/>
          <w:sz w:val="72"/>
          <w:szCs w:val="72"/>
          <w:lang w:eastAsia="zh-CN"/>
        </w:rPr>
        <w:t>宗教教育培训中心</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widowControl/>
        <w:jc w:val="center"/>
        <w:rPr>
          <w:rFonts w:ascii="黑体" w:hAnsi="黑体" w:eastAsia="黑体"/>
          <w:color w:val="000000" w:themeColor="text1"/>
          <w:sz w:val="48"/>
          <w:szCs w:val="48"/>
          <w14:textFill>
            <w14:solidFill>
              <w14:schemeClr w14:val="tx1"/>
            </w14:solidFill>
          </w14:textFill>
        </w:rPr>
      </w:pPr>
      <w:r>
        <w:rPr>
          <w:rFonts w:ascii="方正小标宋简体" w:hAnsi="宋体" w:eastAsia="方正小标宋简体"/>
          <w:color w:val="000000"/>
          <w:sz w:val="36"/>
          <w:szCs w:val="36"/>
        </w:rPr>
        <w:br w:type="page"/>
      </w:r>
      <w:r>
        <w:rPr>
          <w:rFonts w:hint="eastAsia" w:ascii="黑体" w:hAnsi="黑体" w:eastAsia="黑体"/>
          <w:color w:val="000000" w:themeColor="text1"/>
          <w:sz w:val="48"/>
          <w:szCs w:val="48"/>
          <w14:textFill>
            <w14:solidFill>
              <w14:schemeClr w14:val="tx1"/>
            </w14:solidFill>
          </w14:textFill>
        </w:rPr>
        <w:t>目录</w:t>
      </w:r>
    </w:p>
    <w:p>
      <w:pPr>
        <w:widowControl/>
        <w:jc w:val="center"/>
        <w:rPr>
          <w:rFonts w:ascii="黑体" w:hAnsi="黑体" w:eastAsia="黑体" w:cstheme="minorBidi"/>
          <w:color w:val="000000" w:themeColor="text1"/>
          <w:sz w:val="28"/>
          <w:szCs w:val="28"/>
          <w14:textFill>
            <w14:solidFill>
              <w14:schemeClr w14:val="tx1"/>
            </w14:solidFill>
          </w14:textFill>
        </w:rPr>
      </w:pPr>
    </w:p>
    <w:p>
      <w:pPr>
        <w:pStyle w:val="11"/>
        <w:rPr>
          <w:color w:val="000000" w:themeColor="text1"/>
          <w14:textFill>
            <w14:solidFill>
              <w14:schemeClr w14:val="tx1"/>
            </w14:solidFill>
          </w14:textFill>
        </w:rPr>
      </w:pPr>
      <w:r>
        <w:rPr>
          <w:rFonts w:hint="eastAsia"/>
          <w:color w:val="000000" w:themeColor="text1"/>
          <w14:textFill>
            <w14:solidFill>
              <w14:schemeClr w14:val="tx1"/>
            </w14:solidFill>
          </w14:textFill>
        </w:rPr>
        <w:t>公开时间：20</w:t>
      </w:r>
      <w:r>
        <w:rPr>
          <w:rFonts w:hint="eastAsia"/>
          <w:color w:val="000000" w:themeColor="text1"/>
          <w:lang w:val="en-US" w:eastAsia="zh-CN"/>
          <w14:textFill>
            <w14:solidFill>
              <w14:schemeClr w14:val="tx1"/>
            </w14:solidFill>
          </w14:textFill>
        </w:rPr>
        <w:t>21</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9</w:t>
      </w:r>
      <w:r>
        <w:rPr>
          <w:rFonts w:hint="eastAsia"/>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10</w:t>
      </w:r>
      <w:r>
        <w:rPr>
          <w:rFonts w:hint="eastAsia"/>
          <w:color w:val="000000" w:themeColor="text1"/>
          <w14:textFill>
            <w14:solidFill>
              <w14:schemeClr w14:val="tx1"/>
            </w14:solidFill>
          </w14:textFill>
        </w:rPr>
        <w:t>日</w:t>
      </w:r>
    </w:p>
    <w:p>
      <w:pPr>
        <w:rPr>
          <w:color w:val="000000" w:themeColor="text1"/>
          <w14:textFill>
            <w14:solidFill>
              <w14:schemeClr w14:val="tx1"/>
            </w14:solidFill>
          </w14:textFill>
        </w:rPr>
      </w:pPr>
    </w:p>
    <w:p>
      <w:pPr>
        <w:pStyle w:val="11"/>
        <w:adjustRightInd w:val="0"/>
        <w:snapToGrid w:val="0"/>
        <w:spacing w:before="0" w:line="440" w:lineRule="exact"/>
        <w:jc w:val="left"/>
        <w:rPr>
          <w:rFonts w:hint="default" w:cstheme="minorBidi"/>
          <w:color w:val="000000" w:themeColor="text1"/>
          <w:sz w:val="24"/>
          <w:szCs w:val="24"/>
          <w:lang w:val="en-US"/>
          <w14:textFill>
            <w14:solidFill>
              <w14:schemeClr w14:val="tx1"/>
            </w14:solidFill>
          </w14:textFill>
        </w:rPr>
      </w:pPr>
      <w:r>
        <w:rPr>
          <w:rFonts w:hint="eastAsia"/>
          <w:color w:val="000000" w:themeColor="text1"/>
          <w:sz w:val="24"/>
          <w14:textFill>
            <w14:solidFill>
              <w14:schemeClr w14:val="tx1"/>
            </w14:solidFill>
          </w14:textFill>
        </w:rPr>
        <w:t>第一部分</w:t>
      </w:r>
      <w:r>
        <w:rPr>
          <w:color w:val="000000" w:themeColor="text1"/>
          <w:sz w:val="24"/>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单位</w:t>
      </w:r>
      <w:r>
        <w:rPr>
          <w:rFonts w:hint="eastAsia"/>
          <w:color w:val="000000" w:themeColor="text1"/>
          <w:sz w:val="24"/>
          <w14:textFill>
            <w14:solidFill>
              <w14:schemeClr w14:val="tx1"/>
            </w14:solidFill>
          </w14:textFill>
        </w:rPr>
        <w:t>概况</w:t>
      </w:r>
      <w:r>
        <w:rPr>
          <w:rFonts w:hint="eastAsia" w:ascii="Times New Roman" w:hAnsi="Times New Roman" w:cs="Times New Roman"/>
          <w:color w:val="000000" w:themeColor="text1"/>
          <w:sz w:val="24"/>
          <w:szCs w:val="24"/>
          <w:lang w:val="en-US" w:eastAsia="zh-CN"/>
          <w14:textFill>
            <w14:solidFill>
              <w14:schemeClr w14:val="tx1"/>
            </w14:solidFill>
          </w14:textFill>
        </w:rPr>
        <w:t>......................................................................................................4</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outlineLvl w:val="9"/>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一、职能</w:t>
      </w:r>
      <w:r>
        <w:rPr>
          <w:rFonts w:hint="eastAsia"/>
          <w:color w:val="000000" w:themeColor="text1"/>
          <w:sz w:val="24"/>
          <w:lang w:eastAsia="zh-CN"/>
          <w14:textFill>
            <w14:solidFill>
              <w14:schemeClr w14:val="tx1"/>
            </w14:solidFill>
          </w14:textFill>
        </w:rPr>
        <w:t>简介</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4</w:t>
      </w:r>
    </w:p>
    <w:p>
      <w:pPr>
        <w:pStyle w:val="13"/>
        <w:keepNext w:val="0"/>
        <w:keepLines w:val="0"/>
        <w:pageBreakBefore w:val="0"/>
        <w:widowControl w:val="0"/>
        <w:kinsoku/>
        <w:wordWrap/>
        <w:overflowPunct/>
        <w:topLinePunct w:val="0"/>
        <w:autoSpaceDE/>
        <w:autoSpaceDN/>
        <w:bidi w:val="0"/>
        <w:adjustRightInd w:val="0"/>
        <w:snapToGrid w:val="0"/>
        <w:spacing w:line="440" w:lineRule="exact"/>
        <w:jc w:val="left"/>
        <w:textAlignment w:val="auto"/>
        <w:outlineLvl w:val="9"/>
        <w:rPr>
          <w:rFonts w:hint="eastAsia"/>
          <w:lang w:val="en-US" w:eastAsia="zh-CN"/>
        </w:rPr>
      </w:pPr>
      <w:r>
        <w:rPr>
          <w:rFonts w:hint="eastAsia" w:asciiTheme="minorEastAsia" w:hAnsiTheme="minorEastAsia" w:eastAsiaTheme="minorEastAsia" w:cstheme="minorEastAsia"/>
          <w:color w:val="000000" w:themeColor="text1"/>
          <w:sz w:val="24"/>
          <w:lang w:eastAsia="zh-CN"/>
          <w14:textFill>
            <w14:solidFill>
              <w14:schemeClr w14:val="tx1"/>
            </w14:solidFill>
          </w14:textFill>
        </w:rPr>
        <w:t>二、</w:t>
      </w:r>
      <w:r>
        <w:rPr>
          <w:rFonts w:hint="eastAsia" w:asciiTheme="minorEastAsia" w:hAnsiTheme="minorEastAsia" w:eastAsiaTheme="minorEastAsia" w:cstheme="minorEastAsia"/>
          <w:color w:val="000000" w:themeColor="text1"/>
          <w:sz w:val="24"/>
          <w:lang w:val="en-US" w:eastAsia="zh-CN"/>
          <w14:textFill>
            <w14:solidFill>
              <w14:schemeClr w14:val="tx1"/>
            </w14:solidFill>
          </w14:textFill>
        </w:rPr>
        <w:t>2020年重点</w:t>
      </w:r>
      <w:r>
        <w:rPr>
          <w:rFonts w:hint="eastAsia" w:asciiTheme="minorEastAsia" w:hAnsiTheme="minorEastAsia" w:eastAsiaTheme="minorEastAsia" w:cstheme="minorEastAsia"/>
          <w:color w:val="000000" w:themeColor="text1"/>
          <w:sz w:val="24"/>
          <w14:textFill>
            <w14:solidFill>
              <w14:schemeClr w14:val="tx1"/>
            </w14:solidFill>
          </w14:textFill>
        </w:rPr>
        <w:t>工作</w:t>
      </w:r>
      <w:r>
        <w:rPr>
          <w:rFonts w:hint="eastAsia" w:asciiTheme="minorEastAsia" w:hAnsiTheme="minorEastAsia" w:eastAsiaTheme="minorEastAsia" w:cstheme="minorEastAsia"/>
          <w:color w:val="000000" w:themeColor="text1"/>
          <w:sz w:val="24"/>
          <w:lang w:eastAsia="zh-CN"/>
          <w14:textFill>
            <w14:solidFill>
              <w14:schemeClr w14:val="tx1"/>
            </w14:solidFill>
          </w14:textFill>
        </w:rPr>
        <w:t>完成情况</w:t>
      </w:r>
      <w:r>
        <w:rPr>
          <w:rFonts w:hint="eastAsia" w:ascii="Times New Roman" w:hAnsi="Times New Roman" w:cs="Times New Roman"/>
          <w:color w:val="000000" w:themeColor="text1"/>
          <w:sz w:val="24"/>
          <w:szCs w:val="24"/>
          <w:lang w:val="en-US" w:eastAsia="zh-CN"/>
          <w14:textFill>
            <w14:solidFill>
              <w14:schemeClr w14:val="tx1"/>
            </w14:solidFill>
          </w14:textFill>
        </w:rPr>
        <w:t>......</w:t>
      </w:r>
      <w:bookmarkStart w:id="67" w:name="_GoBack"/>
      <w:bookmarkEnd w:id="67"/>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4</w:t>
      </w:r>
    </w:p>
    <w:p>
      <w:pPr>
        <w:keepNext w:val="0"/>
        <w:keepLines w:val="0"/>
        <w:pageBreakBefore w:val="0"/>
        <w:widowControl w:val="0"/>
        <w:kinsoku/>
        <w:wordWrap/>
        <w:overflowPunct/>
        <w:topLinePunct w:val="0"/>
        <w:autoSpaceDE/>
        <w:autoSpaceDN/>
        <w:bidi w:val="0"/>
        <w:spacing w:line="440" w:lineRule="exact"/>
        <w:ind w:left="420" w:leftChars="200" w:firstLine="0" w:firstLineChars="0"/>
        <w:textAlignment w:val="auto"/>
        <w:outlineLvl w:val="9"/>
        <w:rPr>
          <w:rFonts w:hint="default"/>
          <w:lang w:val="en-US" w:eastAsia="zh-CN"/>
        </w:rPr>
      </w:pPr>
      <w:r>
        <w:rPr>
          <w:rFonts w:hint="eastAsia" w:cs="Times New Roman"/>
          <w:color w:val="000000" w:themeColor="text1"/>
          <w:sz w:val="24"/>
          <w:szCs w:val="24"/>
          <w:lang w:val="en-US" w:eastAsia="zh-CN"/>
          <w14:textFill>
            <w14:solidFill>
              <w14:schemeClr w14:val="tx1"/>
            </w14:solidFill>
          </w14:textFill>
        </w:rPr>
        <w:t>三、</w:t>
      </w:r>
      <w:r>
        <w:rPr>
          <w:rFonts w:hint="eastAsia"/>
          <w:color w:val="auto"/>
          <w:sz w:val="24"/>
          <w:highlight w:val="none"/>
          <w:lang w:val="en-US" w:eastAsia="zh-CN"/>
        </w:rPr>
        <w:t>机构设置情况</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7</w:t>
      </w:r>
    </w:p>
    <w:p>
      <w:pPr>
        <w:pStyle w:val="11"/>
        <w:adjustRightInd w:val="0"/>
        <w:snapToGrid w:val="0"/>
        <w:spacing w:before="0" w:line="440" w:lineRule="exact"/>
        <w:jc w:val="left"/>
        <w:rPr>
          <w:rFonts w:hint="default"/>
          <w:color w:val="000000" w:themeColor="text1"/>
          <w:sz w:val="24"/>
          <w:szCs w:val="24"/>
          <w:lang w:val="en-US"/>
          <w14:textFill>
            <w14:solidFill>
              <w14:schemeClr w14:val="tx1"/>
            </w14:solidFill>
          </w14:textFill>
        </w:rPr>
      </w:pPr>
      <w:r>
        <w:rPr>
          <w:rFonts w:hint="eastAsia"/>
          <w:color w:val="000000" w:themeColor="text1"/>
          <w:sz w:val="24"/>
          <w14:textFill>
            <w14:solidFill>
              <w14:schemeClr w14:val="tx1"/>
            </w14:solidFill>
          </w14:textFill>
        </w:rPr>
        <w:t>第二部分</w:t>
      </w:r>
      <w:r>
        <w:rPr>
          <w:rFonts w:hint="eastAsia"/>
          <w:color w:val="000000" w:themeColor="text1"/>
          <w:sz w:val="24"/>
          <w:lang w:val="en-US" w:eastAsia="zh-CN"/>
          <w14:textFill>
            <w14:solidFill>
              <w14:schemeClr w14:val="tx1"/>
            </w14:solidFill>
          </w14:textFill>
        </w:rPr>
        <w:t xml:space="preserve"> 2020年度</w:t>
      </w:r>
      <w:r>
        <w:rPr>
          <w:rFonts w:hint="eastAsia"/>
          <w:color w:val="000000" w:themeColor="text1"/>
          <w:sz w:val="24"/>
          <w14:textFill>
            <w14:solidFill>
              <w14:schemeClr w14:val="tx1"/>
            </w14:solidFill>
          </w14:textFill>
        </w:rPr>
        <w:t>部门决算情况说明</w:t>
      </w:r>
      <w:r>
        <w:rPr>
          <w:rFonts w:hint="eastAsia" w:ascii="Times New Roman" w:hAnsi="Times New Roman" w:cs="Times New Roman"/>
          <w:color w:val="000000" w:themeColor="text1"/>
          <w:sz w:val="24"/>
          <w:szCs w:val="24"/>
          <w:lang w:val="en-US" w:eastAsia="zh-CN"/>
          <w14:textFill>
            <w14:solidFill>
              <w14:schemeClr w14:val="tx1"/>
            </w14:solidFill>
          </w14:textFill>
        </w:rPr>
        <w:t>.....................................................................8</w:t>
      </w:r>
    </w:p>
    <w:p>
      <w:pPr>
        <w:pStyle w:val="13"/>
        <w:adjustRightInd w:val="0"/>
        <w:snapToGrid w:val="0"/>
        <w:spacing w:line="440" w:lineRule="exact"/>
        <w:jc w:val="left"/>
        <w:rPr>
          <w:rFonts w:hint="default" w:ascii="仿宋" w:hAnsi="仿宋" w:eastAsia="仿宋" w:cstheme="minorBidi"/>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一、收入支出决算总体情况说明</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8</w:t>
      </w:r>
    </w:p>
    <w:p>
      <w:pPr>
        <w:pStyle w:val="13"/>
        <w:adjustRightInd w:val="0"/>
        <w:snapToGrid w:val="0"/>
        <w:spacing w:line="440" w:lineRule="exact"/>
        <w:jc w:val="left"/>
        <w:rPr>
          <w:rFonts w:hint="default" w:ascii="仿宋" w:hAnsi="仿宋" w:eastAsia="仿宋" w:cstheme="minorBidi"/>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二、收入决算情况说明</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8</w:t>
      </w:r>
    </w:p>
    <w:p>
      <w:pPr>
        <w:pStyle w:val="13"/>
        <w:adjustRightInd w:val="0"/>
        <w:snapToGrid w:val="0"/>
        <w:spacing w:line="440" w:lineRule="exact"/>
        <w:jc w:val="left"/>
        <w:rPr>
          <w:rFonts w:hint="default" w:ascii="仿宋" w:hAnsi="仿宋" w:eastAsia="仿宋" w:cstheme="minorBidi"/>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三、支出决算情况说明</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9</w:t>
      </w:r>
    </w:p>
    <w:p>
      <w:pPr>
        <w:pStyle w:val="13"/>
        <w:adjustRightInd w:val="0"/>
        <w:snapToGrid w:val="0"/>
        <w:spacing w:line="440" w:lineRule="exact"/>
        <w:jc w:val="left"/>
        <w:rPr>
          <w:rFonts w:hint="default" w:ascii="仿宋" w:hAnsi="仿宋" w:eastAsia="仿宋" w:cstheme="minorBidi"/>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四、财政拨款收入支出决算总体情况说明</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10</w:t>
      </w:r>
    </w:p>
    <w:p>
      <w:pPr>
        <w:pStyle w:val="13"/>
        <w:adjustRightInd w:val="0"/>
        <w:snapToGrid w:val="0"/>
        <w:spacing w:line="440" w:lineRule="exact"/>
        <w:jc w:val="left"/>
        <w:rPr>
          <w:rFonts w:hint="default" w:ascii="仿宋" w:hAnsi="仿宋" w:eastAsia="仿宋" w:cstheme="minorBidi"/>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五、一般公共预算财政拨款支出决算情况说明</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10</w:t>
      </w:r>
    </w:p>
    <w:p>
      <w:pPr>
        <w:pStyle w:val="13"/>
        <w:adjustRightInd w:val="0"/>
        <w:snapToGrid w:val="0"/>
        <w:spacing w:line="440" w:lineRule="exact"/>
        <w:jc w:val="left"/>
        <w:rPr>
          <w:rFonts w:hint="default" w:ascii="仿宋" w:hAnsi="仿宋" w:eastAsia="仿宋" w:cstheme="minorBidi"/>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六、一般公共预算财政拨款基本支出决算情况说明</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13</w:t>
      </w:r>
    </w:p>
    <w:p>
      <w:pPr>
        <w:pStyle w:val="13"/>
        <w:adjustRightInd w:val="0"/>
        <w:snapToGrid w:val="0"/>
        <w:spacing w:line="440" w:lineRule="exact"/>
        <w:jc w:val="left"/>
        <w:rPr>
          <w:rFonts w:hint="default" w:ascii="仿宋" w:hAnsi="仿宋" w:eastAsia="仿宋" w:cstheme="minorBidi"/>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七、</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三公”经费财政拨款支出决算情况说明</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13</w:t>
      </w:r>
    </w:p>
    <w:p>
      <w:pPr>
        <w:pStyle w:val="13"/>
        <w:adjustRightInd w:val="0"/>
        <w:snapToGrid w:val="0"/>
        <w:spacing w:line="440" w:lineRule="exact"/>
        <w:jc w:val="left"/>
        <w:rPr>
          <w:rFonts w:hint="default" w:ascii="仿宋" w:hAnsi="仿宋" w:eastAsia="仿宋" w:cstheme="minorBidi"/>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八、政府性基金预算支出决算情况说明</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15</w:t>
      </w:r>
    </w:p>
    <w:p>
      <w:pPr>
        <w:pStyle w:val="13"/>
        <w:adjustRightInd w:val="0"/>
        <w:snapToGrid w:val="0"/>
        <w:spacing w:line="440" w:lineRule="exact"/>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九、国有资本经营预算支出决算情况说明</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15</w:t>
      </w:r>
    </w:p>
    <w:p>
      <w:pPr>
        <w:pStyle w:val="13"/>
        <w:adjustRightInd w:val="0"/>
        <w:snapToGrid w:val="0"/>
        <w:spacing w:line="440" w:lineRule="exact"/>
        <w:jc w:val="left"/>
        <w:rPr>
          <w:rFonts w:hint="default"/>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十、其他重要事项的情况说明</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15</w:t>
      </w:r>
    </w:p>
    <w:p>
      <w:pPr>
        <w:pStyle w:val="11"/>
        <w:adjustRightInd w:val="0"/>
        <w:snapToGrid w:val="0"/>
        <w:spacing w:before="0" w:line="440" w:lineRule="exact"/>
        <w:jc w:val="left"/>
        <w:rPr>
          <w:rFonts w:hint="default" w:cstheme="minorBidi"/>
          <w:color w:val="000000" w:themeColor="text1"/>
          <w:sz w:val="24"/>
          <w:szCs w:val="24"/>
          <w:lang w:val="en-US"/>
          <w14:textFill>
            <w14:solidFill>
              <w14:schemeClr w14:val="tx1"/>
            </w14:solidFill>
          </w14:textFill>
        </w:rPr>
      </w:pPr>
      <w:r>
        <w:rPr>
          <w:rFonts w:hint="eastAsia"/>
          <w:color w:val="000000" w:themeColor="text1"/>
          <w:sz w:val="24"/>
          <w14:textFill>
            <w14:solidFill>
              <w14:schemeClr w14:val="tx1"/>
            </w14:solidFill>
          </w14:textFill>
        </w:rPr>
        <w:t>第三部分</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名词解释</w:t>
      </w:r>
      <w:r>
        <w:rPr>
          <w:rFonts w:hint="eastAsia" w:ascii="Times New Roman" w:hAnsi="Times New Roman" w:cs="Times New Roman"/>
          <w:color w:val="000000" w:themeColor="text1"/>
          <w:sz w:val="24"/>
          <w:szCs w:val="24"/>
          <w:lang w:val="en-US" w:eastAsia="zh-CN"/>
          <w14:textFill>
            <w14:solidFill>
              <w14:schemeClr w14:val="tx1"/>
            </w14:solidFill>
          </w14:textFill>
        </w:rPr>
        <w:t>....................................................................................................17</w:t>
      </w:r>
    </w:p>
    <w:p>
      <w:pPr>
        <w:pStyle w:val="11"/>
        <w:adjustRightInd w:val="0"/>
        <w:snapToGrid w:val="0"/>
        <w:spacing w:before="0" w:line="440" w:lineRule="exact"/>
        <w:jc w:val="left"/>
        <w:rPr>
          <w:rFonts w:hint="default" w:cstheme="minorBidi"/>
          <w:color w:val="000000" w:themeColor="text1"/>
          <w:sz w:val="24"/>
          <w:szCs w:val="24"/>
          <w:lang w:val="en-US"/>
          <w14:textFill>
            <w14:solidFill>
              <w14:schemeClr w14:val="tx1"/>
            </w14:solidFill>
          </w14:textFill>
        </w:rPr>
      </w:pPr>
      <w:r>
        <w:rPr>
          <w:rFonts w:hint="eastAsia"/>
          <w:color w:val="000000" w:themeColor="text1"/>
          <w:sz w:val="24"/>
          <w14:textFill>
            <w14:solidFill>
              <w14:schemeClr w14:val="tx1"/>
            </w14:solidFill>
          </w14:textFill>
        </w:rPr>
        <w:t>第四部分</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附件</w:t>
      </w:r>
      <w:r>
        <w:rPr>
          <w:rFonts w:hint="eastAsia" w:ascii="Times New Roman" w:hAnsi="Times New Roman" w:cs="Times New Roman"/>
          <w:color w:val="000000" w:themeColor="text1"/>
          <w:sz w:val="24"/>
          <w:szCs w:val="24"/>
          <w:lang w:val="en-US" w:eastAsia="zh-CN"/>
          <w14:textFill>
            <w14:solidFill>
              <w14:schemeClr w14:val="tx1"/>
            </w14:solidFill>
          </w14:textFill>
        </w:rPr>
        <w:t>............................................................................................................20</w:t>
      </w:r>
    </w:p>
    <w:p>
      <w:pPr>
        <w:pStyle w:val="11"/>
        <w:adjustRightInd w:val="0"/>
        <w:snapToGrid w:val="0"/>
        <w:spacing w:before="0" w:line="440" w:lineRule="exact"/>
        <w:jc w:val="left"/>
        <w:rPr>
          <w:rFonts w:hint="default" w:cstheme="minorBidi"/>
          <w:color w:val="000000" w:themeColor="text1"/>
          <w:sz w:val="24"/>
          <w:szCs w:val="24"/>
          <w:lang w:val="en-US"/>
          <w14:textFill>
            <w14:solidFill>
              <w14:schemeClr w14:val="tx1"/>
            </w14:solidFill>
          </w14:textFill>
        </w:rPr>
      </w:pPr>
      <w:r>
        <w:rPr>
          <w:rFonts w:hint="eastAsia"/>
          <w:color w:val="000000" w:themeColor="text1"/>
          <w:sz w:val="24"/>
          <w14:textFill>
            <w14:solidFill>
              <w14:schemeClr w14:val="tx1"/>
            </w14:solidFill>
          </w14:textFill>
        </w:rPr>
        <w:t>第五部分</w:t>
      </w:r>
      <w:r>
        <w:rPr>
          <w:color w:val="000000" w:themeColor="text1"/>
          <w:sz w:val="24"/>
          <w14:textFill>
            <w14:solidFill>
              <w14:schemeClr w14:val="tx1"/>
            </w14:solidFill>
          </w14:textFill>
        </w:rPr>
        <w:t xml:space="preserve"> </w:t>
      </w:r>
      <w:r>
        <w:rPr>
          <w:rFonts w:hint="eastAsia"/>
          <w:color w:val="000000" w:themeColor="text1"/>
          <w:sz w:val="24"/>
          <w14:textFill>
            <w14:solidFill>
              <w14:schemeClr w14:val="tx1"/>
            </w14:solidFill>
          </w14:textFill>
        </w:rPr>
        <w:t>附表</w:t>
      </w:r>
      <w:r>
        <w:rPr>
          <w:rFonts w:hint="eastAsia" w:ascii="Times New Roman" w:hAnsi="Times New Roman" w:cs="Times New Roman"/>
          <w:color w:val="000000" w:themeColor="text1"/>
          <w:sz w:val="24"/>
          <w:szCs w:val="24"/>
          <w:lang w:val="en-US" w:eastAsia="zh-CN"/>
          <w14:textFill>
            <w14:solidFill>
              <w14:schemeClr w14:val="tx1"/>
            </w14:solidFill>
          </w14:textFill>
        </w:rPr>
        <w:t>............................................................................................................23</w:t>
      </w:r>
    </w:p>
    <w:p>
      <w:pPr>
        <w:pStyle w:val="13"/>
        <w:adjustRightInd w:val="0"/>
        <w:snapToGrid w:val="0"/>
        <w:spacing w:line="440" w:lineRule="exact"/>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一、收入支出决算总表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25</w:t>
      </w:r>
    </w:p>
    <w:p>
      <w:pPr>
        <w:pStyle w:val="13"/>
        <w:adjustRightInd w:val="0"/>
        <w:snapToGrid w:val="0"/>
        <w:spacing w:line="440" w:lineRule="exact"/>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二、收入决算表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26</w:t>
      </w:r>
    </w:p>
    <w:p>
      <w:pPr>
        <w:pStyle w:val="13"/>
        <w:adjustRightInd w:val="0"/>
        <w:snapToGrid w:val="0"/>
        <w:spacing w:line="440" w:lineRule="exact"/>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三、支出决算表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27</w:t>
      </w:r>
    </w:p>
    <w:p>
      <w:pPr>
        <w:pStyle w:val="13"/>
        <w:adjustRightInd w:val="0"/>
        <w:snapToGrid w:val="0"/>
        <w:spacing w:line="440" w:lineRule="exact"/>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四、财政拨款收入支出决算总表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28</w:t>
      </w:r>
    </w:p>
    <w:p>
      <w:pPr>
        <w:pStyle w:val="13"/>
        <w:adjustRightInd w:val="0"/>
        <w:snapToGrid w:val="0"/>
        <w:spacing w:line="440" w:lineRule="exact"/>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五、财政拨款支出决算明细表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29</w:t>
      </w:r>
    </w:p>
    <w:p>
      <w:pPr>
        <w:pStyle w:val="13"/>
        <w:adjustRightInd w:val="0"/>
        <w:snapToGrid w:val="0"/>
        <w:spacing w:line="440" w:lineRule="exact"/>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六、一般公共预算财政拨款支出决算表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30</w:t>
      </w:r>
    </w:p>
    <w:p>
      <w:pPr>
        <w:pStyle w:val="13"/>
        <w:adjustRightInd w:val="0"/>
        <w:snapToGrid w:val="0"/>
        <w:spacing w:line="440" w:lineRule="exact"/>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七、一般公共预算财政拨款支出决算明细表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31</w:t>
      </w:r>
    </w:p>
    <w:p>
      <w:pPr>
        <w:pStyle w:val="13"/>
        <w:adjustRightInd w:val="0"/>
        <w:snapToGrid w:val="0"/>
        <w:spacing w:line="440" w:lineRule="exact"/>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八、一般公共预算财政拨款基本支出决算表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32</w:t>
      </w:r>
    </w:p>
    <w:p>
      <w:pPr>
        <w:pStyle w:val="13"/>
        <w:adjustRightInd w:val="0"/>
        <w:snapToGrid w:val="0"/>
        <w:spacing w:line="440" w:lineRule="exact"/>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九、一般公共预算财政拨款项目支出决算表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33</w:t>
      </w:r>
    </w:p>
    <w:p>
      <w:pPr>
        <w:pStyle w:val="13"/>
        <w:adjustRightInd w:val="0"/>
        <w:snapToGrid w:val="0"/>
        <w:spacing w:line="440" w:lineRule="exact"/>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十、一般公共预算财政拨款“三公”经费支出决算表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34</w:t>
      </w:r>
    </w:p>
    <w:p>
      <w:pPr>
        <w:pStyle w:val="13"/>
        <w:adjustRightInd w:val="0"/>
        <w:snapToGrid w:val="0"/>
        <w:spacing w:line="440" w:lineRule="exact"/>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十一、政府性基金预算财政拨款收入支出决算表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35</w:t>
      </w:r>
    </w:p>
    <w:p>
      <w:pPr>
        <w:pStyle w:val="13"/>
        <w:adjustRightInd w:val="0"/>
        <w:snapToGrid w:val="0"/>
        <w:spacing w:line="440" w:lineRule="exact"/>
        <w:jc w:val="left"/>
        <w:rPr>
          <w:rFonts w:hint="default"/>
          <w:color w:val="000000" w:themeColor="text1"/>
          <w:sz w:val="24"/>
          <w:lang w:val="en-US"/>
          <w14:textFill>
            <w14:solidFill>
              <w14:schemeClr w14:val="tx1"/>
            </w14:solidFill>
          </w14:textFill>
        </w:rPr>
      </w:pPr>
      <w:r>
        <w:rPr>
          <w:rFonts w:hint="eastAsia"/>
          <w:color w:val="000000" w:themeColor="text1"/>
          <w:sz w:val="24"/>
          <w14:textFill>
            <w14:solidFill>
              <w14:schemeClr w14:val="tx1"/>
            </w14:solidFill>
          </w14:textFill>
        </w:rPr>
        <w:t>十二、政府性基金预算财政拨款“三公”经费支出决算表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36</w:t>
      </w:r>
      <w:r>
        <w:rPr>
          <w:rFonts w:hint="eastAsia"/>
          <w:color w:val="000000" w:themeColor="text1"/>
          <w:sz w:val="24"/>
          <w14:textFill>
            <w14:solidFill>
              <w14:schemeClr w14:val="tx1"/>
            </w14:solidFill>
          </w14:textFill>
        </w:rPr>
        <w:t>十三、国有资本经营预算</w:t>
      </w:r>
      <w:r>
        <w:rPr>
          <w:rFonts w:hint="eastAsia"/>
          <w:color w:val="000000" w:themeColor="text1"/>
          <w:sz w:val="24"/>
          <w:lang w:eastAsia="zh-CN"/>
          <w14:textFill>
            <w14:solidFill>
              <w14:schemeClr w14:val="tx1"/>
            </w14:solidFill>
          </w14:textFill>
        </w:rPr>
        <w:t>财政拨款收入</w:t>
      </w:r>
      <w:r>
        <w:rPr>
          <w:rFonts w:hint="eastAsia"/>
          <w:color w:val="000000" w:themeColor="text1"/>
          <w:sz w:val="24"/>
          <w14:textFill>
            <w14:solidFill>
              <w14:schemeClr w14:val="tx1"/>
            </w14:solidFill>
          </w14:textFill>
        </w:rPr>
        <w:t>支出决算表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37</w:t>
      </w:r>
    </w:p>
    <w:p>
      <w:pPr>
        <w:pStyle w:val="13"/>
        <w:adjustRightInd w:val="0"/>
        <w:snapToGrid w:val="0"/>
        <w:spacing w:line="440" w:lineRule="exact"/>
        <w:jc w:val="left"/>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十四、国有资本经营预算财政拨款支出决算表</w:t>
      </w:r>
      <w:r>
        <w:rPr>
          <w:rFonts w:hint="eastAsia" w:ascii="Times New Roman" w:hAnsi="Times New Roman"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38</w:t>
      </w:r>
    </w:p>
    <w:p>
      <w:pPr>
        <w:widowControl/>
        <w:spacing w:line="440" w:lineRule="exact"/>
        <w:jc w:val="left"/>
        <w:rPr>
          <w:rFonts w:ascii="仿宋" w:hAnsi="仿宋" w:eastAsia="仿宋"/>
          <w:bCs/>
          <w:color w:val="000000" w:themeColor="text1"/>
          <w:kern w:val="44"/>
          <w:sz w:val="24"/>
          <w14:textFill>
            <w14:solidFill>
              <w14:schemeClr w14:val="tx1"/>
            </w14:solidFill>
          </w14:textFill>
        </w:rPr>
      </w:pPr>
      <w:bookmarkStart w:id="12" w:name="_Toc15377196"/>
      <w:bookmarkStart w:id="13" w:name="_Toc15396599"/>
      <w:r>
        <w:rPr>
          <w:rFonts w:ascii="仿宋" w:hAnsi="仿宋" w:eastAsia="仿宋"/>
          <w:b/>
          <w:color w:val="000000" w:themeColor="text1"/>
          <w:sz w:val="24"/>
          <w14:textFill>
            <w14:solidFill>
              <w14:schemeClr w14:val="tx1"/>
            </w14:solidFill>
          </w14:textFill>
        </w:rPr>
        <w:br w:type="page"/>
      </w:r>
    </w:p>
    <w:p>
      <w:pPr>
        <w:pStyle w:val="3"/>
        <w:jc w:val="center"/>
        <w:rPr>
          <w:rStyle w:val="26"/>
          <w:rFonts w:ascii="黑体" w:hAnsi="黑体" w:eastAsia="黑体"/>
          <w:b/>
          <w:bCs w:val="0"/>
          <w:color w:val="000000" w:themeColor="text1"/>
          <w14:textFill>
            <w14:solidFill>
              <w14:schemeClr w14:val="tx1"/>
            </w14:solidFill>
          </w14:textFill>
        </w:rPr>
      </w:pPr>
      <w:r>
        <w:rPr>
          <w:rFonts w:hint="eastAsia" w:ascii="黑体" w:hAnsi="黑体" w:eastAsia="黑体"/>
          <w:b w:val="0"/>
          <w:color w:val="000000" w:themeColor="text1"/>
          <w14:textFill>
            <w14:solidFill>
              <w14:schemeClr w14:val="tx1"/>
            </w14:solidFill>
          </w14:textFill>
        </w:rPr>
        <w:t xml:space="preserve">第一部分 </w:t>
      </w:r>
      <w:r>
        <w:rPr>
          <w:rFonts w:hint="eastAsia" w:ascii="黑体" w:hAnsi="黑体" w:eastAsia="黑体"/>
          <w:b w:val="0"/>
          <w:color w:val="000000" w:themeColor="text1"/>
          <w:lang w:eastAsia="zh-CN"/>
          <w14:textFill>
            <w14:solidFill>
              <w14:schemeClr w14:val="tx1"/>
            </w14:solidFill>
          </w14:textFill>
        </w:rPr>
        <w:t>单位</w:t>
      </w:r>
      <w:r>
        <w:rPr>
          <w:rStyle w:val="26"/>
          <w:rFonts w:hint="eastAsia" w:ascii="黑体" w:hAnsi="黑体" w:eastAsia="黑体"/>
          <w:b w:val="0"/>
          <w:bCs w:val="0"/>
          <w:color w:val="000000" w:themeColor="text1"/>
          <w14:textFill>
            <w14:solidFill>
              <w14:schemeClr w14:val="tx1"/>
            </w14:solidFill>
          </w14:textFill>
        </w:rPr>
        <w:t>概况</w:t>
      </w:r>
      <w:bookmarkEnd w:id="12"/>
      <w:bookmarkEnd w:id="13"/>
    </w:p>
    <w:p>
      <w:pPr>
        <w:widowControl/>
        <w:jc w:val="left"/>
        <w:rPr>
          <w:rFonts w:ascii="黑体" w:eastAsia="黑体"/>
          <w:color w:val="000000" w:themeColor="text1"/>
          <w:sz w:val="32"/>
          <w:szCs w:val="32"/>
          <w14:textFill>
            <w14:solidFill>
              <w14:schemeClr w14:val="tx1"/>
            </w14:solidFill>
          </w14:textFill>
        </w:rPr>
      </w:pPr>
    </w:p>
    <w:p>
      <w:pPr>
        <w:pStyle w:val="4"/>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color w:val="000000" w:themeColor="text1"/>
          <w14:textFill>
            <w14:solidFill>
              <w14:schemeClr w14:val="tx1"/>
            </w14:solidFill>
          </w14:textFill>
        </w:rPr>
      </w:pPr>
      <w:bookmarkStart w:id="14" w:name="_Toc15377197"/>
      <w:bookmarkStart w:id="15" w:name="_Toc15396600"/>
      <w:r>
        <w:rPr>
          <w:rStyle w:val="27"/>
          <w:rFonts w:hint="eastAsia" w:ascii="黑体" w:hAnsi="黑体" w:eastAsia="黑体"/>
          <w:b w:val="0"/>
          <w:bCs w:val="0"/>
          <w:color w:val="000000" w:themeColor="text1"/>
          <w14:textFill>
            <w14:solidFill>
              <w14:schemeClr w14:val="tx1"/>
            </w14:solidFill>
          </w14:textFill>
        </w:rPr>
        <w:t>职能</w:t>
      </w:r>
      <w:r>
        <w:rPr>
          <w:rStyle w:val="27"/>
          <w:rFonts w:hint="eastAsia" w:ascii="黑体" w:hAnsi="黑体" w:eastAsia="黑体"/>
          <w:b w:val="0"/>
          <w:bCs w:val="0"/>
          <w:color w:val="000000" w:themeColor="text1"/>
          <w:lang w:eastAsia="zh-CN"/>
          <w14:textFill>
            <w14:solidFill>
              <w14:schemeClr w14:val="tx1"/>
            </w14:solidFill>
          </w14:textFill>
        </w:rPr>
        <w:t>简介</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snapToGrid/>
          <w:color w:val="000000" w:themeColor="text1"/>
          <w:kern w:val="2"/>
          <w:sz w:val="32"/>
          <w:szCs w:val="32"/>
          <w14:textFill>
            <w14:solidFill>
              <w14:schemeClr w14:val="tx1"/>
            </w14:solidFill>
          </w14:textFill>
        </w:rPr>
        <w:t>四川省宗教教育培训中心属四川省民族宗教事务委员会直属事业单位，经费来源由省财政全额拨款，实行独立财政核算。</w:t>
      </w:r>
      <w:r>
        <w:rPr>
          <w:rFonts w:hint="eastAsia" w:ascii="仿宋_GB2312" w:hAnsi="仿宋_GB2312" w:eastAsia="仿宋_GB2312" w:cs="仿宋_GB2312"/>
          <w:color w:val="000000" w:themeColor="text1"/>
          <w:sz w:val="32"/>
          <w:szCs w:val="32"/>
          <w14:textFill>
            <w14:solidFill>
              <w14:schemeClr w14:val="tx1"/>
            </w14:solidFill>
          </w14:textFill>
        </w:rPr>
        <w:t>单位主要工作职责是：承担宗教教职人员和宗教工作干部的培训工作。本单位编制7人,实有人数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人，其中</w:t>
      </w:r>
      <w:r>
        <w:rPr>
          <w:rFonts w:hint="eastAsia" w:ascii="仿宋_GB2312" w:hAnsi="仿宋_GB2312" w:eastAsia="仿宋_GB2312" w:cs="仿宋_GB2312"/>
          <w:color w:val="000000" w:themeColor="text1"/>
          <w:sz w:val="32"/>
          <w:szCs w:val="32"/>
          <w:lang w:eastAsia="zh-CN"/>
          <w14:textFill>
            <w14:solidFill>
              <w14:schemeClr w14:val="tx1"/>
            </w14:solidFill>
          </w14:textFill>
        </w:rPr>
        <w:t>五级领导岗位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1人，</w:t>
      </w:r>
      <w:r>
        <w:rPr>
          <w:rFonts w:hint="eastAsia" w:ascii="仿宋_GB2312" w:hAnsi="仿宋_GB2312" w:eastAsia="仿宋_GB2312" w:cs="仿宋_GB2312"/>
          <w:color w:val="000000" w:themeColor="text1"/>
          <w:sz w:val="32"/>
          <w:szCs w:val="32"/>
          <w14:textFill>
            <w14:solidFill>
              <w14:schemeClr w14:val="tx1"/>
            </w14:solidFill>
          </w14:textFill>
        </w:rPr>
        <w:t>六级领导岗位1人，七级职员岗位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人</w:t>
      </w:r>
      <w:r>
        <w:rPr>
          <w:rFonts w:hint="eastAsia" w:ascii="仿宋_GB2312" w:hAnsi="仿宋_GB2312" w:eastAsia="仿宋_GB2312" w:cs="仿宋_GB2312"/>
          <w:color w:val="000000" w:themeColor="text1"/>
          <w:sz w:val="32"/>
          <w:szCs w:val="32"/>
          <w:lang w:eastAsia="zh-CN"/>
          <w14:textFill>
            <w14:solidFill>
              <w14:schemeClr w14:val="tx1"/>
            </w14:solidFill>
          </w14:textFill>
        </w:rPr>
        <w:t>，八级职员岗位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3人。</w:t>
      </w:r>
    </w:p>
    <w:p>
      <w:pPr>
        <w:pageBreakBefore w:val="0"/>
        <w:widowControl w:val="0"/>
        <w:kinsoku/>
        <w:wordWrap/>
        <w:overflowPunct/>
        <w:topLinePunct w:val="0"/>
        <w:autoSpaceDE/>
        <w:autoSpaceDN/>
        <w:bidi w:val="0"/>
        <w:adjustRightInd/>
        <w:snapToGrid/>
        <w:ind w:firstLine="420" w:firstLineChars="200"/>
        <w:textAlignment w:val="auto"/>
        <w:rPr>
          <w:rFonts w:hint="eastAsia"/>
          <w:color w:val="000000" w:themeColor="text1"/>
          <w14:textFill>
            <w14:solidFill>
              <w14:schemeClr w14:val="tx1"/>
            </w14:solidFill>
          </w14:textFill>
        </w:rPr>
      </w:pPr>
    </w:p>
    <w:p>
      <w:pPr>
        <w:pStyle w:val="4"/>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黑体" w:hAnsi="黑体" w:eastAsia="黑体"/>
          <w:b w:val="0"/>
          <w:color w:val="000000" w:themeColor="text1"/>
          <w14:textFill>
            <w14:solidFill>
              <w14:schemeClr w14:val="tx1"/>
            </w14:solidFill>
          </w14:textFill>
        </w:rPr>
      </w:pPr>
      <w:r>
        <w:rPr>
          <w:rFonts w:hint="eastAsia" w:ascii="黑体" w:hAnsi="黑体" w:eastAsia="黑体"/>
          <w:b w:val="0"/>
          <w:color w:val="000000" w:themeColor="text1"/>
          <w:lang w:val="en-US" w:eastAsia="zh-CN"/>
          <w14:textFill>
            <w14:solidFill>
              <w14:schemeClr w14:val="tx1"/>
            </w14:solidFill>
          </w14:textFill>
        </w:rPr>
        <w:t>2020年重点</w:t>
      </w:r>
      <w:r>
        <w:rPr>
          <w:rFonts w:hint="eastAsia" w:ascii="黑体" w:hAnsi="黑体" w:eastAsia="黑体"/>
          <w:b w:val="0"/>
          <w:color w:val="000000" w:themeColor="text1"/>
          <w14:textFill>
            <w14:solidFill>
              <w14:schemeClr w14:val="tx1"/>
            </w14:solidFill>
          </w14:textFill>
        </w:rPr>
        <w:t>工作</w:t>
      </w:r>
      <w:bookmarkEnd w:id="14"/>
      <w:bookmarkEnd w:id="15"/>
      <w:r>
        <w:rPr>
          <w:rFonts w:hint="eastAsia" w:ascii="黑体" w:hAnsi="黑体" w:eastAsia="黑体"/>
          <w:b w:val="0"/>
          <w:color w:val="000000" w:themeColor="text1"/>
          <w:lang w:eastAsia="zh-CN"/>
          <w14:textFill>
            <w14:solidFill>
              <w14:schemeClr w14:val="tx1"/>
            </w14:solidFill>
          </w14:textFill>
        </w:rPr>
        <w:t>完成情况</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（一）创新推动民宗工作人才培养系统化、信息化，夯实铸牢中华民族共同体意识的基础。</w:t>
      </w:r>
      <w:r>
        <w:rPr>
          <w:rFonts w:hint="eastAsia" w:ascii="仿宋_GB2312" w:eastAsia="仿宋_GB2312"/>
          <w:b/>
          <w:color w:val="000000" w:themeColor="text1"/>
          <w:sz w:val="32"/>
          <w:szCs w:val="32"/>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启动民族宗教培训体系研究，探索建立一套符合我省民宗工作实际的可操作、可复制、可推广的民族宗教教育培训体系，已形成初步提纲。二</w:t>
      </w:r>
      <w:r>
        <w:rPr>
          <w:rFonts w:hint="eastAsia" w:ascii="仿宋_GB2312" w:eastAsia="仿宋_GB2312"/>
          <w:b/>
          <w:color w:val="000000" w:themeColor="text1"/>
          <w:sz w:val="32"/>
          <w:szCs w:val="32"/>
          <w14:textFill>
            <w14:solidFill>
              <w14:schemeClr w14:val="tx1"/>
            </w14:solidFill>
          </w14:textFill>
        </w:rPr>
        <w:t>是</w:t>
      </w:r>
      <w:r>
        <w:rPr>
          <w:rFonts w:hint="eastAsia" w:ascii="仿宋_GB2312" w:eastAsia="仿宋_GB2312"/>
          <w:color w:val="000000" w:themeColor="text1"/>
          <w:sz w:val="32"/>
          <w:szCs w:val="32"/>
          <w14:textFill>
            <w14:solidFill>
              <w14:schemeClr w14:val="tx1"/>
            </w14:solidFill>
          </w14:textFill>
        </w:rPr>
        <w:t>新建全省首个民族宗教师资库，广泛挖掘省内外教育资源，现已入库专家学者300余名，为完善培训体系建设、挖掘教育资源提供了智力支撑。</w:t>
      </w:r>
      <w:r>
        <w:rPr>
          <w:rFonts w:hint="eastAsia" w:ascii="仿宋_GB2312" w:eastAsia="仿宋_GB2312"/>
          <w:b/>
          <w:color w:val="000000" w:themeColor="text1"/>
          <w:sz w:val="32"/>
          <w:szCs w:val="32"/>
          <w14:textFill>
            <w14:solidFill>
              <w14:schemeClr w14:val="tx1"/>
            </w14:solidFill>
          </w14:textFill>
        </w:rPr>
        <w:t>三是</w:t>
      </w:r>
      <w:r>
        <w:rPr>
          <w:rFonts w:hint="eastAsia" w:ascii="仿宋_GB2312" w:eastAsia="仿宋_GB2312"/>
          <w:color w:val="000000" w:themeColor="text1"/>
          <w:sz w:val="32"/>
          <w:szCs w:val="32"/>
          <w14:textFill>
            <w14:solidFill>
              <w14:schemeClr w14:val="tx1"/>
            </w14:solidFill>
          </w14:textFill>
        </w:rPr>
        <w:t>探寻建立全省民族宗教教育示范点，调研泸州云峰寺培训基地以及宣汉民族宗教教学点建设，拟制呈报了关于设立民族宗教教育培训示范点工作的请示。</w:t>
      </w:r>
      <w:r>
        <w:rPr>
          <w:rFonts w:hint="eastAsia" w:ascii="仿宋_GB2312" w:eastAsia="仿宋_GB2312"/>
          <w:b/>
          <w:color w:val="000000" w:themeColor="text1"/>
          <w:sz w:val="32"/>
          <w:szCs w:val="32"/>
          <w14:textFill>
            <w14:solidFill>
              <w14:schemeClr w14:val="tx1"/>
            </w14:solidFill>
          </w14:textFill>
        </w:rPr>
        <w:t>四是</w:t>
      </w:r>
      <w:r>
        <w:rPr>
          <w:rFonts w:hint="eastAsia" w:ascii="仿宋_GB2312" w:eastAsia="仿宋_GB2312"/>
          <w:color w:val="000000" w:themeColor="text1"/>
          <w:sz w:val="32"/>
          <w:szCs w:val="32"/>
          <w14:textFill>
            <w14:solidFill>
              <w14:schemeClr w14:val="tx1"/>
            </w14:solidFill>
          </w14:textFill>
        </w:rPr>
        <w:t>构建培训教学资源库，今年录制培训精品课程等教学资源11个。</w:t>
      </w:r>
      <w:r>
        <w:rPr>
          <w:rFonts w:hint="eastAsia" w:ascii="仿宋_GB2312" w:eastAsia="仿宋_GB2312"/>
          <w:b/>
          <w:color w:val="000000" w:themeColor="text1"/>
          <w:sz w:val="32"/>
          <w:szCs w:val="32"/>
          <w14:textFill>
            <w14:solidFill>
              <w14:schemeClr w14:val="tx1"/>
            </w14:solidFill>
          </w14:textFill>
        </w:rPr>
        <w:t>五是</w:t>
      </w:r>
      <w:r>
        <w:rPr>
          <w:rFonts w:hint="eastAsia" w:ascii="仿宋_GB2312" w:eastAsia="仿宋_GB2312"/>
          <w:color w:val="000000" w:themeColor="text1"/>
          <w:sz w:val="32"/>
          <w:szCs w:val="32"/>
          <w14:textFill>
            <w14:solidFill>
              <w14:schemeClr w14:val="tx1"/>
            </w14:solidFill>
          </w14:textFill>
        </w:rPr>
        <w:t>探索建立培训师资管理库，完成了培训师资管理库（初测版），导入师资专家及部分培训课程，破除信息壁垒。</w:t>
      </w:r>
      <w:r>
        <w:rPr>
          <w:rFonts w:hint="eastAsia" w:ascii="仿宋_GB2312" w:eastAsia="仿宋_GB2312"/>
          <w:b/>
          <w:color w:val="000000" w:themeColor="text1"/>
          <w:sz w:val="32"/>
          <w:szCs w:val="32"/>
          <w14:textFill>
            <w14:solidFill>
              <w14:schemeClr w14:val="tx1"/>
            </w14:solidFill>
          </w14:textFill>
        </w:rPr>
        <w:t>六是</w:t>
      </w:r>
      <w:r>
        <w:rPr>
          <w:rFonts w:hint="eastAsia" w:ascii="仿宋_GB2312" w:eastAsia="仿宋_GB2312"/>
          <w:color w:val="000000" w:themeColor="text1"/>
          <w:sz w:val="32"/>
          <w:szCs w:val="32"/>
          <w14:textFill>
            <w14:solidFill>
              <w14:schemeClr w14:val="tx1"/>
            </w14:solidFill>
          </w14:textFill>
        </w:rPr>
        <w:t>积极配合机关处室做好培训工作，完成全省宗教界代表人士培训班、宗教工作执法骨干业务培训班、民族团结进步创建培训班、全省宗教院校工作座谈会等跟班、会务和材料工作。</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（二）着力推动公共课教师队伍建设科学化、规范化，引导</w:t>
      </w:r>
      <w:r>
        <w:rPr>
          <w:rFonts w:ascii="楷体_GB2312" w:eastAsia="楷体_GB2312"/>
          <w:b/>
          <w:color w:val="000000" w:themeColor="text1"/>
          <w:sz w:val="32"/>
          <w:szCs w:val="32"/>
          <w14:textFill>
            <w14:solidFill>
              <w14:schemeClr w14:val="tx1"/>
            </w14:solidFill>
          </w14:textFill>
        </w:rPr>
        <w:t>我国</w:t>
      </w:r>
      <w:r>
        <w:rPr>
          <w:rFonts w:hint="eastAsia" w:ascii="楷体_GB2312" w:eastAsia="楷体_GB2312"/>
          <w:b/>
          <w:color w:val="000000" w:themeColor="text1"/>
          <w:sz w:val="32"/>
          <w:szCs w:val="32"/>
          <w14:textFill>
            <w14:solidFill>
              <w14:schemeClr w14:val="tx1"/>
            </w14:solidFill>
          </w14:textFill>
        </w:rPr>
        <w:t>宗教坚持中国化方向。</w:t>
      </w:r>
      <w:r>
        <w:rPr>
          <w:rFonts w:hint="eastAsia" w:ascii="仿宋_GB2312" w:eastAsia="仿宋_GB2312"/>
          <w:color w:val="000000" w:themeColor="text1"/>
          <w:sz w:val="32"/>
          <w:szCs w:val="32"/>
          <w14:textFill>
            <w14:solidFill>
              <w14:schemeClr w14:val="tx1"/>
            </w14:solidFill>
          </w14:textFill>
        </w:rPr>
        <w:t>结合思政课建设新要求、公共课教师队伍建设新情况，加强公共课教师能力提升。</w:t>
      </w:r>
      <w:r>
        <w:rPr>
          <w:rFonts w:hint="eastAsia" w:ascii="仿宋_GB2312" w:eastAsia="仿宋_GB2312"/>
          <w:b/>
          <w:color w:val="000000" w:themeColor="text1"/>
          <w:sz w:val="32"/>
          <w:szCs w:val="32"/>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按要求科学谋划公共课教师使用和能力提升计划。会同干部人事处草拟关于公共课教师使用的建议方案。拟制公共课教师能力提升方案，多措并举提升教师能力素质。</w:t>
      </w:r>
      <w:r>
        <w:rPr>
          <w:rFonts w:hint="eastAsia" w:ascii="仿宋_GB2312" w:eastAsia="仿宋_GB2312"/>
          <w:b/>
          <w:color w:val="000000" w:themeColor="text1"/>
          <w:sz w:val="32"/>
          <w:szCs w:val="32"/>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着力强化新进公共课教师理论武装。以思想政治教育为首要任务，一方面通过中心党员干部“一对一”结对联系公共课教师，帮助其尽快适应民族宗教工作岗位。另一方面，打造涵盖民族宗教、政治历史等多方面书籍的图书角，制定学习计划，建立学习台账，梳理形成学习纲要，组织全员利用每周例会和“读书月”活动等集中学习，已开展各项学习研讨活动41次。</w:t>
      </w:r>
      <w:r>
        <w:rPr>
          <w:rFonts w:hint="eastAsia" w:ascii="仿宋_GB2312" w:eastAsia="仿宋_GB2312"/>
          <w:b/>
          <w:bCs/>
          <w:color w:val="000000" w:themeColor="text1"/>
          <w:sz w:val="32"/>
          <w:szCs w:val="32"/>
          <w14:textFill>
            <w14:solidFill>
              <w14:schemeClr w14:val="tx1"/>
            </w14:solidFill>
          </w14:textFill>
        </w:rPr>
        <w:t>三是</w:t>
      </w:r>
      <w:r>
        <w:rPr>
          <w:rFonts w:hint="eastAsia" w:ascii="仿宋_GB2312" w:eastAsia="仿宋_GB2312"/>
          <w:color w:val="000000" w:themeColor="text1"/>
          <w:sz w:val="32"/>
          <w:szCs w:val="32"/>
          <w14:textFill>
            <w14:solidFill>
              <w14:schemeClr w14:val="tx1"/>
            </w14:solidFill>
          </w14:textFill>
        </w:rPr>
        <w:t>切实贯彻国、省宗教院校五年规划，着力提升公共课教师教学质量。邀请一线教学名师围绕如何讲好中国故事开展教学技能培训、邀请大学教授围绕民族宗教开展专题辅导等培训2期，开展新进公共课教师试讲2次，开展集体备课研讨4次，与宗教综合处联合开展宗教院校公共课教学调研1次，形成针对宗教院校行政管理人员、教师、学生的调研问卷与调研报告。</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eastAsia="仿宋_GB2312"/>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（三）创新探索推进民宗工作信息化建设，服务于民宗事务治理能力现代化</w:t>
      </w:r>
      <w:r>
        <w:rPr>
          <w:rFonts w:hint="eastAsia" w:ascii="楷体_GB2312" w:eastAsia="楷体_GB2312"/>
          <w:color w:val="000000" w:themeColor="text1"/>
          <w:sz w:val="32"/>
          <w:szCs w:val="32"/>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积极推进“数字民宗”平台建设。民族方面，协助文外处、教科语文处梳理了2期业务需求；宗教方面，梳理了消防管理等2期业务需求，就疫情期间宗教活动预约管理等3大功能模块提出建议，协助做好推进成都、泸州试点相关工作；移动办公方面，持续收集办公自动化需求及后续跟进，形成OA升级项目技术方案。</w:t>
      </w:r>
      <w:r>
        <w:rPr>
          <w:rFonts w:hint="eastAsia" w:ascii="仿宋_GB2312" w:eastAsia="仿宋_GB2312"/>
          <w:b/>
          <w:color w:val="000000" w:themeColor="text1"/>
          <w:sz w:val="32"/>
          <w:szCs w:val="32"/>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建章立制做好“数字民宗”保障工作。起草并印发了委办公自动化子系统运行管理办法，制作了办公自动化操作手册，起草了数字民宗运行管理办法，建立了系统操作指导常态化机制、系统使用意见反馈机制，确保系统正常运行。</w:t>
      </w:r>
      <w:r>
        <w:rPr>
          <w:rFonts w:hint="eastAsia" w:ascii="仿宋_GB2312" w:eastAsia="仿宋_GB2312"/>
          <w:b/>
          <w:color w:val="000000" w:themeColor="text1"/>
          <w:sz w:val="32"/>
          <w:szCs w:val="32"/>
          <w14:textFill>
            <w14:solidFill>
              <w14:schemeClr w14:val="tx1"/>
            </w14:solidFill>
          </w14:textFill>
        </w:rPr>
        <w:t>三是</w:t>
      </w:r>
      <w:r>
        <w:rPr>
          <w:rFonts w:hint="eastAsia" w:ascii="仿宋_GB2312" w:eastAsia="仿宋_GB2312"/>
          <w:color w:val="000000" w:themeColor="text1"/>
          <w:sz w:val="32"/>
          <w:szCs w:val="32"/>
          <w14:textFill>
            <w14:solidFill>
              <w14:schemeClr w14:val="tx1"/>
            </w14:solidFill>
          </w14:textFill>
        </w:rPr>
        <w:t>主动融入“互联网+”。草拟了《大数据在四川省民族事务服务管理中运用的可行性方案》《全省宗教活动场所消防平台建设技术支持方案》和《宗教院校公共课智慧课堂实施方案》，为委信息化建设提供建议参考。</w:t>
      </w:r>
    </w:p>
    <w:p>
      <w:pPr>
        <w:pageBreakBefore w:val="0"/>
        <w:widowControl w:val="0"/>
        <w:kinsoku/>
        <w:wordWrap/>
        <w:overflowPunct/>
        <w:topLinePunct w:val="0"/>
        <w:autoSpaceDE/>
        <w:autoSpaceDN/>
        <w:bidi w:val="0"/>
        <w:adjustRightInd/>
        <w:snapToGrid/>
        <w:spacing w:line="600" w:lineRule="exact"/>
        <w:ind w:firstLine="643" w:firstLineChars="200"/>
        <w:textAlignment w:val="auto"/>
        <w:rPr>
          <w:rFonts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（四）保持政治定力，坚定不移用习近平总书记系列精神武装头脑。</w:t>
      </w:r>
      <w:r>
        <w:rPr>
          <w:rFonts w:hint="eastAsia" w:ascii="仿宋_GB2312" w:eastAsia="仿宋_GB2312"/>
          <w:color w:val="000000" w:themeColor="text1"/>
          <w:sz w:val="32"/>
          <w:szCs w:val="32"/>
          <w14:textFill>
            <w14:solidFill>
              <w14:schemeClr w14:val="tx1"/>
            </w14:solidFill>
          </w14:textFill>
        </w:rPr>
        <w:t>深刻理解新形势“好干部”要求、自觉践行新时代“好干部”标准。</w:t>
      </w:r>
      <w:r>
        <w:rPr>
          <w:rFonts w:hint="eastAsia" w:ascii="仿宋_GB2312" w:eastAsia="仿宋_GB2312"/>
          <w:b/>
          <w:color w:val="000000" w:themeColor="text1"/>
          <w:sz w:val="32"/>
          <w:szCs w:val="32"/>
          <w14:textFill>
            <w14:solidFill>
              <w14:schemeClr w14:val="tx1"/>
            </w14:solidFill>
          </w14:textFill>
        </w:rPr>
        <w:t>一方面</w:t>
      </w:r>
      <w:r>
        <w:rPr>
          <w:rFonts w:hint="eastAsia" w:ascii="仿宋_GB2312" w:eastAsia="仿宋_GB2312"/>
          <w:color w:val="000000" w:themeColor="text1"/>
          <w:sz w:val="32"/>
          <w:szCs w:val="32"/>
          <w14:textFill>
            <w14:solidFill>
              <w14:schemeClr w14:val="tx1"/>
            </w14:solidFill>
          </w14:textFill>
        </w:rPr>
        <w:t>，理顺机制。设立综合组、信息化组、培训组和师资组，定人定组，明确职能职责，实现层级管理。坚持每周1工作例会，每周1工作清单。修订并完善请销假、财务管理、印章管理等6项制度，确保有章可循、有据可依。对公文处理、重大经费支出、培训工作等流程、风险点逐一明确，严格按规范运行。</w:t>
      </w:r>
      <w:r>
        <w:rPr>
          <w:rFonts w:hint="eastAsia" w:ascii="仿宋_GB2312" w:eastAsia="仿宋_GB2312"/>
          <w:b/>
          <w:color w:val="000000" w:themeColor="text1"/>
          <w:sz w:val="32"/>
          <w:szCs w:val="32"/>
          <w14:textFill>
            <w14:solidFill>
              <w14:schemeClr w14:val="tx1"/>
            </w14:solidFill>
          </w14:textFill>
        </w:rPr>
        <w:t>另一方面</w:t>
      </w:r>
      <w:r>
        <w:rPr>
          <w:rFonts w:hint="eastAsia" w:ascii="仿宋_GB2312" w:eastAsia="仿宋_GB2312"/>
          <w:color w:val="000000" w:themeColor="text1"/>
          <w:sz w:val="32"/>
          <w:szCs w:val="32"/>
          <w14:textFill>
            <w14:solidFill>
              <w14:schemeClr w14:val="tx1"/>
            </w14:solidFill>
          </w14:textFill>
        </w:rPr>
        <w:t>，党建引领。完成支部改选，选举书记、副书记。制定了党建、廉政、“五好党支部”、书香支部创建等工作要点，并将之细化为7大类105小项具体细则。坚持每月召开1次支部会，对中、省、委重要精神进行集中学习，定期通报党建情况，已召开支部会12次；坚持思想引领不停歇，邀请机关纪委书记为中心职工做廉政谈话，邀请基层一线村书记围绕脱贫攻坚讲党课，开展讲党课4次；在色达县下甲斗村拍摄录制“党课开讲了”微视频，并报送机关党委；坚持每月主题党日活动，邀请抗疫英雄讲述一线故事、聆听扶贫干部分享初心之路、组织观看红色电影等活动，注重从榜样力量中增强政治责任感，注重从身边事感悟初心“大境界”，注重用小切口写好使命“大文章”。</w:t>
      </w:r>
    </w:p>
    <w:p>
      <w:pPr>
        <w:rPr>
          <w:rFonts w:hint="eastAsia"/>
          <w:color w:val="000000" w:themeColor="text1"/>
          <w14:textFill>
            <w14:solidFill>
              <w14:schemeClr w14:val="tx1"/>
            </w14:solidFill>
          </w14:textFill>
        </w:rPr>
      </w:pPr>
    </w:p>
    <w:p>
      <w:pPr>
        <w:pStyle w:val="4"/>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黑体" w:hAnsi="黑体" w:eastAsia="黑体"/>
          <w:b w:val="0"/>
          <w:color w:val="auto"/>
          <w:highlight w:val="none"/>
          <w:lang w:val="en-US" w:eastAsia="zh-CN"/>
        </w:rPr>
      </w:pPr>
      <w:bookmarkStart w:id="16" w:name="_Toc15377204"/>
      <w:bookmarkStart w:id="17" w:name="_Toc15396602"/>
      <w:r>
        <w:rPr>
          <w:rFonts w:hint="eastAsia" w:ascii="黑体" w:hAnsi="黑体" w:eastAsia="黑体"/>
          <w:b w:val="0"/>
          <w:color w:val="auto"/>
          <w:highlight w:val="none"/>
          <w:lang w:val="en-US" w:eastAsia="zh-CN"/>
        </w:rPr>
        <w:t>三、机构设置情况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本单位无内设机构。</w:t>
      </w:r>
    </w:p>
    <w:p>
      <w:pPr>
        <w:pStyle w:val="3"/>
        <w:ind w:right="440"/>
        <w:jc w:val="both"/>
        <w:rPr>
          <w:rFonts w:hint="eastAsia" w:ascii="黑体" w:hAnsi="黑体" w:eastAsia="黑体"/>
          <w:b w:val="0"/>
          <w:bCs/>
          <w:color w:val="000000" w:themeColor="text1"/>
          <w:lang w:val="en-US" w:eastAsia="zh-CN"/>
          <w14:textFill>
            <w14:solidFill>
              <w14:schemeClr w14:val="tx1"/>
            </w14:solidFill>
          </w14:textFill>
        </w:rPr>
      </w:pPr>
      <w:r>
        <w:rPr>
          <w:rFonts w:hint="eastAsia" w:ascii="黑体" w:hAnsi="黑体" w:eastAsia="黑体"/>
          <w:b w:val="0"/>
          <w:bCs/>
          <w:color w:val="000000" w:themeColor="text1"/>
          <w:lang w:val="en-US" w:eastAsia="zh-CN"/>
          <w14:textFill>
            <w14:solidFill>
              <w14:schemeClr w14:val="tx1"/>
            </w14:solidFill>
          </w14:textFill>
        </w:rPr>
        <w:t xml:space="preserve">     </w:t>
      </w:r>
    </w:p>
    <w:p>
      <w:pPr>
        <w:pStyle w:val="3"/>
        <w:ind w:right="440"/>
        <w:jc w:val="both"/>
        <w:rPr>
          <w:rFonts w:hint="eastAsia" w:ascii="黑体" w:hAnsi="黑体" w:eastAsia="黑体"/>
          <w:b w:val="0"/>
          <w:bCs/>
          <w:color w:val="000000" w:themeColor="text1"/>
          <w:lang w:val="en-US" w:eastAsia="zh-CN"/>
          <w14:textFill>
            <w14:solidFill>
              <w14:schemeClr w14:val="tx1"/>
            </w14:solidFill>
          </w14:textFill>
        </w:rPr>
      </w:pPr>
      <w:r>
        <w:rPr>
          <w:rFonts w:hint="eastAsia" w:ascii="黑体" w:hAnsi="黑体" w:eastAsia="黑体"/>
          <w:b w:val="0"/>
          <w:bCs/>
          <w:color w:val="000000" w:themeColor="text1"/>
          <w:lang w:val="en-US" w:eastAsia="zh-CN"/>
          <w14:textFill>
            <w14:solidFill>
              <w14:schemeClr w14:val="tx1"/>
            </w14:solidFill>
          </w14:textFill>
        </w:rPr>
        <w:t xml:space="preserve">                                          </w:t>
      </w:r>
    </w:p>
    <w:p>
      <w:pPr>
        <w:pStyle w:val="3"/>
        <w:ind w:right="440" w:firstLine="440" w:firstLineChars="100"/>
        <w:jc w:val="both"/>
        <w:rPr>
          <w:rStyle w:val="26"/>
          <w:rFonts w:ascii="黑体" w:hAnsi="黑体" w:eastAsia="黑体"/>
          <w:b w:val="0"/>
          <w:bCs/>
          <w:color w:val="000000" w:themeColor="text1"/>
          <w14:textFill>
            <w14:solidFill>
              <w14:schemeClr w14:val="tx1"/>
            </w14:solidFill>
          </w14:textFill>
        </w:rPr>
      </w:pPr>
      <w:r>
        <w:rPr>
          <w:rFonts w:hint="eastAsia" w:ascii="黑体" w:hAnsi="黑体" w:eastAsia="黑体"/>
          <w:b w:val="0"/>
          <w:bCs/>
          <w:color w:val="000000" w:themeColor="text1"/>
          <w14:textFill>
            <w14:solidFill>
              <w14:schemeClr w14:val="tx1"/>
            </w14:solidFill>
          </w14:textFill>
        </w:rPr>
        <w:t xml:space="preserve">第二部分 </w:t>
      </w:r>
      <w:r>
        <w:rPr>
          <w:rFonts w:hint="eastAsia" w:ascii="黑体" w:hAnsi="黑体" w:eastAsia="黑体"/>
          <w:b w:val="0"/>
          <w:bCs/>
          <w:color w:val="000000" w:themeColor="text1"/>
          <w:lang w:val="en-US" w:eastAsia="zh-CN"/>
          <w14:textFill>
            <w14:solidFill>
              <w14:schemeClr w14:val="tx1"/>
            </w14:solidFill>
          </w14:textFill>
        </w:rPr>
        <w:t>2020年度</w:t>
      </w:r>
      <w:r>
        <w:rPr>
          <w:rStyle w:val="26"/>
          <w:rFonts w:hint="eastAsia" w:ascii="黑体" w:hAnsi="黑体" w:eastAsia="黑体"/>
          <w:b w:val="0"/>
          <w:bCs/>
          <w:color w:val="000000" w:themeColor="text1"/>
          <w14:textFill>
            <w14:solidFill>
              <w14:schemeClr w14:val="tx1"/>
            </w14:solidFill>
          </w14:textFill>
        </w:rPr>
        <w:t>部门决算情况说明</w:t>
      </w:r>
      <w:bookmarkEnd w:id="16"/>
      <w:bookmarkEnd w:id="17"/>
    </w:p>
    <w:p>
      <w:pPr>
        <w:rPr>
          <w:color w:val="000000" w:themeColor="text1"/>
          <w14:textFill>
            <w14:solidFill>
              <w14:schemeClr w14:val="tx1"/>
            </w14:solidFill>
          </w14:textFill>
        </w:rPr>
      </w:pPr>
    </w:p>
    <w:p>
      <w:pPr>
        <w:pStyle w:val="25"/>
        <w:numPr>
          <w:ilvl w:val="0"/>
          <w:numId w:val="2"/>
        </w:numPr>
        <w:spacing w:line="600" w:lineRule="exact"/>
        <w:ind w:firstLineChars="0"/>
        <w:outlineLvl w:val="1"/>
        <w:rPr>
          <w:rStyle w:val="27"/>
          <w:rFonts w:ascii="黑体" w:hAnsi="黑体" w:eastAsia="黑体"/>
          <w:b w:val="0"/>
          <w:color w:val="000000" w:themeColor="text1"/>
          <w14:textFill>
            <w14:solidFill>
              <w14:schemeClr w14:val="tx1"/>
            </w14:solidFill>
          </w14:textFill>
        </w:rPr>
      </w:pPr>
      <w:bookmarkStart w:id="18" w:name="_Toc15377205"/>
      <w:bookmarkStart w:id="19" w:name="_Toc15396603"/>
      <w:r>
        <w:rPr>
          <w:rFonts w:hint="eastAsia" w:ascii="黑体" w:hAnsi="黑体" w:eastAsia="黑体"/>
          <w:color w:val="000000" w:themeColor="text1"/>
          <w:sz w:val="32"/>
          <w:szCs w:val="32"/>
          <w14:textFill>
            <w14:solidFill>
              <w14:schemeClr w14:val="tx1"/>
            </w14:solidFill>
          </w14:textFill>
        </w:rPr>
        <w:t>收</w:t>
      </w:r>
      <w:r>
        <w:rPr>
          <w:rStyle w:val="27"/>
          <w:rFonts w:hint="eastAsia" w:ascii="黑体" w:hAnsi="黑体" w:eastAsia="黑体"/>
          <w:b w:val="0"/>
          <w:color w:val="000000" w:themeColor="text1"/>
          <w14:textFill>
            <w14:solidFill>
              <w14:schemeClr w14:val="tx1"/>
            </w14:solidFill>
          </w14:textFill>
        </w:rPr>
        <w:t>入支出决算总体情况说明</w:t>
      </w:r>
      <w:bookmarkEnd w:id="18"/>
      <w:bookmarkEnd w:id="19"/>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年度</w:t>
      </w:r>
      <w:r>
        <w:rPr>
          <w:rFonts w:hint="default" w:ascii="Times New Roman" w:hAnsi="Times New Roman" w:eastAsia="仿宋_GB2312" w:cs="Times New Roman"/>
          <w:color w:val="000000" w:themeColor="text1"/>
          <w:sz w:val="32"/>
          <w:szCs w:val="32"/>
          <w14:textFill>
            <w14:solidFill>
              <w14:schemeClr w14:val="tx1"/>
            </w14:solidFill>
          </w14:textFill>
        </w:rPr>
        <w:t>收、支总计</w:t>
      </w:r>
      <w:r>
        <w:rPr>
          <w:rFonts w:hint="eastAsia" w:ascii="仿宋" w:hAnsi="仿宋" w:eastAsia="仿宋"/>
          <w:color w:val="000000" w:themeColor="text1"/>
          <w:sz w:val="32"/>
          <w:szCs w:val="32"/>
          <w:lang w:val="en-US" w:eastAsia="zh-CN"/>
          <w14:textFill>
            <w14:solidFill>
              <w14:schemeClr w14:val="tx1"/>
            </w14:solidFill>
          </w14:textFill>
        </w:rPr>
        <w:t>127.66</w:t>
      </w:r>
      <w:r>
        <w:rPr>
          <w:rFonts w:hint="eastAsia" w:ascii="仿宋" w:hAnsi="仿宋" w:eastAsia="仿宋"/>
          <w:color w:val="000000" w:themeColor="text1"/>
          <w:sz w:val="32"/>
          <w:szCs w:val="32"/>
          <w14:textFill>
            <w14:solidFill>
              <w14:schemeClr w14:val="tx1"/>
            </w14:solidFill>
          </w14:textFill>
        </w:rPr>
        <w:t>万元。与201</w:t>
      </w: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年相比，收、支总计各增加</w:t>
      </w:r>
      <w:r>
        <w:rPr>
          <w:rFonts w:hint="eastAsia" w:ascii="仿宋" w:hAnsi="仿宋" w:eastAsia="仿宋"/>
          <w:color w:val="000000" w:themeColor="text1"/>
          <w:sz w:val="32"/>
          <w:szCs w:val="32"/>
          <w:lang w:val="en-US" w:eastAsia="zh-CN"/>
          <w14:textFill>
            <w14:solidFill>
              <w14:schemeClr w14:val="tx1"/>
            </w14:solidFill>
          </w14:textFill>
        </w:rPr>
        <w:t>29.12</w:t>
      </w:r>
      <w:r>
        <w:rPr>
          <w:rFonts w:hint="eastAsia" w:ascii="仿宋" w:hAnsi="仿宋" w:eastAsia="仿宋"/>
          <w:color w:val="000000" w:themeColor="text1"/>
          <w:sz w:val="32"/>
          <w:szCs w:val="32"/>
          <w14:textFill>
            <w14:solidFill>
              <w14:schemeClr w14:val="tx1"/>
            </w14:solidFill>
          </w14:textFill>
        </w:rPr>
        <w:t>万元，增长</w:t>
      </w:r>
      <w:r>
        <w:rPr>
          <w:rFonts w:hint="eastAsia" w:ascii="仿宋" w:hAnsi="仿宋" w:eastAsia="仿宋"/>
          <w:color w:val="000000" w:themeColor="text1"/>
          <w:sz w:val="32"/>
          <w:szCs w:val="32"/>
          <w:lang w:val="en-US" w:eastAsia="zh-CN"/>
          <w14:textFill>
            <w14:solidFill>
              <w14:schemeClr w14:val="tx1"/>
            </w14:solidFill>
          </w14:textFill>
        </w:rPr>
        <w:t>29.55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eastAsia="zh-CN"/>
          <w14:textFill>
            <w14:solidFill>
              <w14:schemeClr w14:val="tx1"/>
            </w14:solidFill>
          </w14:textFill>
        </w:rPr>
        <w:t>单位调入新增人员，人员经费增加。</w:t>
      </w:r>
    </w:p>
    <w:p>
      <w:pPr>
        <w:spacing w:line="600" w:lineRule="exact"/>
        <w:ind w:firstLine="640" w:firstLineChars="200"/>
        <w:jc w:val="left"/>
        <w:rPr>
          <w:rFonts w:ascii="仿宋_GB2312" w:eastAsia="仿宋_GB2312"/>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366395</wp:posOffset>
            </wp:positionH>
            <wp:positionV relativeFrom="paragraph">
              <wp:posOffset>147955</wp:posOffset>
            </wp:positionV>
            <wp:extent cx="5196205" cy="2956560"/>
            <wp:effectExtent l="4445" t="4445" r="19050" b="1079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25"/>
        <w:numPr>
          <w:ilvl w:val="0"/>
          <w:numId w:val="2"/>
        </w:numPr>
        <w:spacing w:line="600" w:lineRule="exact"/>
        <w:ind w:firstLineChars="0"/>
        <w:outlineLvl w:val="1"/>
        <w:rPr>
          <w:rStyle w:val="27"/>
          <w:rFonts w:ascii="黑体" w:hAnsi="黑体" w:eastAsia="黑体"/>
          <w:b w:val="0"/>
          <w:color w:val="000000" w:themeColor="text1"/>
          <w14:textFill>
            <w14:solidFill>
              <w14:schemeClr w14:val="tx1"/>
            </w14:solidFill>
          </w14:textFill>
        </w:rPr>
      </w:pPr>
      <w:bookmarkStart w:id="20" w:name="_Toc15396604"/>
      <w:bookmarkStart w:id="21" w:name="_Toc15377206"/>
      <w:r>
        <w:rPr>
          <w:rFonts w:hint="eastAsia" w:ascii="黑体" w:hAnsi="黑体" w:eastAsia="黑体"/>
          <w:color w:val="000000" w:themeColor="text1"/>
          <w:sz w:val="32"/>
          <w:szCs w:val="32"/>
          <w14:textFill>
            <w14:solidFill>
              <w14:schemeClr w14:val="tx1"/>
            </w14:solidFill>
          </w14:textFill>
        </w:rPr>
        <w:t>收</w:t>
      </w:r>
      <w:r>
        <w:rPr>
          <w:rStyle w:val="27"/>
          <w:rFonts w:hint="eastAsia" w:ascii="黑体" w:hAnsi="黑体" w:eastAsia="黑体"/>
          <w:b w:val="0"/>
          <w:color w:val="000000" w:themeColor="text1"/>
          <w14:textFill>
            <w14:solidFill>
              <w14:schemeClr w14:val="tx1"/>
            </w14:solidFill>
          </w14:textFill>
        </w:rPr>
        <w:t>入决算情况说明</w:t>
      </w:r>
      <w:bookmarkEnd w:id="20"/>
      <w:bookmarkEnd w:id="21"/>
    </w:p>
    <w:p>
      <w:pPr>
        <w:spacing w:line="600" w:lineRule="exact"/>
        <w:ind w:firstLine="640" w:firstLineChars="200"/>
        <w:outlineLvl w:val="1"/>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年本年收入合计</w:t>
      </w:r>
      <w:r>
        <w:rPr>
          <w:rFonts w:hint="eastAsia" w:ascii="仿宋" w:hAnsi="仿宋" w:eastAsia="仿宋"/>
          <w:color w:val="000000" w:themeColor="text1"/>
          <w:sz w:val="32"/>
          <w:szCs w:val="32"/>
          <w:lang w:val="en-US" w:eastAsia="zh-CN"/>
          <w14:textFill>
            <w14:solidFill>
              <w14:schemeClr w14:val="tx1"/>
            </w14:solidFill>
          </w14:textFill>
        </w:rPr>
        <w:t>127.66</w:t>
      </w:r>
      <w:r>
        <w:rPr>
          <w:rFonts w:hint="eastAsia" w:ascii="仿宋" w:hAnsi="仿宋" w:eastAsia="仿宋"/>
          <w:color w:val="000000" w:themeColor="text1"/>
          <w:sz w:val="32"/>
          <w:szCs w:val="32"/>
          <w14:textFill>
            <w14:solidFill>
              <w14:schemeClr w14:val="tx1"/>
            </w14:solidFill>
          </w14:textFill>
        </w:rPr>
        <w:t>万元，其中：一般公共预算财政拨款收入</w:t>
      </w:r>
      <w:r>
        <w:rPr>
          <w:rFonts w:hint="eastAsia" w:ascii="仿宋" w:hAnsi="仿宋" w:eastAsia="仿宋"/>
          <w:color w:val="000000" w:themeColor="text1"/>
          <w:sz w:val="32"/>
          <w:szCs w:val="32"/>
          <w:lang w:val="en-US" w:eastAsia="zh-CN"/>
          <w14:textFill>
            <w14:solidFill>
              <w14:schemeClr w14:val="tx1"/>
            </w14:solidFill>
          </w14:textFill>
        </w:rPr>
        <w:t>127.62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99.97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；政府性基金预算财政拨款收入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；上级补助收入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；事业收入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；经营收入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；附属单位上缴收入</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；其他收入</w:t>
      </w:r>
      <w:r>
        <w:rPr>
          <w:rFonts w:hint="eastAsia" w:ascii="仿宋" w:hAnsi="仿宋" w:eastAsia="仿宋"/>
          <w:color w:val="000000" w:themeColor="text1"/>
          <w:sz w:val="32"/>
          <w:szCs w:val="32"/>
          <w:lang w:val="en-US" w:eastAsia="zh-CN"/>
          <w14:textFill>
            <w14:solidFill>
              <w14:schemeClr w14:val="tx1"/>
            </w14:solidFill>
          </w14:textFill>
        </w:rPr>
        <w:t>0.04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0.03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3" w:firstLineChars="200"/>
        <w:outlineLvl w:val="1"/>
        <w:rPr>
          <w:rFonts w:ascii="仿宋" w:hAnsi="仿宋" w:eastAsia="仿宋"/>
          <w:b/>
          <w:color w:val="000000" w:themeColor="text1"/>
          <w:sz w:val="32"/>
          <w:szCs w:val="32"/>
          <w14:textFill>
            <w14:solidFill>
              <w14:schemeClr w14:val="tx1"/>
            </w14:solidFill>
          </w14:textFill>
        </w:rPr>
      </w:pPr>
    </w:p>
    <w:p>
      <w:pPr>
        <w:spacing w:line="600" w:lineRule="exact"/>
        <w:ind w:firstLine="640" w:firstLineChars="200"/>
        <w:outlineLvl w:val="1"/>
        <w:rPr>
          <w:rFonts w:ascii="仿宋" w:hAnsi="仿宋" w:eastAsia="仿宋"/>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375920</wp:posOffset>
            </wp:positionH>
            <wp:positionV relativeFrom="paragraph">
              <wp:posOffset>-586105</wp:posOffset>
            </wp:positionV>
            <wp:extent cx="5127625" cy="3039745"/>
            <wp:effectExtent l="4445" t="4445" r="11430" b="2286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rPr>
          <w:rFonts w:ascii="仿宋_GB2312" w:eastAsia="仿宋_GB2312"/>
          <w:color w:val="000000" w:themeColor="text1"/>
          <w:sz w:val="32"/>
          <w:szCs w:val="32"/>
          <w14:textFill>
            <w14:solidFill>
              <w14:schemeClr w14:val="tx1"/>
            </w14:solidFill>
          </w14:textFill>
        </w:rPr>
      </w:pPr>
    </w:p>
    <w:p>
      <w:pPr>
        <w:pStyle w:val="25"/>
        <w:numPr>
          <w:ilvl w:val="0"/>
          <w:numId w:val="2"/>
        </w:numPr>
        <w:spacing w:line="600" w:lineRule="exact"/>
        <w:ind w:firstLineChars="0"/>
        <w:outlineLvl w:val="1"/>
        <w:rPr>
          <w:rStyle w:val="27"/>
          <w:rFonts w:ascii="黑体" w:hAnsi="黑体" w:eastAsia="黑体"/>
          <w:b w:val="0"/>
          <w:color w:val="000000" w:themeColor="text1"/>
          <w14:textFill>
            <w14:solidFill>
              <w14:schemeClr w14:val="tx1"/>
            </w14:solidFill>
          </w14:textFill>
        </w:rPr>
      </w:pPr>
      <w:bookmarkStart w:id="22" w:name="_Toc15377207"/>
      <w:bookmarkStart w:id="23" w:name="_Toc15396605"/>
      <w:r>
        <w:rPr>
          <w:rFonts w:hint="eastAsia" w:ascii="黑体" w:hAnsi="黑体" w:eastAsia="黑体"/>
          <w:color w:val="000000" w:themeColor="text1"/>
          <w:sz w:val="32"/>
          <w:szCs w:val="32"/>
          <w14:textFill>
            <w14:solidFill>
              <w14:schemeClr w14:val="tx1"/>
            </w14:solidFill>
          </w14:textFill>
        </w:rPr>
        <w:t>支</w:t>
      </w:r>
      <w:r>
        <w:rPr>
          <w:rStyle w:val="27"/>
          <w:rFonts w:hint="eastAsia" w:ascii="黑体" w:hAnsi="黑体" w:eastAsia="黑体"/>
          <w:b w:val="0"/>
          <w:color w:val="000000" w:themeColor="text1"/>
          <w14:textFill>
            <w14:solidFill>
              <w14:schemeClr w14:val="tx1"/>
            </w14:solidFill>
          </w14:textFill>
        </w:rPr>
        <w:t>出决算情况说明</w:t>
      </w:r>
      <w:bookmarkEnd w:id="22"/>
      <w:bookmarkEnd w:id="23"/>
    </w:p>
    <w:p>
      <w:pPr>
        <w:spacing w:line="600" w:lineRule="exact"/>
        <w:ind w:firstLine="640" w:firstLineChars="200"/>
        <w:outlineLvl w:val="1"/>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年本年支出合计</w:t>
      </w:r>
      <w:r>
        <w:rPr>
          <w:rFonts w:hint="eastAsia" w:ascii="仿宋" w:hAnsi="仿宋" w:eastAsia="仿宋"/>
          <w:color w:val="000000" w:themeColor="text1"/>
          <w:sz w:val="32"/>
          <w:szCs w:val="32"/>
          <w:lang w:val="en-US" w:eastAsia="zh-CN"/>
          <w14:textFill>
            <w14:solidFill>
              <w14:schemeClr w14:val="tx1"/>
            </w14:solidFill>
          </w14:textFill>
        </w:rPr>
        <w:t>127.66</w:t>
      </w:r>
      <w:r>
        <w:rPr>
          <w:rFonts w:hint="eastAsia" w:ascii="仿宋" w:hAnsi="仿宋" w:eastAsia="仿宋"/>
          <w:color w:val="000000" w:themeColor="text1"/>
          <w:sz w:val="32"/>
          <w:szCs w:val="32"/>
          <w14:textFill>
            <w14:solidFill>
              <w14:schemeClr w14:val="tx1"/>
            </w14:solidFill>
          </w14:textFill>
        </w:rPr>
        <w:t>万元，其中：基本支出</w:t>
      </w:r>
      <w:r>
        <w:rPr>
          <w:rFonts w:hint="eastAsia" w:ascii="仿宋" w:hAnsi="仿宋" w:eastAsia="仿宋"/>
          <w:color w:val="000000" w:themeColor="text1"/>
          <w:sz w:val="32"/>
          <w:szCs w:val="32"/>
          <w:lang w:val="en-US" w:eastAsia="zh-CN"/>
          <w14:textFill>
            <w14:solidFill>
              <w14:schemeClr w14:val="tx1"/>
            </w14:solidFill>
          </w14:textFill>
        </w:rPr>
        <w:t>119.16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；项目支出</w:t>
      </w:r>
      <w:r>
        <w:rPr>
          <w:rFonts w:hint="eastAsia" w:ascii="仿宋" w:hAnsi="仿宋" w:eastAsia="仿宋"/>
          <w:color w:val="000000" w:themeColor="text1"/>
          <w:sz w:val="32"/>
          <w:szCs w:val="32"/>
          <w:lang w:val="en-US" w:eastAsia="zh-CN"/>
          <w14:textFill>
            <w14:solidFill>
              <w14:schemeClr w14:val="tx1"/>
            </w14:solidFill>
          </w14:textFill>
        </w:rPr>
        <w:t>8.5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；上缴上级支出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；经营支出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；对附属单位补助支出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pStyle w:val="6"/>
        <w:rPr>
          <w:color w:val="000000" w:themeColor="text1"/>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299720</wp:posOffset>
            </wp:positionH>
            <wp:positionV relativeFrom="paragraph">
              <wp:posOffset>189865</wp:posOffset>
            </wp:positionV>
            <wp:extent cx="5207000" cy="2856865"/>
            <wp:effectExtent l="4445" t="4445" r="8255" b="1524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7"/>
          <w:rFonts w:ascii="黑体" w:hAnsi="黑体" w:eastAsia="黑体"/>
          <w:b w:val="0"/>
          <w:color w:val="000000" w:themeColor="text1"/>
          <w14:textFill>
            <w14:solidFill>
              <w14:schemeClr w14:val="tx1"/>
            </w14:solidFill>
          </w14:textFill>
        </w:rPr>
      </w:pPr>
      <w:bookmarkStart w:id="24" w:name="_Toc15396606"/>
      <w:bookmarkStart w:id="25" w:name="_Toc15377208"/>
      <w:r>
        <w:rPr>
          <w:rFonts w:hint="eastAsia" w:ascii="黑体" w:hAnsi="黑体" w:eastAsia="黑体"/>
          <w:color w:val="000000" w:themeColor="text1"/>
          <w:sz w:val="32"/>
          <w:szCs w:val="32"/>
          <w14:textFill>
            <w14:solidFill>
              <w14:schemeClr w14:val="tx1"/>
            </w14:solidFill>
          </w14:textFill>
        </w:rPr>
        <w:t>四、财</w:t>
      </w:r>
      <w:r>
        <w:rPr>
          <w:rStyle w:val="27"/>
          <w:rFonts w:hint="eastAsia" w:ascii="黑体" w:hAnsi="黑体" w:eastAsia="黑体"/>
          <w:b w:val="0"/>
          <w:color w:val="000000" w:themeColor="text1"/>
          <w14:textFill>
            <w14:solidFill>
              <w14:schemeClr w14:val="tx1"/>
            </w14:solidFill>
          </w14:textFill>
        </w:rPr>
        <w:t>政拨款收入支出决算总体情况说明</w:t>
      </w:r>
      <w:bookmarkEnd w:id="24"/>
      <w:bookmarkEnd w:id="25"/>
    </w:p>
    <w:p>
      <w:pPr>
        <w:spacing w:line="600" w:lineRule="exact"/>
        <w:ind w:firstLine="64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年财政拨款收、支总计</w:t>
      </w:r>
      <w:r>
        <w:rPr>
          <w:rFonts w:hint="eastAsia" w:ascii="仿宋" w:hAnsi="仿宋" w:eastAsia="仿宋"/>
          <w:color w:val="000000" w:themeColor="text1"/>
          <w:sz w:val="32"/>
          <w:szCs w:val="32"/>
          <w:lang w:val="en-US" w:eastAsia="zh-CN"/>
          <w14:textFill>
            <w14:solidFill>
              <w14:schemeClr w14:val="tx1"/>
            </w14:solidFill>
          </w14:textFill>
        </w:rPr>
        <w:t>127.62</w:t>
      </w:r>
      <w:r>
        <w:rPr>
          <w:rFonts w:hint="eastAsia" w:ascii="仿宋" w:hAnsi="仿宋" w:eastAsia="仿宋"/>
          <w:color w:val="000000" w:themeColor="text1"/>
          <w:sz w:val="32"/>
          <w:szCs w:val="32"/>
          <w14:textFill>
            <w14:solidFill>
              <w14:schemeClr w14:val="tx1"/>
            </w14:solidFill>
          </w14:textFill>
        </w:rPr>
        <w:t>万元。与</w:t>
      </w: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年相比，财政拨款收、支总计各增加</w:t>
      </w:r>
      <w:r>
        <w:rPr>
          <w:rFonts w:hint="eastAsia" w:ascii="仿宋" w:hAnsi="仿宋" w:eastAsia="仿宋"/>
          <w:color w:val="000000" w:themeColor="text1"/>
          <w:sz w:val="32"/>
          <w:szCs w:val="32"/>
          <w:lang w:val="en-US" w:eastAsia="zh-CN"/>
          <w14:textFill>
            <w14:solidFill>
              <w14:schemeClr w14:val="tx1"/>
            </w14:solidFill>
          </w14:textFill>
        </w:rPr>
        <w:t>29.1</w:t>
      </w:r>
      <w:r>
        <w:rPr>
          <w:rFonts w:hint="eastAsia" w:ascii="仿宋" w:hAnsi="仿宋" w:eastAsia="仿宋"/>
          <w:color w:val="000000" w:themeColor="text1"/>
          <w:sz w:val="32"/>
          <w:szCs w:val="32"/>
          <w14:textFill>
            <w14:solidFill>
              <w14:schemeClr w14:val="tx1"/>
            </w14:solidFill>
          </w14:textFill>
        </w:rPr>
        <w:t>万元，增长</w:t>
      </w:r>
      <w:r>
        <w:rPr>
          <w:rFonts w:hint="eastAsia" w:ascii="仿宋" w:hAnsi="仿宋" w:eastAsia="仿宋"/>
          <w:color w:val="000000" w:themeColor="text1"/>
          <w:sz w:val="32"/>
          <w:szCs w:val="32"/>
          <w:lang w:val="en-US" w:eastAsia="zh-CN"/>
          <w14:textFill>
            <w14:solidFill>
              <w14:schemeClr w14:val="tx1"/>
            </w14:solidFill>
          </w14:textFill>
        </w:rPr>
        <w:t>29.54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w:t>
      </w:r>
      <w:r>
        <w:rPr>
          <w:rFonts w:hint="eastAsia" w:ascii="仿宋" w:hAnsi="仿宋" w:eastAsia="仿宋"/>
          <w:color w:val="000000" w:themeColor="text1"/>
          <w:sz w:val="32"/>
          <w:szCs w:val="32"/>
          <w:lang w:eastAsia="zh-CN"/>
          <w14:textFill>
            <w14:solidFill>
              <w14:schemeClr w14:val="tx1"/>
            </w14:solidFill>
          </w14:textFill>
        </w:rPr>
        <w:t>是单位新增人员，人员经费增加。</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204470</wp:posOffset>
            </wp:positionH>
            <wp:positionV relativeFrom="paragraph">
              <wp:posOffset>295275</wp:posOffset>
            </wp:positionV>
            <wp:extent cx="5221605" cy="3645535"/>
            <wp:effectExtent l="4445" t="4445" r="12700" b="7620"/>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7"/>
          <w:rFonts w:ascii="黑体" w:hAnsi="黑体" w:eastAsia="黑体"/>
          <w:b w:val="0"/>
          <w:color w:val="000000" w:themeColor="text1"/>
          <w14:textFill>
            <w14:solidFill>
              <w14:schemeClr w14:val="tx1"/>
            </w14:solidFill>
          </w14:textFill>
        </w:rPr>
      </w:pPr>
      <w:bookmarkStart w:id="26" w:name="_Toc15396607"/>
      <w:bookmarkStart w:id="27" w:name="_Toc15377209"/>
      <w:r>
        <w:rPr>
          <w:rFonts w:hint="eastAsia" w:ascii="黑体" w:hAnsi="黑体" w:eastAsia="黑体"/>
          <w:color w:val="000000" w:themeColor="text1"/>
          <w:sz w:val="32"/>
          <w:szCs w:val="32"/>
          <w14:textFill>
            <w14:solidFill>
              <w14:schemeClr w14:val="tx1"/>
            </w14:solidFill>
          </w14:textFill>
        </w:rPr>
        <w:t>五、</w:t>
      </w:r>
      <w:r>
        <w:rPr>
          <w:rFonts w:hint="eastAsia" w:ascii="黑体" w:hAnsi="黑体" w:eastAsia="黑体"/>
          <w:b/>
          <w:color w:val="000000" w:themeColor="text1"/>
          <w:sz w:val="32"/>
          <w:szCs w:val="32"/>
          <w14:textFill>
            <w14:solidFill>
              <w14:schemeClr w14:val="tx1"/>
            </w14:solidFill>
          </w14:textFill>
        </w:rPr>
        <w:t>一</w:t>
      </w:r>
      <w:r>
        <w:rPr>
          <w:rStyle w:val="27"/>
          <w:rFonts w:hint="eastAsia" w:ascii="黑体" w:hAnsi="黑体" w:eastAsia="黑体"/>
          <w:b w:val="0"/>
          <w:color w:val="000000" w:themeColor="text1"/>
          <w14:textFill>
            <w14:solidFill>
              <w14:schemeClr w14:val="tx1"/>
            </w14:solidFill>
          </w14:textFill>
        </w:rPr>
        <w:t>般公共预算财政拨款支出决算情况说明</w:t>
      </w:r>
      <w:bookmarkEnd w:id="26"/>
      <w:bookmarkEnd w:id="27"/>
    </w:p>
    <w:p>
      <w:pPr>
        <w:spacing w:line="600" w:lineRule="exact"/>
        <w:ind w:firstLine="643" w:firstLineChars="200"/>
        <w:outlineLvl w:val="2"/>
        <w:rPr>
          <w:rFonts w:ascii="仿宋" w:hAnsi="仿宋" w:eastAsia="仿宋"/>
          <w:b/>
          <w:color w:val="000000" w:themeColor="text1"/>
          <w:sz w:val="32"/>
          <w:szCs w:val="32"/>
          <w14:textFill>
            <w14:solidFill>
              <w14:schemeClr w14:val="tx1"/>
            </w14:solidFill>
          </w14:textFill>
        </w:rPr>
      </w:pPr>
      <w:bookmarkStart w:id="28" w:name="_Toc15377210"/>
      <w:r>
        <w:rPr>
          <w:rFonts w:hint="eastAsia" w:ascii="仿宋" w:hAnsi="仿宋" w:eastAsia="仿宋"/>
          <w:b/>
          <w:color w:val="000000" w:themeColor="text1"/>
          <w:sz w:val="32"/>
          <w:szCs w:val="32"/>
          <w14:textFill>
            <w14:solidFill>
              <w14:schemeClr w14:val="tx1"/>
            </w14:solidFill>
          </w14:textFill>
        </w:rPr>
        <w:t>（一）一般公共预算财政拨款支出决算总体情况</w:t>
      </w:r>
      <w:bookmarkEnd w:id="28"/>
    </w:p>
    <w:p>
      <w:pPr>
        <w:spacing w:line="600" w:lineRule="exact"/>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年一般公共预算财政拨款支出</w:t>
      </w:r>
      <w:r>
        <w:rPr>
          <w:rFonts w:hint="eastAsia" w:ascii="仿宋" w:hAnsi="仿宋" w:eastAsia="仿宋"/>
          <w:color w:val="000000" w:themeColor="text1"/>
          <w:sz w:val="32"/>
          <w:szCs w:val="32"/>
          <w:lang w:val="en-US" w:eastAsia="zh-CN"/>
          <w14:textFill>
            <w14:solidFill>
              <w14:schemeClr w14:val="tx1"/>
            </w14:solidFill>
          </w14:textFill>
        </w:rPr>
        <w:t>127.62</w:t>
      </w:r>
      <w:r>
        <w:rPr>
          <w:rFonts w:hint="eastAsia" w:ascii="仿宋" w:hAnsi="仿宋" w:eastAsia="仿宋"/>
          <w:color w:val="000000" w:themeColor="text1"/>
          <w:sz w:val="32"/>
          <w:szCs w:val="32"/>
          <w14:textFill>
            <w14:solidFill>
              <w14:schemeClr w14:val="tx1"/>
            </w14:solidFill>
          </w14:textFill>
        </w:rPr>
        <w:t>万元，占本年支出合计的</w:t>
      </w:r>
      <w:r>
        <w:rPr>
          <w:rFonts w:hint="eastAsia" w:ascii="仿宋" w:hAnsi="仿宋" w:eastAsia="仿宋"/>
          <w:color w:val="000000" w:themeColor="text1"/>
          <w:sz w:val="32"/>
          <w:szCs w:val="32"/>
          <w:lang w:val="en-US" w:eastAsia="zh-CN"/>
          <w14:textFill>
            <w14:solidFill>
              <w14:schemeClr w14:val="tx1"/>
            </w14:solidFill>
          </w14:textFill>
        </w:rPr>
        <w:t>99.97</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。与</w:t>
      </w:r>
      <w:r>
        <w:rPr>
          <w:rFonts w:ascii="仿宋" w:hAnsi="仿宋" w:eastAsia="仿宋"/>
          <w:color w:val="000000" w:themeColor="text1"/>
          <w:sz w:val="32"/>
          <w:szCs w:val="32"/>
          <w14:textFill>
            <w14:solidFill>
              <w14:schemeClr w14:val="tx1"/>
            </w14:solidFill>
          </w14:textFill>
        </w:rPr>
        <w:t>201</w:t>
      </w:r>
      <w:r>
        <w:rPr>
          <w:rFonts w:hint="eastAsia" w:ascii="仿宋" w:hAnsi="仿宋" w:eastAsia="仿宋"/>
          <w:color w:val="000000" w:themeColor="text1"/>
          <w:sz w:val="32"/>
          <w:szCs w:val="32"/>
          <w:lang w:val="en-US" w:eastAsia="zh-CN"/>
          <w14:textFill>
            <w14:solidFill>
              <w14:schemeClr w14:val="tx1"/>
            </w14:solidFill>
          </w14:textFill>
        </w:rPr>
        <w:t>9</w:t>
      </w:r>
      <w:r>
        <w:rPr>
          <w:rFonts w:hint="eastAsia" w:ascii="仿宋" w:hAnsi="仿宋" w:eastAsia="仿宋"/>
          <w:color w:val="000000" w:themeColor="text1"/>
          <w:sz w:val="32"/>
          <w:szCs w:val="32"/>
          <w14:textFill>
            <w14:solidFill>
              <w14:schemeClr w14:val="tx1"/>
            </w14:solidFill>
          </w14:textFill>
        </w:rPr>
        <w:t>年相比，一般公共预算财政拨款增加</w:t>
      </w:r>
      <w:r>
        <w:rPr>
          <w:rFonts w:hint="eastAsia" w:ascii="仿宋" w:hAnsi="仿宋" w:eastAsia="仿宋"/>
          <w:color w:val="000000" w:themeColor="text1"/>
          <w:sz w:val="32"/>
          <w:szCs w:val="32"/>
          <w:lang w:val="en-US" w:eastAsia="zh-CN"/>
          <w14:textFill>
            <w14:solidFill>
              <w14:schemeClr w14:val="tx1"/>
            </w14:solidFill>
          </w14:textFill>
        </w:rPr>
        <w:t>29.1</w:t>
      </w:r>
      <w:r>
        <w:rPr>
          <w:rFonts w:hint="eastAsia" w:ascii="仿宋" w:hAnsi="仿宋" w:eastAsia="仿宋"/>
          <w:color w:val="000000" w:themeColor="text1"/>
          <w:sz w:val="32"/>
          <w:szCs w:val="32"/>
          <w14:textFill>
            <w14:solidFill>
              <w14:schemeClr w14:val="tx1"/>
            </w14:solidFill>
          </w14:textFill>
        </w:rPr>
        <w:t>万元，增长</w:t>
      </w:r>
      <w:r>
        <w:rPr>
          <w:rFonts w:hint="eastAsia" w:ascii="仿宋" w:hAnsi="仿宋" w:eastAsia="仿宋"/>
          <w:color w:val="000000" w:themeColor="text1"/>
          <w:sz w:val="32"/>
          <w:szCs w:val="32"/>
          <w:lang w:val="en-US" w:eastAsia="zh-CN"/>
          <w14:textFill>
            <w14:solidFill>
              <w14:schemeClr w14:val="tx1"/>
            </w14:solidFill>
          </w14:textFill>
        </w:rPr>
        <w:t>22.8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。主要变动原因是</w:t>
      </w:r>
      <w:r>
        <w:rPr>
          <w:rFonts w:hint="eastAsia" w:ascii="仿宋" w:hAnsi="仿宋" w:eastAsia="仿宋"/>
          <w:color w:val="000000" w:themeColor="text1"/>
          <w:sz w:val="32"/>
          <w:szCs w:val="32"/>
          <w:lang w:eastAsia="zh-CN"/>
          <w14:textFill>
            <w14:solidFill>
              <w14:schemeClr w14:val="tx1"/>
            </w14:solidFill>
          </w14:textFill>
        </w:rPr>
        <w:t>单位新增人员，人员经费增加。</w:t>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p>
    <w:p>
      <w:pPr>
        <w:pStyle w:val="6"/>
        <w:rPr>
          <w:rFonts w:ascii="仿宋" w:hAnsi="仿宋" w:eastAsia="仿宋"/>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drawing>
          <wp:anchor distT="0" distB="0" distL="114300" distR="114300" simplePos="0" relativeHeight="251663360" behindDoc="0" locked="0" layoutInCell="1" allowOverlap="1">
            <wp:simplePos x="0" y="0"/>
            <wp:positionH relativeFrom="column">
              <wp:posOffset>80645</wp:posOffset>
            </wp:positionH>
            <wp:positionV relativeFrom="paragraph">
              <wp:posOffset>-671830</wp:posOffset>
            </wp:positionV>
            <wp:extent cx="5250815" cy="2649220"/>
            <wp:effectExtent l="4445" t="4445" r="21590" b="13335"/>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000000" w:themeColor="text1"/>
          <w:sz w:val="32"/>
          <w:szCs w:val="32"/>
          <w14:textFill>
            <w14:solidFill>
              <w14:schemeClr w14:val="tx1"/>
            </w14:solidFill>
          </w14:textFill>
        </w:rPr>
      </w:pPr>
      <w:bookmarkStart w:id="29" w:name="_Toc15377211"/>
      <w:r>
        <w:rPr>
          <w:rFonts w:hint="eastAsia" w:ascii="仿宋" w:hAnsi="仿宋" w:eastAsia="仿宋"/>
          <w:b/>
          <w:color w:val="000000" w:themeColor="text1"/>
          <w:sz w:val="32"/>
          <w:szCs w:val="32"/>
          <w14:textFill>
            <w14:solidFill>
              <w14:schemeClr w14:val="tx1"/>
            </w14:solidFill>
          </w14:textFill>
        </w:rPr>
        <w:t>（二）一般公共预算财政拨款支出决算结构情况</w:t>
      </w:r>
      <w:bookmarkEnd w:id="29"/>
    </w:p>
    <w:p>
      <w:pPr>
        <w:spacing w:line="600" w:lineRule="exact"/>
        <w:ind w:firstLine="64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年一般公共预算财政拨款支出</w:t>
      </w:r>
      <w:r>
        <w:rPr>
          <w:rFonts w:hint="eastAsia" w:ascii="仿宋" w:hAnsi="仿宋" w:eastAsia="仿宋"/>
          <w:color w:val="000000" w:themeColor="text1"/>
          <w:sz w:val="32"/>
          <w:szCs w:val="32"/>
          <w:lang w:val="en-US" w:eastAsia="zh-CN"/>
          <w14:textFill>
            <w14:solidFill>
              <w14:schemeClr w14:val="tx1"/>
            </w14:solidFill>
          </w14:textFill>
        </w:rPr>
        <w:t>127.62</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一般公共服务（类）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94.88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74</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w:t>
      </w:r>
      <w:r>
        <w:rPr>
          <w:rFonts w:hint="eastAsia" w:ascii="仿宋" w:hAnsi="仿宋" w:eastAsia="仿宋"/>
          <w:color w:val="000000" w:themeColor="text1"/>
          <w:sz w:val="32"/>
          <w:szCs w:val="32"/>
          <w:lang w:val="en-US" w:eastAsia="zh-CN"/>
          <w14:textFill>
            <w14:solidFill>
              <w14:schemeClr w14:val="tx1"/>
            </w14:solidFill>
          </w14:textFill>
        </w:rPr>
        <w:t>13.14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b/>
          <w:bCs/>
          <w:color w:val="000000" w:themeColor="text1"/>
          <w:sz w:val="32"/>
          <w:szCs w:val="32"/>
          <w:lang w:val="en-US" w:eastAsia="zh-CN"/>
          <w14:textFill>
            <w14:solidFill>
              <w14:schemeClr w14:val="tx1"/>
            </w14:solidFill>
          </w14:textFill>
        </w:rPr>
        <w:t>7.6</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color w:val="000000" w:themeColor="text1"/>
          <w:sz w:val="32"/>
          <w:szCs w:val="32"/>
          <w:lang w:val="en-US" w:eastAsia="zh-CN"/>
          <w14:textFill>
            <w14:solidFill>
              <w14:schemeClr w14:val="tx1"/>
            </w14:solidFill>
          </w14:textFill>
        </w:rPr>
        <w:t>12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10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pStyle w:val="6"/>
        <w:rPr>
          <w:rFonts w:hint="eastAsia" w:ascii="仿宋" w:hAnsi="仿宋" w:eastAsia="仿宋"/>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drawing>
          <wp:anchor distT="0" distB="0" distL="114300" distR="114300" simplePos="0" relativeHeight="251664384" behindDoc="0" locked="0" layoutInCell="1" allowOverlap="1">
            <wp:simplePos x="0" y="0"/>
            <wp:positionH relativeFrom="column">
              <wp:posOffset>242570</wp:posOffset>
            </wp:positionH>
            <wp:positionV relativeFrom="paragraph">
              <wp:posOffset>100330</wp:posOffset>
            </wp:positionV>
            <wp:extent cx="5178425" cy="2918460"/>
            <wp:effectExtent l="4445" t="4445" r="17780" b="1079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6"/>
        <w:rPr>
          <w:rFonts w:hint="eastAsia" w:ascii="仿宋" w:hAnsi="仿宋" w:eastAsia="仿宋"/>
          <w:color w:val="000000" w:themeColor="text1"/>
          <w:sz w:val="32"/>
          <w:szCs w:val="32"/>
          <w14:textFill>
            <w14:solidFill>
              <w14:schemeClr w14:val="tx1"/>
            </w14:solidFill>
          </w14:textFill>
        </w:rPr>
      </w:pPr>
    </w:p>
    <w:p>
      <w:pPr>
        <w:pStyle w:val="6"/>
        <w:rPr>
          <w:rFonts w:hint="eastAsia" w:ascii="仿宋" w:hAnsi="仿宋" w:eastAsia="仿宋"/>
          <w:color w:val="000000" w:themeColor="text1"/>
          <w:sz w:val="32"/>
          <w:szCs w:val="32"/>
          <w14:textFill>
            <w14:solidFill>
              <w14:schemeClr w14:val="tx1"/>
            </w14:solidFill>
          </w14:textFill>
        </w:rPr>
      </w:pPr>
    </w:p>
    <w:p>
      <w:pPr>
        <w:spacing w:line="600" w:lineRule="exact"/>
        <w:ind w:firstLine="321" w:firstLineChars="100"/>
        <w:outlineLvl w:val="2"/>
        <w:rPr>
          <w:rFonts w:ascii="仿宋" w:hAnsi="仿宋" w:eastAsia="仿宋"/>
          <w:b/>
          <w:color w:val="000000" w:themeColor="text1"/>
          <w:sz w:val="32"/>
          <w:szCs w:val="32"/>
          <w14:textFill>
            <w14:solidFill>
              <w14:schemeClr w14:val="tx1"/>
            </w14:solidFill>
          </w14:textFill>
        </w:rPr>
      </w:pPr>
      <w:bookmarkStart w:id="30" w:name="_Toc15377212"/>
      <w:r>
        <w:rPr>
          <w:rFonts w:hint="eastAsia" w:ascii="仿宋" w:hAnsi="仿宋" w:eastAsia="仿宋"/>
          <w:b/>
          <w:color w:val="000000" w:themeColor="text1"/>
          <w:sz w:val="32"/>
          <w:szCs w:val="32"/>
          <w14:textFill>
            <w14:solidFill>
              <w14:schemeClr w14:val="tx1"/>
            </w14:solidFill>
          </w14:textFill>
        </w:rPr>
        <w:t>（三）一般公共预算财政拨款支出决算具体情况</w:t>
      </w:r>
      <w:bookmarkEnd w:id="30"/>
    </w:p>
    <w:p>
      <w:pPr>
        <w:spacing w:line="600" w:lineRule="exact"/>
        <w:ind w:firstLine="643" w:firstLineChars="200"/>
        <w:outlineLvl w:val="2"/>
        <w:rPr>
          <w:rFonts w:hint="eastAsia" w:ascii="仿宋" w:hAnsi="仿宋" w:eastAsia="仿宋"/>
          <w:color w:val="000000" w:themeColor="text1"/>
          <w:sz w:val="32"/>
          <w:szCs w:val="32"/>
          <w:lang w:eastAsia="zh-CN"/>
          <w14:textFill>
            <w14:solidFill>
              <w14:schemeClr w14:val="tx1"/>
            </w14:solidFill>
          </w14:textFill>
        </w:rPr>
      </w:pPr>
      <w:bookmarkStart w:id="31" w:name="_Toc15377213"/>
      <w:bookmarkStart w:id="32" w:name="_Toc15378460"/>
      <w:bookmarkStart w:id="33" w:name="_Toc15377444"/>
      <w:r>
        <w:rPr>
          <w:rFonts w:hint="eastAsia" w:ascii="仿宋" w:hAnsi="仿宋" w:eastAsia="仿宋"/>
          <w:b/>
          <w:color w:val="000000" w:themeColor="text1"/>
          <w:sz w:val="32"/>
          <w:szCs w:val="32"/>
          <w14:textFill>
            <w14:solidFill>
              <w14:schemeClr w14:val="tx1"/>
            </w14:solidFill>
          </w14:textFill>
        </w:rPr>
        <w:t>20</w:t>
      </w:r>
      <w:r>
        <w:rPr>
          <w:rFonts w:hint="eastAsia" w:ascii="仿宋" w:hAnsi="仿宋" w:eastAsia="仿宋"/>
          <w:b/>
          <w:color w:val="000000" w:themeColor="text1"/>
          <w:sz w:val="32"/>
          <w:szCs w:val="32"/>
          <w:lang w:val="en-US" w:eastAsia="zh-CN"/>
          <w14:textFill>
            <w14:solidFill>
              <w14:schemeClr w14:val="tx1"/>
            </w14:solidFill>
          </w14:textFill>
        </w:rPr>
        <w:t>20</w:t>
      </w:r>
      <w:r>
        <w:rPr>
          <w:rFonts w:hint="eastAsia" w:ascii="仿宋" w:hAnsi="仿宋" w:eastAsia="仿宋"/>
          <w:b/>
          <w:color w:val="000000" w:themeColor="text1"/>
          <w:sz w:val="32"/>
          <w:szCs w:val="32"/>
          <w14:textFill>
            <w14:solidFill>
              <w14:schemeClr w14:val="tx1"/>
            </w14:solidFill>
          </w14:textFill>
        </w:rPr>
        <w:t>年</w:t>
      </w:r>
      <w:r>
        <w:rPr>
          <w:rFonts w:hint="eastAsia" w:ascii="仿宋" w:hAnsi="仿宋" w:eastAsia="仿宋"/>
          <w:b/>
          <w:color w:val="000000" w:themeColor="text1"/>
          <w:sz w:val="32"/>
          <w:szCs w:val="32"/>
          <w:lang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127.62</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完成预算</w:t>
      </w:r>
      <w:r>
        <w:rPr>
          <w:rStyle w:val="15"/>
          <w:rFonts w:hint="eastAsia" w:ascii="仿宋" w:hAnsi="仿宋" w:eastAsia="仿宋"/>
          <w:bCs/>
          <w:color w:val="000000" w:themeColor="text1"/>
          <w:sz w:val="32"/>
          <w:szCs w:val="32"/>
          <w:lang w:val="en-US" w:eastAsia="zh-CN"/>
          <w14:textFill>
            <w14:solidFill>
              <w14:schemeClr w14:val="tx1"/>
            </w14:solidFill>
          </w14:textFill>
        </w:rPr>
        <w:t>76</w:t>
      </w:r>
      <w:r>
        <w:rPr>
          <w:rStyle w:val="15"/>
          <w:rFonts w:ascii="仿宋" w:hAnsi="仿宋" w:eastAsia="仿宋"/>
          <w:bCs/>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。其中：</w:t>
      </w:r>
      <w:bookmarkEnd w:id="31"/>
      <w:bookmarkEnd w:id="32"/>
      <w:bookmarkEnd w:id="33"/>
    </w:p>
    <w:p>
      <w:pPr>
        <w:numPr>
          <w:ilvl w:val="0"/>
          <w:numId w:val="0"/>
        </w:numPr>
        <w:spacing w:line="600" w:lineRule="exact"/>
        <w:ind w:firstLine="643" w:firstLineChars="200"/>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pP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1.</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一般公共服务</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（类）</w:t>
      </w: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人大事务</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（款）</w:t>
      </w: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事业</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运行</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（项）:</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支出决算为</w:t>
      </w:r>
      <w:r>
        <w:rPr>
          <w:rStyle w:val="15"/>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8.50</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万元，完成预算</w:t>
      </w:r>
      <w:r>
        <w:rPr>
          <w:rStyle w:val="15"/>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100</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w:t>
      </w:r>
    </w:p>
    <w:p>
      <w:pPr>
        <w:numPr>
          <w:ilvl w:val="0"/>
          <w:numId w:val="0"/>
        </w:numPr>
        <w:spacing w:line="600" w:lineRule="exact"/>
        <w:ind w:firstLine="643" w:firstLineChars="200"/>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pP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2.</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一般公共服务</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（类）</w:t>
      </w:r>
      <w:r>
        <w:rPr>
          <w:rStyle w:val="15"/>
          <w:rFonts w:hint="eastAsia" w:eastAsia="仿宋_GB2312" w:cs="Times New Roman"/>
          <w:bCs/>
          <w:color w:val="000000" w:themeColor="text1"/>
          <w:sz w:val="32"/>
          <w:szCs w:val="32"/>
          <w:lang w:eastAsia="zh-CN"/>
          <w14:textFill>
            <w14:solidFill>
              <w14:schemeClr w14:val="tx1"/>
            </w14:solidFill>
          </w14:textFill>
        </w:rPr>
        <w:t>统战</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事务</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（款）</w:t>
      </w:r>
      <w:r>
        <w:rPr>
          <w:rStyle w:val="15"/>
          <w:rFonts w:hint="eastAsia" w:eastAsia="仿宋_GB2312" w:cs="Times New Roman"/>
          <w:bCs/>
          <w:color w:val="000000" w:themeColor="text1"/>
          <w:sz w:val="32"/>
          <w:szCs w:val="32"/>
          <w:lang w:eastAsia="zh-CN"/>
          <w14:textFill>
            <w14:solidFill>
              <w14:schemeClr w14:val="tx1"/>
            </w14:solidFill>
          </w14:textFill>
        </w:rPr>
        <w:t>宗教事务</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（项）:</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 xml:space="preserve"> 支出决算为</w:t>
      </w:r>
      <w:r>
        <w:rPr>
          <w:rStyle w:val="15"/>
          <w:rFonts w:hint="eastAsia" w:eastAsia="仿宋_GB2312" w:cs="Times New Roman"/>
          <w:b w:val="0"/>
          <w:bCs/>
          <w:color w:val="000000" w:themeColor="text1"/>
          <w:sz w:val="32"/>
          <w:szCs w:val="32"/>
          <w:lang w:val="en-US" w:eastAsia="zh-CN"/>
          <w14:textFill>
            <w14:solidFill>
              <w14:schemeClr w14:val="tx1"/>
            </w14:solidFill>
          </w14:textFill>
        </w:rPr>
        <w:t>17.49</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万元，完成预算</w:t>
      </w:r>
      <w:r>
        <w:rPr>
          <w:rStyle w:val="15"/>
          <w:rFonts w:hint="eastAsia" w:eastAsia="仿宋_GB2312" w:cs="Times New Roman"/>
          <w:b w:val="0"/>
          <w:bCs/>
          <w:color w:val="000000" w:themeColor="text1"/>
          <w:sz w:val="32"/>
          <w:szCs w:val="32"/>
          <w:lang w:val="en-US" w:eastAsia="zh-CN"/>
          <w14:textFill>
            <w14:solidFill>
              <w14:schemeClr w14:val="tx1"/>
            </w14:solidFill>
          </w14:textFill>
        </w:rPr>
        <w:t>69</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%。决算数小于预算数的主要原因是</w:t>
      </w:r>
      <w:r>
        <w:rPr>
          <w:rStyle w:val="15"/>
          <w:rFonts w:hint="eastAsia" w:eastAsia="仿宋_GB2312" w:cs="Times New Roman"/>
          <w:b w:val="0"/>
          <w:bCs/>
          <w:color w:val="000000" w:themeColor="text1"/>
          <w:sz w:val="32"/>
          <w:szCs w:val="32"/>
          <w:lang w:eastAsia="zh-CN"/>
          <w14:textFill>
            <w14:solidFill>
              <w14:schemeClr w14:val="tx1"/>
            </w14:solidFill>
          </w14:textFill>
        </w:rPr>
        <w:t>部分工作因新冠肺炎疫情原因未开展</w:t>
      </w:r>
      <w:r>
        <w:rPr>
          <w:rStyle w:val="15"/>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p>
    <w:p>
      <w:pPr>
        <w:numPr>
          <w:ilvl w:val="0"/>
          <w:numId w:val="0"/>
        </w:numPr>
        <w:spacing w:line="600" w:lineRule="exact"/>
        <w:ind w:firstLine="643" w:firstLineChars="200"/>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pP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3.</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一般公共服务</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（类）</w:t>
      </w:r>
      <w:r>
        <w:rPr>
          <w:rStyle w:val="15"/>
          <w:rFonts w:hint="eastAsia" w:eastAsia="仿宋_GB2312" w:cs="Times New Roman"/>
          <w:bCs/>
          <w:color w:val="000000" w:themeColor="text1"/>
          <w:sz w:val="32"/>
          <w:szCs w:val="32"/>
          <w:lang w:eastAsia="zh-CN"/>
          <w14:textFill>
            <w14:solidFill>
              <w14:schemeClr w14:val="tx1"/>
            </w14:solidFill>
          </w14:textFill>
        </w:rPr>
        <w:t>统战</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事务</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（款）</w:t>
      </w:r>
      <w:r>
        <w:rPr>
          <w:rStyle w:val="15"/>
          <w:rFonts w:hint="eastAsia" w:eastAsia="仿宋_GB2312" w:cs="Times New Roman"/>
          <w:bCs/>
          <w:color w:val="000000" w:themeColor="text1"/>
          <w:sz w:val="32"/>
          <w:szCs w:val="32"/>
          <w:lang w:eastAsia="zh-CN"/>
          <w14:textFill>
            <w14:solidFill>
              <w14:schemeClr w14:val="tx1"/>
            </w14:solidFill>
          </w14:textFill>
        </w:rPr>
        <w:t>事业运行</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（项）:</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 xml:space="preserve"> 支出决算为</w:t>
      </w:r>
      <w:r>
        <w:rPr>
          <w:rStyle w:val="15"/>
          <w:rFonts w:hint="eastAsia" w:eastAsia="仿宋_GB2312" w:cs="Times New Roman"/>
          <w:b w:val="0"/>
          <w:bCs/>
          <w:color w:val="000000" w:themeColor="text1"/>
          <w:sz w:val="32"/>
          <w:szCs w:val="32"/>
          <w:lang w:val="en-US" w:eastAsia="zh-CN"/>
          <w14:textFill>
            <w14:solidFill>
              <w14:schemeClr w14:val="tx1"/>
            </w14:solidFill>
          </w14:textFill>
        </w:rPr>
        <w:t>68.89</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万元，完成预算</w:t>
      </w:r>
      <w:r>
        <w:rPr>
          <w:rStyle w:val="15"/>
          <w:rFonts w:hint="eastAsia" w:eastAsia="仿宋_GB2312" w:cs="Times New Roman"/>
          <w:b w:val="0"/>
          <w:bCs/>
          <w:color w:val="000000" w:themeColor="text1"/>
          <w:sz w:val="32"/>
          <w:szCs w:val="32"/>
          <w:lang w:val="en-US" w:eastAsia="zh-CN"/>
          <w14:textFill>
            <w14:solidFill>
              <w14:schemeClr w14:val="tx1"/>
            </w14:solidFill>
          </w14:textFill>
        </w:rPr>
        <w:t>83</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%。决算数小于预算数的主要原因是</w:t>
      </w:r>
      <w:r>
        <w:rPr>
          <w:rStyle w:val="15"/>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部分工作因</w:t>
      </w:r>
      <w:r>
        <w:rPr>
          <w:rStyle w:val="15"/>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新冠肺炎疫情</w:t>
      </w:r>
      <w:r>
        <w:rPr>
          <w:rStyle w:val="15"/>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原因未开展。</w:t>
      </w:r>
    </w:p>
    <w:p>
      <w:pPr>
        <w:spacing w:line="600" w:lineRule="exact"/>
        <w:ind w:firstLine="643" w:firstLineChars="200"/>
        <w:rPr>
          <w:rStyle w:val="15"/>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pPr>
      <w:r>
        <w:rPr>
          <w:rStyle w:val="15"/>
          <w:rFonts w:hint="eastAsia" w:eastAsia="仿宋_GB2312" w:cs="Times New Roman"/>
          <w:bCs/>
          <w:color w:val="000000" w:themeColor="text1"/>
          <w:sz w:val="32"/>
          <w:szCs w:val="32"/>
          <w:lang w:val="en-US" w:eastAsia="zh-CN"/>
          <w14:textFill>
            <w14:solidFill>
              <w14:schemeClr w14:val="tx1"/>
            </w14:solidFill>
          </w14:textFill>
        </w:rPr>
        <w:t>4</w:t>
      </w: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社会保障和就业支出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（类）</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行政事业单位</w:t>
      </w: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养老支出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（款）</w:t>
      </w:r>
      <w:r>
        <w:rPr>
          <w:rStyle w:val="15"/>
          <w:rFonts w:hint="eastAsia" w:eastAsia="仿宋_GB2312" w:cs="Times New Roman"/>
          <w:bCs/>
          <w:color w:val="000000" w:themeColor="text1"/>
          <w:sz w:val="32"/>
          <w:szCs w:val="32"/>
          <w:lang w:eastAsia="zh-CN"/>
          <w14:textFill>
            <w14:solidFill>
              <w14:schemeClr w14:val="tx1"/>
            </w14:solidFill>
          </w14:textFill>
        </w:rPr>
        <w:t>事业</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单位离退休</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（项）:</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支出决算为</w:t>
      </w:r>
      <w:r>
        <w:rPr>
          <w:rStyle w:val="15"/>
          <w:rFonts w:hint="eastAsia" w:eastAsia="仿宋_GB2312" w:cs="Times New Roman"/>
          <w:b w:val="0"/>
          <w:bCs/>
          <w:color w:val="000000" w:themeColor="text1"/>
          <w:sz w:val="32"/>
          <w:szCs w:val="32"/>
          <w:lang w:val="en-US" w:eastAsia="zh-CN"/>
          <w14:textFill>
            <w14:solidFill>
              <w14:schemeClr w14:val="tx1"/>
            </w14:solidFill>
          </w14:textFill>
        </w:rPr>
        <w:t>1.92</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万元，完成预算</w:t>
      </w:r>
      <w:r>
        <w:rPr>
          <w:rStyle w:val="15"/>
          <w:rFonts w:hint="eastAsia" w:eastAsia="仿宋_GB2312" w:cs="Times New Roman"/>
          <w:b w:val="0"/>
          <w:bCs/>
          <w:color w:val="000000" w:themeColor="text1"/>
          <w:sz w:val="32"/>
          <w:szCs w:val="32"/>
          <w:lang w:val="en-US" w:eastAsia="zh-CN"/>
          <w14:textFill>
            <w14:solidFill>
              <w14:schemeClr w14:val="tx1"/>
            </w14:solidFill>
          </w14:textFill>
        </w:rPr>
        <w:t>99</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w:t>
      </w:r>
      <w:r>
        <w:rPr>
          <w:rStyle w:val="15"/>
          <w:rFonts w:hint="eastAsia" w:eastAsia="仿宋_GB2312" w:cs="Times New Roman"/>
          <w:b w:val="0"/>
          <w:bCs/>
          <w:color w:val="000000" w:themeColor="text1"/>
          <w:sz w:val="32"/>
          <w:szCs w:val="32"/>
          <w:lang w:eastAsia="zh-CN"/>
          <w14:textFill>
            <w14:solidFill>
              <w14:schemeClr w14:val="tx1"/>
            </w14:solidFill>
          </w14:textFill>
        </w:rPr>
        <w:t>，</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决算数小于预算数的主要原因是</w:t>
      </w:r>
      <w:r>
        <w:rPr>
          <w:rStyle w:val="15"/>
          <w:rFonts w:hint="eastAsia" w:eastAsia="仿宋_GB2312" w:cs="Times New Roman"/>
          <w:b w:val="0"/>
          <w:bCs/>
          <w:color w:val="000000" w:themeColor="text1"/>
          <w:sz w:val="32"/>
          <w:szCs w:val="32"/>
          <w:lang w:eastAsia="zh-CN"/>
          <w14:textFill>
            <w14:solidFill>
              <w14:schemeClr w14:val="tx1"/>
            </w14:solidFill>
          </w14:textFill>
        </w:rPr>
        <w:t>资金四舍五入结余问题。</w:t>
      </w:r>
    </w:p>
    <w:p>
      <w:pPr>
        <w:spacing w:line="600" w:lineRule="exact"/>
        <w:ind w:firstLine="643" w:firstLineChars="200"/>
        <w:rPr>
          <w:rStyle w:val="15"/>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pPr>
      <w:r>
        <w:rPr>
          <w:rStyle w:val="15"/>
          <w:rFonts w:hint="eastAsia" w:eastAsia="仿宋_GB2312" w:cs="Times New Roman"/>
          <w:bCs/>
          <w:color w:val="000000" w:themeColor="text1"/>
          <w:sz w:val="32"/>
          <w:szCs w:val="32"/>
          <w:lang w:val="en-US" w:eastAsia="zh-CN"/>
          <w14:textFill>
            <w14:solidFill>
              <w14:schemeClr w14:val="tx1"/>
            </w14:solidFill>
          </w14:textFill>
        </w:rPr>
        <w:t>5</w:t>
      </w: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社会保障和就业支出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（类）</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行政事业单位</w:t>
      </w: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养老支出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（款）</w:t>
      </w:r>
      <w:r>
        <w:rPr>
          <w:rStyle w:val="15"/>
          <w:rFonts w:hint="eastAsia" w:eastAsia="仿宋_GB2312" w:cs="Times New Roman"/>
          <w:bCs/>
          <w:color w:val="000000" w:themeColor="text1"/>
          <w:sz w:val="32"/>
          <w:szCs w:val="32"/>
          <w:lang w:eastAsia="zh-CN"/>
          <w14:textFill>
            <w14:solidFill>
              <w14:schemeClr w14:val="tx1"/>
            </w14:solidFill>
          </w14:textFill>
        </w:rPr>
        <w:t>机关事业单位基本养老保险缴费支出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（项）:</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支出决算为</w:t>
      </w:r>
      <w:r>
        <w:rPr>
          <w:rStyle w:val="15"/>
          <w:rFonts w:hint="eastAsia" w:eastAsia="仿宋_GB2312" w:cs="Times New Roman"/>
          <w:b w:val="0"/>
          <w:bCs/>
          <w:color w:val="000000" w:themeColor="text1"/>
          <w:sz w:val="32"/>
          <w:szCs w:val="32"/>
          <w:lang w:val="en-US" w:eastAsia="zh-CN"/>
          <w14:textFill>
            <w14:solidFill>
              <w14:schemeClr w14:val="tx1"/>
            </w14:solidFill>
          </w14:textFill>
        </w:rPr>
        <w:t>7.48</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万元，完成预算</w:t>
      </w:r>
      <w:r>
        <w:rPr>
          <w:rStyle w:val="15"/>
          <w:rFonts w:hint="eastAsia" w:eastAsia="仿宋_GB2312" w:cs="Times New Roman"/>
          <w:b w:val="0"/>
          <w:bCs/>
          <w:color w:val="000000" w:themeColor="text1"/>
          <w:sz w:val="32"/>
          <w:szCs w:val="32"/>
          <w:lang w:val="en-US" w:eastAsia="zh-CN"/>
          <w14:textFill>
            <w14:solidFill>
              <w14:schemeClr w14:val="tx1"/>
            </w14:solidFill>
          </w14:textFill>
        </w:rPr>
        <w:t>68</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w:t>
      </w:r>
      <w:r>
        <w:rPr>
          <w:rStyle w:val="15"/>
          <w:rFonts w:hint="eastAsia" w:eastAsia="仿宋_GB2312" w:cs="Times New Roman"/>
          <w:b w:val="0"/>
          <w:bCs/>
          <w:color w:val="000000" w:themeColor="text1"/>
          <w:sz w:val="32"/>
          <w:szCs w:val="32"/>
          <w:lang w:eastAsia="zh-CN"/>
          <w14:textFill>
            <w14:solidFill>
              <w14:schemeClr w14:val="tx1"/>
            </w14:solidFill>
          </w14:textFill>
        </w:rPr>
        <w:t>，</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决算数小于预算数的主要原因是</w:t>
      </w:r>
      <w:r>
        <w:rPr>
          <w:rStyle w:val="15"/>
          <w:rFonts w:hint="eastAsia" w:eastAsia="仿宋_GB2312" w:cs="Times New Roman"/>
          <w:b w:val="0"/>
          <w:bCs/>
          <w:color w:val="000000" w:themeColor="text1"/>
          <w:sz w:val="32"/>
          <w:szCs w:val="32"/>
          <w:lang w:eastAsia="zh-CN"/>
          <w14:textFill>
            <w14:solidFill>
              <w14:schemeClr w14:val="tx1"/>
            </w14:solidFill>
          </w14:textFill>
        </w:rPr>
        <w:t>单位有人员调出。</w:t>
      </w:r>
    </w:p>
    <w:p>
      <w:pPr>
        <w:spacing w:line="600" w:lineRule="exact"/>
        <w:ind w:firstLine="643" w:firstLineChars="200"/>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pPr>
      <w:r>
        <w:rPr>
          <w:rStyle w:val="15"/>
          <w:rFonts w:hint="eastAsia" w:eastAsia="仿宋_GB2312" w:cs="Times New Roman"/>
          <w:bCs/>
          <w:color w:val="000000" w:themeColor="text1"/>
          <w:sz w:val="32"/>
          <w:szCs w:val="32"/>
          <w:lang w:val="en-US" w:eastAsia="zh-CN"/>
          <w14:textFill>
            <w14:solidFill>
              <w14:schemeClr w14:val="tx1"/>
            </w14:solidFill>
          </w14:textFill>
        </w:rPr>
        <w:t>6</w:t>
      </w: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社会保障和就业支出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（类）</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行政事业单位</w:t>
      </w: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养老支出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（款）</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机关事业单位职业年金缴费支出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（项）:</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支出决算为</w:t>
      </w:r>
      <w:r>
        <w:rPr>
          <w:rStyle w:val="15"/>
          <w:rFonts w:hint="eastAsia" w:eastAsia="仿宋_GB2312" w:cs="Times New Roman"/>
          <w:b w:val="0"/>
          <w:bCs/>
          <w:color w:val="000000" w:themeColor="text1"/>
          <w:sz w:val="32"/>
          <w:szCs w:val="32"/>
          <w:lang w:val="en-US" w:eastAsia="zh-CN"/>
          <w14:textFill>
            <w14:solidFill>
              <w14:schemeClr w14:val="tx1"/>
            </w14:solidFill>
          </w14:textFill>
        </w:rPr>
        <w:t>3.74</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万元，完成预算</w:t>
      </w:r>
      <w:r>
        <w:rPr>
          <w:rStyle w:val="15"/>
          <w:rFonts w:hint="eastAsia" w:eastAsia="仿宋_GB2312" w:cs="Times New Roman"/>
          <w:b w:val="0"/>
          <w:bCs/>
          <w:color w:val="000000" w:themeColor="text1"/>
          <w:sz w:val="32"/>
          <w:szCs w:val="32"/>
          <w:lang w:val="en-US" w:eastAsia="zh-CN"/>
          <w14:textFill>
            <w14:solidFill>
              <w14:schemeClr w14:val="tx1"/>
            </w14:solidFill>
          </w14:textFill>
        </w:rPr>
        <w:t>69</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%。决算数小于预算数的主要原因是</w:t>
      </w:r>
      <w:r>
        <w:rPr>
          <w:rStyle w:val="15"/>
          <w:rFonts w:hint="eastAsia" w:eastAsia="仿宋_GB2312" w:cs="Times New Roman"/>
          <w:b w:val="0"/>
          <w:bCs/>
          <w:color w:val="000000" w:themeColor="text1"/>
          <w:sz w:val="32"/>
          <w:szCs w:val="32"/>
          <w:lang w:eastAsia="zh-CN"/>
          <w14:textFill>
            <w14:solidFill>
              <w14:schemeClr w14:val="tx1"/>
            </w14:solidFill>
          </w14:textFill>
        </w:rPr>
        <w:t>单位有人员调出</w:t>
      </w:r>
      <w:r>
        <w:rPr>
          <w:rStyle w:val="15"/>
          <w:rFonts w:hint="default" w:ascii="Times New Roman" w:hAnsi="Times New Roman" w:eastAsia="仿宋_GB2312" w:cs="Times New Roman"/>
          <w:b w:val="0"/>
          <w:bCs/>
          <w:color w:val="000000" w:themeColor="text1"/>
          <w:sz w:val="32"/>
          <w:szCs w:val="32"/>
          <w:lang w:eastAsia="zh-CN"/>
          <w14:textFill>
            <w14:solidFill>
              <w14:schemeClr w14:val="tx1"/>
            </w14:solidFill>
          </w14:textFill>
        </w:rPr>
        <w:t>。</w:t>
      </w:r>
    </w:p>
    <w:p>
      <w:pPr>
        <w:spacing w:line="600" w:lineRule="exact"/>
        <w:ind w:firstLine="643" w:firstLineChars="200"/>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pPr>
      <w:r>
        <w:rPr>
          <w:rStyle w:val="15"/>
          <w:rFonts w:hint="eastAsia" w:eastAsia="仿宋_GB2312" w:cs="Times New Roman"/>
          <w:bCs/>
          <w:color w:val="000000" w:themeColor="text1"/>
          <w:sz w:val="32"/>
          <w:szCs w:val="32"/>
          <w:lang w:val="en-US" w:eastAsia="zh-CN"/>
          <w14:textFill>
            <w14:solidFill>
              <w14:schemeClr w14:val="tx1"/>
            </w14:solidFill>
          </w14:textFill>
        </w:rPr>
        <w:t>7</w:t>
      </w: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w:t>
      </w:r>
      <w:r>
        <w:rPr>
          <w:rStyle w:val="15"/>
          <w:rFonts w:hint="eastAsia" w:eastAsia="仿宋_GB2312" w:cs="Times New Roman"/>
          <w:bCs/>
          <w:color w:val="000000" w:themeColor="text1"/>
          <w:sz w:val="32"/>
          <w:szCs w:val="32"/>
          <w:lang w:val="en-US" w:eastAsia="zh-CN"/>
          <w14:textFill>
            <w14:solidFill>
              <w14:schemeClr w14:val="tx1"/>
            </w14:solidFill>
          </w14:textFill>
        </w:rPr>
        <w:t>卫生健康支出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（类）</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行政事业单位医疗</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（款）</w:t>
      </w:r>
      <w:r>
        <w:rPr>
          <w:rStyle w:val="15"/>
          <w:rFonts w:hint="eastAsia" w:eastAsia="仿宋_GB2312" w:cs="Times New Roman"/>
          <w:bCs/>
          <w:color w:val="000000" w:themeColor="text1"/>
          <w:sz w:val="32"/>
          <w:szCs w:val="32"/>
          <w:lang w:eastAsia="zh-CN"/>
          <w14:textFill>
            <w14:solidFill>
              <w14:schemeClr w14:val="tx1"/>
            </w14:solidFill>
          </w14:textFill>
        </w:rPr>
        <w:t>事业</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单位医疗</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（项）:</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支出决算为</w:t>
      </w:r>
      <w:r>
        <w:rPr>
          <w:rStyle w:val="15"/>
          <w:rFonts w:hint="eastAsia" w:eastAsia="仿宋_GB2312" w:cs="Times New Roman"/>
          <w:b w:val="0"/>
          <w:bCs/>
          <w:color w:val="000000" w:themeColor="text1"/>
          <w:sz w:val="32"/>
          <w:szCs w:val="32"/>
          <w:lang w:val="en-US" w:eastAsia="zh-CN"/>
          <w14:textFill>
            <w14:solidFill>
              <w14:schemeClr w14:val="tx1"/>
            </w14:solidFill>
          </w14:textFill>
        </w:rPr>
        <w:t>7.6</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万元，完成预算</w:t>
      </w:r>
      <w:r>
        <w:rPr>
          <w:rStyle w:val="15"/>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100</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w:t>
      </w:r>
    </w:p>
    <w:p>
      <w:pPr>
        <w:spacing w:line="600" w:lineRule="exact"/>
        <w:ind w:firstLine="643" w:firstLineChars="200"/>
        <w:rPr>
          <w:rStyle w:val="15"/>
          <w:rFonts w:hint="eastAsia" w:ascii="Times New Roman" w:hAnsi="Times New Roman" w:eastAsia="仿宋_GB2312" w:cs="Times New Roman"/>
          <w:b w:val="0"/>
          <w:bCs/>
          <w:color w:val="000000" w:themeColor="text1"/>
          <w:sz w:val="32"/>
          <w:szCs w:val="32"/>
          <w:lang w:eastAsia="zh-CN"/>
          <w14:textFill>
            <w14:solidFill>
              <w14:schemeClr w14:val="tx1"/>
            </w14:solidFill>
          </w14:textFill>
        </w:rPr>
      </w:pPr>
      <w:r>
        <w:rPr>
          <w:rStyle w:val="15"/>
          <w:rFonts w:hint="eastAsia" w:eastAsia="仿宋_GB2312" w:cs="Times New Roman"/>
          <w:bCs/>
          <w:color w:val="000000" w:themeColor="text1"/>
          <w:sz w:val="32"/>
          <w:szCs w:val="32"/>
          <w:lang w:val="en-US" w:eastAsia="zh-CN"/>
          <w14:textFill>
            <w14:solidFill>
              <w14:schemeClr w14:val="tx1"/>
            </w14:solidFill>
          </w14:textFill>
        </w:rPr>
        <w:t>8</w:t>
      </w: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住房保障支出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（类）</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住房改革支出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（款）</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住房公积金</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（项）:</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支出决算为</w:t>
      </w:r>
      <w:r>
        <w:rPr>
          <w:rStyle w:val="15"/>
          <w:rFonts w:hint="eastAsia" w:eastAsia="仿宋_GB2312" w:cs="Times New Roman"/>
          <w:b w:val="0"/>
          <w:bCs/>
          <w:color w:val="000000" w:themeColor="text1"/>
          <w:sz w:val="32"/>
          <w:szCs w:val="32"/>
          <w:lang w:val="en-US" w:eastAsia="zh-CN"/>
          <w14:textFill>
            <w14:solidFill>
              <w14:schemeClr w14:val="tx1"/>
            </w14:solidFill>
          </w14:textFill>
        </w:rPr>
        <w:t>7</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万元，完成预算</w:t>
      </w:r>
      <w:r>
        <w:rPr>
          <w:rStyle w:val="15"/>
          <w:rFonts w:hint="eastAsia" w:eastAsia="仿宋_GB2312" w:cs="Times New Roman"/>
          <w:b w:val="0"/>
          <w:bCs/>
          <w:color w:val="000000" w:themeColor="text1"/>
          <w:sz w:val="32"/>
          <w:szCs w:val="32"/>
          <w:lang w:val="en-US" w:eastAsia="zh-CN"/>
          <w14:textFill>
            <w14:solidFill>
              <w14:schemeClr w14:val="tx1"/>
            </w14:solidFill>
          </w14:textFill>
        </w:rPr>
        <w:t>77</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w:t>
      </w:r>
      <w:r>
        <w:rPr>
          <w:rStyle w:val="15"/>
          <w:rFonts w:hint="eastAsia" w:eastAsia="仿宋_GB2312" w:cs="Times New Roman"/>
          <w:b w:val="0"/>
          <w:bCs/>
          <w:color w:val="000000" w:themeColor="text1"/>
          <w:sz w:val="32"/>
          <w:szCs w:val="32"/>
          <w:lang w:eastAsia="zh-CN"/>
          <w14:textFill>
            <w14:solidFill>
              <w14:schemeClr w14:val="tx1"/>
            </w14:solidFill>
          </w14:textFill>
        </w:rPr>
        <w:t>，</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决算数小于预算数的主要原因是</w:t>
      </w:r>
      <w:r>
        <w:rPr>
          <w:rStyle w:val="15"/>
          <w:rFonts w:hint="eastAsia" w:eastAsia="仿宋_GB2312" w:cs="Times New Roman"/>
          <w:b w:val="0"/>
          <w:bCs/>
          <w:color w:val="000000" w:themeColor="text1"/>
          <w:sz w:val="32"/>
          <w:szCs w:val="32"/>
          <w:lang w:eastAsia="zh-CN"/>
          <w14:textFill>
            <w14:solidFill>
              <w14:schemeClr w14:val="tx1"/>
            </w14:solidFill>
          </w14:textFill>
        </w:rPr>
        <w:t>单位有人员调出。</w:t>
      </w:r>
    </w:p>
    <w:p>
      <w:pPr>
        <w:spacing w:line="600" w:lineRule="exact"/>
        <w:ind w:firstLine="643" w:firstLineChars="200"/>
        <w:rPr>
          <w:rFonts w:ascii="仿宋" w:hAnsi="仿宋" w:eastAsia="仿宋"/>
          <w:b/>
          <w:color w:val="000000" w:themeColor="text1"/>
          <w:sz w:val="32"/>
          <w:szCs w:val="32"/>
          <w14:textFill>
            <w14:solidFill>
              <w14:schemeClr w14:val="tx1"/>
            </w14:solidFill>
          </w14:textFill>
        </w:rPr>
      </w:pPr>
      <w:r>
        <w:rPr>
          <w:rStyle w:val="15"/>
          <w:rFonts w:hint="eastAsia" w:eastAsia="仿宋_GB2312" w:cs="Times New Roman"/>
          <w:bCs/>
          <w:color w:val="000000" w:themeColor="text1"/>
          <w:sz w:val="32"/>
          <w:szCs w:val="32"/>
          <w:lang w:val="en-US" w:eastAsia="zh-CN"/>
          <w14:textFill>
            <w14:solidFill>
              <w14:schemeClr w14:val="tx1"/>
            </w14:solidFill>
          </w14:textFill>
        </w:rPr>
        <w:t>9</w:t>
      </w: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住房保障支出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（类）</w:t>
      </w:r>
      <w:r>
        <w:rPr>
          <w:rStyle w:val="15"/>
          <w:rFonts w:hint="default" w:ascii="Times New Roman" w:hAnsi="Times New Roman" w:eastAsia="仿宋_GB2312" w:cs="Times New Roman"/>
          <w:bCs/>
          <w:color w:val="000000" w:themeColor="text1"/>
          <w:sz w:val="32"/>
          <w:szCs w:val="32"/>
          <w:lang w:eastAsia="zh-CN"/>
          <w14:textFill>
            <w14:solidFill>
              <w14:schemeClr w14:val="tx1"/>
            </w14:solidFill>
          </w14:textFill>
        </w:rPr>
        <w:t>住房改革支出</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（款）</w:t>
      </w:r>
      <w:r>
        <w:rPr>
          <w:rStyle w:val="15"/>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购房补贴</w:t>
      </w:r>
      <w:r>
        <w:rPr>
          <w:rStyle w:val="15"/>
          <w:rFonts w:hint="default" w:ascii="Times New Roman" w:hAnsi="Times New Roman" w:eastAsia="仿宋_GB2312" w:cs="Times New Roman"/>
          <w:bCs/>
          <w:color w:val="000000" w:themeColor="text1"/>
          <w:sz w:val="32"/>
          <w:szCs w:val="32"/>
          <w14:textFill>
            <w14:solidFill>
              <w14:schemeClr w14:val="tx1"/>
            </w14:solidFill>
          </w14:textFill>
        </w:rPr>
        <w:t>（项）:</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支出决算为</w:t>
      </w:r>
      <w:r>
        <w:rPr>
          <w:rStyle w:val="15"/>
          <w:rFonts w:hint="eastAsia" w:eastAsia="仿宋_GB2312" w:cs="Times New Roman"/>
          <w:b w:val="0"/>
          <w:bCs/>
          <w:color w:val="000000" w:themeColor="text1"/>
          <w:sz w:val="32"/>
          <w:szCs w:val="32"/>
          <w:lang w:val="en-US" w:eastAsia="zh-CN"/>
          <w14:textFill>
            <w14:solidFill>
              <w14:schemeClr w14:val="tx1"/>
            </w14:solidFill>
          </w14:textFill>
        </w:rPr>
        <w:t>5</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万元，完成预算</w:t>
      </w:r>
      <w:r>
        <w:rPr>
          <w:rStyle w:val="15"/>
          <w:rFonts w:hint="default" w:ascii="Times New Roman" w:hAnsi="Times New Roman" w:eastAsia="仿宋_GB2312" w:cs="Times New Roman"/>
          <w:b w:val="0"/>
          <w:bCs/>
          <w:color w:val="000000" w:themeColor="text1"/>
          <w:sz w:val="32"/>
          <w:szCs w:val="32"/>
          <w:lang w:val="en-US" w:eastAsia="zh-CN"/>
          <w14:textFill>
            <w14:solidFill>
              <w14:schemeClr w14:val="tx1"/>
            </w14:solidFill>
          </w14:textFill>
        </w:rPr>
        <w:t>100</w:t>
      </w:r>
      <w:r>
        <w:rPr>
          <w:rStyle w:val="15"/>
          <w:rFonts w:hint="default" w:ascii="Times New Roman" w:hAnsi="Times New Roman" w:eastAsia="仿宋_GB2312" w:cs="Times New Roman"/>
          <w:b w:val="0"/>
          <w:bCs/>
          <w:color w:val="000000" w:themeColor="text1"/>
          <w:sz w:val="32"/>
          <w:szCs w:val="32"/>
          <w14:textFill>
            <w14:solidFill>
              <w14:schemeClr w14:val="tx1"/>
            </w14:solidFill>
          </w14:textFill>
        </w:rPr>
        <w:t>%。</w:t>
      </w:r>
    </w:p>
    <w:p>
      <w:pPr>
        <w:tabs>
          <w:tab w:val="right" w:pos="8306"/>
        </w:tabs>
        <w:spacing w:line="600" w:lineRule="exact"/>
        <w:ind w:firstLine="640"/>
        <w:outlineLvl w:val="1"/>
        <w:rPr>
          <w:rStyle w:val="27"/>
          <w:color w:val="000000" w:themeColor="text1"/>
          <w14:textFill>
            <w14:solidFill>
              <w14:schemeClr w14:val="tx1"/>
            </w14:solidFill>
          </w14:textFill>
        </w:rPr>
      </w:pPr>
      <w:bookmarkStart w:id="34" w:name="_Toc15396608"/>
      <w:bookmarkStart w:id="35" w:name="_Toc15377214"/>
      <w:r>
        <w:rPr>
          <w:rFonts w:hint="eastAsia" w:ascii="黑体" w:eastAsia="黑体"/>
          <w:color w:val="000000" w:themeColor="text1"/>
          <w:sz w:val="32"/>
          <w:szCs w:val="32"/>
          <w14:textFill>
            <w14:solidFill>
              <w14:schemeClr w14:val="tx1"/>
            </w14:solidFill>
          </w14:textFill>
        </w:rPr>
        <w:t>六</w:t>
      </w:r>
      <w:r>
        <w:rPr>
          <w:rFonts w:hint="eastAsia" w:ascii="黑体" w:eastAsia="黑体"/>
          <w:b/>
          <w:color w:val="000000" w:themeColor="text1"/>
          <w:sz w:val="32"/>
          <w:szCs w:val="32"/>
          <w14:textFill>
            <w14:solidFill>
              <w14:schemeClr w14:val="tx1"/>
            </w14:solidFill>
          </w14:textFill>
        </w:rPr>
        <w:t>、</w:t>
      </w:r>
      <w:r>
        <w:rPr>
          <w:rFonts w:hint="eastAsia" w:ascii="黑体" w:hAnsi="黑体" w:eastAsia="黑体"/>
          <w:b/>
          <w:color w:val="000000" w:themeColor="text1"/>
          <w:sz w:val="32"/>
          <w:szCs w:val="32"/>
          <w14:textFill>
            <w14:solidFill>
              <w14:schemeClr w14:val="tx1"/>
            </w14:solidFill>
          </w14:textFill>
        </w:rPr>
        <w:t>一</w:t>
      </w:r>
      <w:r>
        <w:rPr>
          <w:rStyle w:val="27"/>
          <w:rFonts w:hint="eastAsia" w:ascii="黑体" w:hAnsi="黑体" w:eastAsia="黑体"/>
          <w:b w:val="0"/>
          <w:color w:val="000000" w:themeColor="text1"/>
          <w14:textFill>
            <w14:solidFill>
              <w14:schemeClr w14:val="tx1"/>
            </w14:solidFill>
          </w14:textFill>
        </w:rPr>
        <w:t>般公共预算财政拨款基本支出决算情况说明</w:t>
      </w:r>
      <w:bookmarkEnd w:id="34"/>
      <w:bookmarkEnd w:id="35"/>
      <w:r>
        <w:rPr>
          <w:rStyle w:val="27"/>
          <w:rFonts w:ascii="黑体" w:hAnsi="黑体" w:eastAsia="黑体"/>
          <w:b w:val="0"/>
          <w:color w:val="000000" w:themeColor="text1"/>
          <w14:textFill>
            <w14:solidFill>
              <w14:schemeClr w14:val="tx1"/>
            </w14:solidFill>
          </w14:textFill>
        </w:rPr>
        <w:tab/>
      </w:r>
    </w:p>
    <w:p>
      <w:pPr>
        <w:spacing w:line="600" w:lineRule="exact"/>
        <w:ind w:firstLine="645"/>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年一般公共预算财政拨款基本支出</w:t>
      </w:r>
      <w:r>
        <w:rPr>
          <w:rFonts w:hint="eastAsia" w:ascii="仿宋" w:hAnsi="仿宋" w:eastAsia="仿宋"/>
          <w:color w:val="000000" w:themeColor="text1"/>
          <w:sz w:val="32"/>
          <w:szCs w:val="32"/>
          <w:lang w:val="en-US" w:eastAsia="zh-CN"/>
          <w14:textFill>
            <w14:solidFill>
              <w14:schemeClr w14:val="tx1"/>
            </w14:solidFill>
          </w14:textFill>
        </w:rPr>
        <w:t>119.12</w:t>
      </w:r>
      <w:r>
        <w:rPr>
          <w:rFonts w:hint="eastAsia" w:ascii="仿宋" w:hAnsi="仿宋" w:eastAsia="仿宋"/>
          <w:color w:val="000000" w:themeColor="text1"/>
          <w:sz w:val="32"/>
          <w:szCs w:val="32"/>
          <w14:textFill>
            <w14:solidFill>
              <w14:schemeClr w14:val="tx1"/>
            </w14:solidFill>
          </w14:textFill>
        </w:rPr>
        <w:t>万元，其中：</w:t>
      </w:r>
    </w:p>
    <w:p>
      <w:pPr>
        <w:spacing w:line="600" w:lineRule="exact"/>
        <w:ind w:firstLine="645"/>
        <w:rPr>
          <w:rFonts w:ascii="仿宋" w:hAnsi="仿宋" w:eastAsia="仿宋"/>
          <w:b/>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人员经费</w:t>
      </w:r>
      <w:r>
        <w:rPr>
          <w:rFonts w:hint="eastAsia" w:ascii="仿宋" w:hAnsi="仿宋" w:eastAsia="仿宋"/>
          <w:color w:val="000000" w:themeColor="text1"/>
          <w:sz w:val="32"/>
          <w:szCs w:val="32"/>
          <w:lang w:val="en-US" w:eastAsia="zh-CN"/>
          <w14:textFill>
            <w14:solidFill>
              <w14:schemeClr w14:val="tx1"/>
            </w14:solidFill>
          </w14:textFill>
        </w:rPr>
        <w:t>92.02</w:t>
      </w:r>
      <w:r>
        <w:rPr>
          <w:rFonts w:hint="eastAsia" w:ascii="仿宋" w:hAnsi="仿宋" w:eastAsia="仿宋"/>
          <w:color w:val="000000" w:themeColor="text1"/>
          <w:sz w:val="32"/>
          <w:szCs w:val="32"/>
          <w14:textFill>
            <w14:solidFill>
              <w14:schemeClr w14:val="tx1"/>
            </w14:solidFill>
          </w14:textFill>
        </w:rPr>
        <w:t>万元，主要包括：基本工资、津贴补贴、绩效工资、机关事业单位基本养老保险缴费、职业年金缴费、</w:t>
      </w:r>
      <w:r>
        <w:rPr>
          <w:rFonts w:hint="eastAsia" w:ascii="仿宋" w:hAnsi="仿宋" w:eastAsia="仿宋"/>
          <w:color w:val="000000" w:themeColor="text1"/>
          <w:sz w:val="32"/>
          <w:szCs w:val="32"/>
          <w:lang w:eastAsia="zh-CN"/>
          <w14:textFill>
            <w14:solidFill>
              <w14:schemeClr w14:val="tx1"/>
            </w14:solidFill>
          </w14:textFill>
        </w:rPr>
        <w:t>职工基本医疗保险缴费、</w:t>
      </w:r>
      <w:r>
        <w:rPr>
          <w:rFonts w:hint="eastAsia" w:ascii="仿宋" w:hAnsi="仿宋" w:eastAsia="仿宋"/>
          <w:color w:val="000000" w:themeColor="text1"/>
          <w:sz w:val="32"/>
          <w:szCs w:val="32"/>
          <w14:textFill>
            <w14:solidFill>
              <w14:schemeClr w14:val="tx1"/>
            </w14:solidFill>
          </w14:textFill>
        </w:rPr>
        <w:t>其他社会保障缴费、住房公积金、</w:t>
      </w:r>
      <w:r>
        <w:rPr>
          <w:rFonts w:hint="eastAsia" w:ascii="仿宋" w:hAnsi="仿宋" w:eastAsia="仿宋"/>
          <w:color w:val="000000" w:themeColor="text1"/>
          <w:sz w:val="32"/>
          <w:szCs w:val="32"/>
          <w:lang w:eastAsia="zh-CN"/>
          <w14:textFill>
            <w14:solidFill>
              <w14:schemeClr w14:val="tx1"/>
            </w14:solidFill>
          </w14:textFill>
        </w:rPr>
        <w:t>医疗费、其他工资福利支出、生活补助、其他对个人和家庭的补助</w:t>
      </w:r>
      <w:r>
        <w:rPr>
          <w:rFonts w:hint="eastAsia" w:ascii="仿宋" w:hAnsi="仿宋" w:eastAsia="仿宋"/>
          <w:color w:val="000000" w:themeColor="text1"/>
          <w:sz w:val="32"/>
          <w:szCs w:val="32"/>
          <w14:textFill>
            <w14:solidFill>
              <w14:schemeClr w14:val="tx1"/>
            </w14:solidFill>
          </w14:textFill>
        </w:rPr>
        <w:t>等。</w:t>
      </w:r>
      <w:r>
        <w:rPr>
          <w:rFonts w:ascii="仿宋" w:hAnsi="仿宋" w:eastAsia="仿宋"/>
          <w:color w:val="000000" w:themeColor="text1"/>
          <w:sz w:val="32"/>
          <w:szCs w:val="32"/>
          <w14:textFill>
            <w14:solidFill>
              <w14:schemeClr w14:val="tx1"/>
            </w14:solidFill>
          </w14:textFill>
        </w:rPr>
        <w:br w:type="textWrapping"/>
      </w:r>
      <w:r>
        <w:rPr>
          <w:rFonts w:hint="eastAsia" w:ascii="仿宋" w:hAnsi="仿宋" w:eastAsia="仿宋"/>
          <w:color w:val="000000" w:themeColor="text1"/>
          <w:sz w:val="32"/>
          <w:szCs w:val="32"/>
          <w14:textFill>
            <w14:solidFill>
              <w14:schemeClr w14:val="tx1"/>
            </w14:solidFill>
          </w14:textFill>
        </w:rPr>
        <w:t>　　公用经费</w:t>
      </w:r>
      <w:r>
        <w:rPr>
          <w:rFonts w:hint="eastAsia" w:ascii="仿宋" w:hAnsi="仿宋" w:eastAsia="仿宋"/>
          <w:color w:val="000000" w:themeColor="text1"/>
          <w:sz w:val="32"/>
          <w:szCs w:val="32"/>
          <w:lang w:val="en-US" w:eastAsia="zh-CN"/>
          <w14:textFill>
            <w14:solidFill>
              <w14:schemeClr w14:val="tx1"/>
            </w14:solidFill>
          </w14:textFill>
        </w:rPr>
        <w:t>27.10</w:t>
      </w:r>
      <w:r>
        <w:rPr>
          <w:rFonts w:hint="eastAsia" w:ascii="仿宋" w:hAnsi="仿宋" w:eastAsia="仿宋"/>
          <w:color w:val="000000" w:themeColor="text1"/>
          <w:sz w:val="32"/>
          <w:szCs w:val="32"/>
          <w14:textFill>
            <w14:solidFill>
              <w14:schemeClr w14:val="tx1"/>
            </w14:solidFill>
          </w14:textFill>
        </w:rPr>
        <w:t>万元，主要包括：办公费、水费、电费、邮电费、差旅费、维修（护）费</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公务接待费、工会经费、福利费、其他交通费、其他商品和服务支出等。</w:t>
      </w:r>
    </w:p>
    <w:p>
      <w:pPr>
        <w:spacing w:line="600" w:lineRule="exact"/>
        <w:ind w:firstLine="640"/>
        <w:outlineLvl w:val="1"/>
        <w:rPr>
          <w:rStyle w:val="27"/>
          <w:rFonts w:ascii="黑体" w:hAnsi="黑体" w:eastAsia="黑体"/>
          <w:b w:val="0"/>
          <w:color w:val="000000" w:themeColor="text1"/>
          <w14:textFill>
            <w14:solidFill>
              <w14:schemeClr w14:val="tx1"/>
            </w14:solidFill>
          </w14:textFill>
        </w:rPr>
      </w:pPr>
      <w:bookmarkStart w:id="36" w:name="_Toc15377215"/>
      <w:bookmarkStart w:id="37" w:name="_Toc15396609"/>
      <w:r>
        <w:rPr>
          <w:rFonts w:hint="eastAsia" w:ascii="黑体" w:eastAsia="黑体"/>
          <w:color w:val="000000" w:themeColor="text1"/>
          <w:sz w:val="32"/>
          <w:szCs w:val="32"/>
          <w14:textFill>
            <w14:solidFill>
              <w14:schemeClr w14:val="tx1"/>
            </w14:solidFill>
          </w14:textFill>
        </w:rPr>
        <w:t>七、</w:t>
      </w:r>
      <w:r>
        <w:rPr>
          <w:rStyle w:val="27"/>
          <w:rFonts w:hint="eastAsia" w:ascii="黑体" w:hAnsi="黑体" w:eastAsia="黑体"/>
          <w:color w:val="000000" w:themeColor="text1"/>
          <w14:textFill>
            <w14:solidFill>
              <w14:schemeClr w14:val="tx1"/>
            </w14:solidFill>
          </w14:textFill>
        </w:rPr>
        <w:t>“</w:t>
      </w:r>
      <w:r>
        <w:rPr>
          <w:rStyle w:val="27"/>
          <w:rFonts w:hint="eastAsia" w:ascii="黑体" w:hAnsi="黑体" w:eastAsia="黑体"/>
          <w:b w:val="0"/>
          <w:color w:val="000000" w:themeColor="text1"/>
          <w14:textFill>
            <w14:solidFill>
              <w14:schemeClr w14:val="tx1"/>
            </w14:solidFill>
          </w14:textFill>
        </w:rPr>
        <w:t>三公”经费财政拨款支出决算情况说明</w:t>
      </w:r>
      <w:bookmarkEnd w:id="36"/>
      <w:bookmarkEnd w:id="37"/>
    </w:p>
    <w:p>
      <w:pPr>
        <w:spacing w:line="600" w:lineRule="exact"/>
        <w:ind w:firstLine="640"/>
        <w:outlineLvl w:val="2"/>
        <w:rPr>
          <w:rFonts w:ascii="仿宋" w:hAnsi="仿宋" w:eastAsia="仿宋"/>
          <w:b/>
          <w:color w:val="000000" w:themeColor="text1"/>
          <w:sz w:val="32"/>
          <w:szCs w:val="32"/>
          <w14:textFill>
            <w14:solidFill>
              <w14:schemeClr w14:val="tx1"/>
            </w14:solidFill>
          </w14:textFill>
        </w:rPr>
      </w:pPr>
      <w:bookmarkStart w:id="38" w:name="_Toc15377216"/>
      <w:r>
        <w:rPr>
          <w:rFonts w:hint="eastAsia" w:ascii="仿宋" w:hAnsi="仿宋" w:eastAsia="仿宋"/>
          <w:b/>
          <w:color w:val="000000" w:themeColor="text1"/>
          <w:sz w:val="32"/>
          <w:szCs w:val="32"/>
          <w14:textFill>
            <w14:solidFill>
              <w14:schemeClr w14:val="tx1"/>
            </w14:solidFill>
          </w14:textFill>
        </w:rPr>
        <w:t>（一）“三公”经费财政拨款支出决算总体情况说明</w:t>
      </w:r>
      <w:bookmarkEnd w:id="38"/>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年“三公”经费财政拨款支出决算为</w:t>
      </w:r>
      <w:r>
        <w:rPr>
          <w:rFonts w:hint="eastAsia" w:ascii="仿宋" w:hAnsi="仿宋" w:eastAsia="仿宋"/>
          <w:color w:val="000000" w:themeColor="text1"/>
          <w:sz w:val="32"/>
          <w:szCs w:val="32"/>
          <w:lang w:val="en-US" w:eastAsia="zh-CN"/>
          <w14:textFill>
            <w14:solidFill>
              <w14:schemeClr w14:val="tx1"/>
            </w14:solidFill>
          </w14:textFill>
        </w:rPr>
        <w:t>0.55</w:t>
      </w:r>
      <w:r>
        <w:rPr>
          <w:rFonts w:hint="eastAsia" w:ascii="仿宋" w:hAnsi="仿宋" w:eastAsia="仿宋"/>
          <w:color w:val="000000" w:themeColor="text1"/>
          <w:sz w:val="32"/>
          <w:szCs w:val="32"/>
          <w14:textFill>
            <w14:solidFill>
              <w14:schemeClr w14:val="tx1"/>
            </w14:solidFill>
          </w14:textFill>
        </w:rPr>
        <w:t>万元，完成预算</w:t>
      </w:r>
      <w:r>
        <w:rPr>
          <w:rFonts w:hint="eastAsia" w:ascii="仿宋" w:hAnsi="仿宋" w:eastAsia="仿宋"/>
          <w:color w:val="000000" w:themeColor="text1"/>
          <w:sz w:val="32"/>
          <w:szCs w:val="32"/>
          <w:lang w:val="en-US" w:eastAsia="zh-CN"/>
          <w14:textFill>
            <w14:solidFill>
              <w14:schemeClr w14:val="tx1"/>
            </w14:solidFill>
          </w14:textFill>
        </w:rPr>
        <w:t>55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，决算数小于预算数的主要原因是</w:t>
      </w:r>
      <w:r>
        <w:rPr>
          <w:rFonts w:hint="eastAsia" w:ascii="仿宋" w:hAnsi="仿宋" w:eastAsia="仿宋"/>
          <w:color w:val="000000" w:themeColor="text1"/>
          <w:sz w:val="32"/>
          <w:szCs w:val="32"/>
          <w:lang w:eastAsia="zh-CN"/>
          <w14:textFill>
            <w14:solidFill>
              <w14:schemeClr w14:val="tx1"/>
            </w14:solidFill>
          </w14:textFill>
        </w:rPr>
        <w:t>受新冠疫情因素影响，减少出行</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outlineLvl w:val="2"/>
        <w:rPr>
          <w:rFonts w:ascii="仿宋" w:hAnsi="仿宋" w:eastAsia="仿宋"/>
          <w:b/>
          <w:color w:val="000000" w:themeColor="text1"/>
          <w:sz w:val="32"/>
          <w:szCs w:val="32"/>
          <w14:textFill>
            <w14:solidFill>
              <w14:schemeClr w14:val="tx1"/>
            </w14:solidFill>
          </w14:textFill>
        </w:rPr>
      </w:pPr>
      <w:bookmarkStart w:id="39" w:name="_Toc15377217"/>
      <w:r>
        <w:rPr>
          <w:rFonts w:hint="eastAsia" w:ascii="仿宋" w:hAnsi="仿宋" w:eastAsia="仿宋"/>
          <w:b/>
          <w:color w:val="000000" w:themeColor="text1"/>
          <w:sz w:val="32"/>
          <w:szCs w:val="32"/>
          <w14:textFill>
            <w14:solidFill>
              <w14:schemeClr w14:val="tx1"/>
            </w14:solidFill>
          </w14:textFill>
        </w:rPr>
        <w:t>（二）“三公”经费财政拨款支出决算具体情况说明</w:t>
      </w:r>
      <w:bookmarkEnd w:id="39"/>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lang w:val="en-US" w:eastAsia="zh-CN"/>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年“三公”经费财政拨款支出决算中，因公出国（境）费支出决算</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；公务用车购置及运行维护费支出决算</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；公务接待费支出决算</w:t>
      </w:r>
      <w:r>
        <w:rPr>
          <w:rFonts w:hint="eastAsia" w:ascii="仿宋" w:hAnsi="仿宋" w:eastAsia="仿宋"/>
          <w:color w:val="000000" w:themeColor="text1"/>
          <w:sz w:val="32"/>
          <w:szCs w:val="32"/>
          <w:lang w:val="en-US" w:eastAsia="zh-CN"/>
          <w14:textFill>
            <w14:solidFill>
              <w14:schemeClr w14:val="tx1"/>
            </w14:solidFill>
          </w14:textFill>
        </w:rPr>
        <w:t>0.55</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55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。具体情况如下：</w:t>
      </w:r>
    </w:p>
    <w:p>
      <w:pPr>
        <w:pStyle w:val="6"/>
        <w:rPr>
          <w:rFonts w:hint="eastAsia" w:ascii="仿宋" w:hAnsi="仿宋" w:eastAsia="仿宋"/>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drawing>
          <wp:anchor distT="0" distB="0" distL="114300" distR="114300" simplePos="0" relativeHeight="251665408" behindDoc="0" locked="0" layoutInCell="1" allowOverlap="1">
            <wp:simplePos x="0" y="0"/>
            <wp:positionH relativeFrom="column">
              <wp:posOffset>185420</wp:posOffset>
            </wp:positionH>
            <wp:positionV relativeFrom="paragraph">
              <wp:posOffset>347345</wp:posOffset>
            </wp:positionV>
            <wp:extent cx="5057775" cy="1867535"/>
            <wp:effectExtent l="4445" t="4445" r="5080" b="13970"/>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numPr>
          <w:ilvl w:val="0"/>
          <w:numId w:val="3"/>
        </w:numPr>
        <w:spacing w:line="600" w:lineRule="exact"/>
        <w:ind w:firstLine="64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因公出国（境）经费支出</w:t>
      </w:r>
      <w:r>
        <w:rPr>
          <w:rFonts w:hint="eastAsia" w:ascii="仿宋_GB2312" w:eastAsia="仿宋_GB2312"/>
          <w:b/>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Style w:val="15"/>
          <w:rFonts w:hint="eastAsia" w:ascii="仿宋" w:hAnsi="仿宋" w:eastAsia="仿宋"/>
          <w:b w:val="0"/>
          <w:bCs/>
          <w:color w:val="000000" w:themeColor="text1"/>
          <w:sz w:val="32"/>
          <w:szCs w:val="32"/>
          <w14:textFill>
            <w14:solidFill>
              <w14:schemeClr w14:val="tx1"/>
            </w14:solidFill>
          </w14:textFill>
        </w:rPr>
        <w:t>完成预算</w:t>
      </w:r>
      <w:r>
        <w:rPr>
          <w:rStyle w:val="15"/>
          <w:rFonts w:hint="eastAsia" w:ascii="仿宋" w:hAnsi="仿宋" w:eastAsia="仿宋"/>
          <w:b w:val="0"/>
          <w:bCs/>
          <w:color w:val="000000" w:themeColor="text1"/>
          <w:sz w:val="32"/>
          <w:szCs w:val="32"/>
          <w:lang w:val="en-US" w:eastAsia="zh-CN"/>
          <w14:textFill>
            <w14:solidFill>
              <w14:schemeClr w14:val="tx1"/>
            </w14:solidFill>
          </w14:textFill>
        </w:rPr>
        <w:t>0</w:t>
      </w:r>
      <w:r>
        <w:rPr>
          <w:rStyle w:val="15"/>
          <w:rFonts w:ascii="仿宋" w:hAnsi="仿宋" w:eastAsia="仿宋"/>
          <w:b w:val="0"/>
          <w:bCs/>
          <w:color w:val="000000" w:themeColor="text1"/>
          <w:sz w:val="32"/>
          <w:szCs w:val="32"/>
          <w14:textFill>
            <w14:solidFill>
              <w14:schemeClr w14:val="tx1"/>
            </w14:solidFill>
          </w14:textFill>
        </w:rPr>
        <w:t>%</w:t>
      </w:r>
      <w:r>
        <w:rPr>
          <w:rStyle w:val="15"/>
          <w:rFonts w:hint="eastAsia" w:ascii="仿宋" w:hAnsi="仿宋" w:eastAsia="仿宋"/>
          <w:b w:val="0"/>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全年安排因公出国（境）团组</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次，出国（境）</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人。因公出国（境）支出决算</w:t>
      </w:r>
      <w:r>
        <w:rPr>
          <w:rFonts w:hint="eastAsia" w:ascii="仿宋_GB2312" w:eastAsia="仿宋_GB2312"/>
          <w:color w:val="000000" w:themeColor="text1"/>
          <w:sz w:val="32"/>
          <w:szCs w:val="32"/>
          <w:lang w:eastAsia="zh-CN"/>
          <w14:textFill>
            <w14:solidFill>
              <w14:schemeClr w14:val="tx1"/>
            </w14:solidFill>
          </w14:textFill>
        </w:rPr>
        <w:t>与</w:t>
      </w: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eastAsia="zh-CN"/>
          <w14:textFill>
            <w14:solidFill>
              <w14:schemeClr w14:val="tx1"/>
            </w14:solidFill>
          </w14:textFill>
        </w:rPr>
        <w:t>持平。</w:t>
      </w:r>
    </w:p>
    <w:p>
      <w:pPr>
        <w:numPr>
          <w:ilvl w:val="0"/>
          <w:numId w:val="0"/>
        </w:numPr>
        <w:spacing w:line="600" w:lineRule="exact"/>
        <w:ind w:firstLine="643" w:firstLineChars="200"/>
        <w:rPr>
          <w:rFonts w:hint="eastAsia" w:ascii="仿宋_GB2312" w:eastAsia="仿宋_GB2312"/>
          <w:b/>
          <w:color w:val="000000" w:themeColor="text1"/>
          <w:sz w:val="32"/>
          <w:szCs w:val="32"/>
          <w:lang w:eastAsia="zh-CN"/>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2.</w:t>
      </w:r>
      <w:r>
        <w:rPr>
          <w:rFonts w:hint="eastAsia" w:ascii="仿宋_GB2312" w:eastAsia="仿宋_GB2312"/>
          <w:b/>
          <w:color w:val="000000" w:themeColor="text1"/>
          <w:sz w:val="32"/>
          <w:szCs w:val="32"/>
          <w14:textFill>
            <w14:solidFill>
              <w14:schemeClr w14:val="tx1"/>
            </w14:solidFill>
          </w14:textFill>
        </w:rPr>
        <w:t>公务用车购置及运行维护费支出</w:t>
      </w:r>
      <w:r>
        <w:rPr>
          <w:rFonts w:hint="eastAsia" w:ascii="仿宋_GB2312" w:eastAsia="仿宋_GB2312"/>
          <w:b/>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Style w:val="15"/>
          <w:rFonts w:hint="eastAsia" w:ascii="仿宋" w:hAnsi="仿宋" w:eastAsia="仿宋"/>
          <w:b w:val="0"/>
          <w:bCs/>
          <w:color w:val="000000" w:themeColor="text1"/>
          <w:sz w:val="32"/>
          <w:szCs w:val="32"/>
          <w14:textFill>
            <w14:solidFill>
              <w14:schemeClr w14:val="tx1"/>
            </w14:solidFill>
          </w14:textFill>
        </w:rPr>
        <w:t>完成预算</w:t>
      </w:r>
      <w:r>
        <w:rPr>
          <w:rStyle w:val="15"/>
          <w:rFonts w:hint="eastAsia" w:ascii="仿宋" w:hAnsi="仿宋" w:eastAsia="仿宋"/>
          <w:b w:val="0"/>
          <w:bCs/>
          <w:color w:val="000000" w:themeColor="text1"/>
          <w:sz w:val="32"/>
          <w:szCs w:val="32"/>
          <w:lang w:val="en-US" w:eastAsia="zh-CN"/>
          <w14:textFill>
            <w14:solidFill>
              <w14:schemeClr w14:val="tx1"/>
            </w14:solidFill>
          </w14:textFill>
        </w:rPr>
        <w:t>0</w:t>
      </w:r>
      <w:r>
        <w:rPr>
          <w:rStyle w:val="15"/>
          <w:rFonts w:ascii="仿宋" w:hAnsi="仿宋" w:eastAsia="仿宋"/>
          <w:b w:val="0"/>
          <w:bCs/>
          <w:color w:val="000000" w:themeColor="text1"/>
          <w:sz w:val="32"/>
          <w:szCs w:val="32"/>
          <w14:textFill>
            <w14:solidFill>
              <w14:schemeClr w14:val="tx1"/>
            </w14:solidFill>
          </w14:textFill>
        </w:rPr>
        <w:t>%</w:t>
      </w:r>
      <w:r>
        <w:rPr>
          <w:rStyle w:val="15"/>
          <w:rFonts w:hint="eastAsia" w:ascii="仿宋" w:hAnsi="仿宋" w:eastAsia="仿宋"/>
          <w:b w:val="0"/>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公务用车购置及运行维护费支出决算</w:t>
      </w:r>
      <w:r>
        <w:rPr>
          <w:rFonts w:hint="eastAsia" w:ascii="仿宋_GB2312" w:eastAsia="仿宋_GB2312"/>
          <w:color w:val="000000" w:themeColor="text1"/>
          <w:sz w:val="32"/>
          <w:szCs w:val="32"/>
          <w:lang w:eastAsia="zh-CN"/>
          <w14:textFill>
            <w14:solidFill>
              <w14:schemeClr w14:val="tx1"/>
            </w14:solidFill>
          </w14:textFill>
        </w:rPr>
        <w:t>与</w:t>
      </w: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eastAsia="zh-CN"/>
          <w14:textFill>
            <w14:solidFill>
              <w14:schemeClr w14:val="tx1"/>
            </w14:solidFill>
          </w14:textFill>
        </w:rPr>
        <w:t>持平。</w:t>
      </w:r>
    </w:p>
    <w:p>
      <w:pPr>
        <w:spacing w:line="600" w:lineRule="exact"/>
        <w:ind w:firstLine="640" w:firstLineChars="200"/>
        <w:rPr>
          <w:rFonts w:ascii="仿宋_GB2312" w:eastAsia="仿宋_GB2312"/>
          <w:b/>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w:t>
      </w:r>
      <w:r>
        <w:rPr>
          <w:rFonts w:hint="eastAsia" w:ascii="仿宋_GB2312" w:eastAsia="仿宋_GB2312"/>
          <w:b/>
          <w:color w:val="000000" w:themeColor="text1"/>
          <w:sz w:val="32"/>
          <w:szCs w:val="32"/>
          <w14:textFill>
            <w14:solidFill>
              <w14:schemeClr w14:val="tx1"/>
            </w14:solidFill>
          </w14:textFill>
        </w:rPr>
        <w:t>公务用车购置支出</w:t>
      </w:r>
      <w:r>
        <w:rPr>
          <w:rFonts w:hint="eastAsia" w:ascii="仿宋_GB2312" w:eastAsia="仿宋_GB2312"/>
          <w:b/>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万元。全年按规定更新购置公务用车</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辆，其中：轿车</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辆、金额</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万元，越野车</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辆、金额</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万元，载客汽车</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辆、金额</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万元。截至</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月底，单位共有公务用车</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辆，其中：轿车</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辆、越野车</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辆、载客汽车</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w:t>
      </w:r>
    </w:p>
    <w:p>
      <w:pPr>
        <w:spacing w:line="600" w:lineRule="exact"/>
        <w:ind w:firstLine="64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color w:val="000000" w:themeColor="text1"/>
          <w:sz w:val="32"/>
          <w:szCs w:val="32"/>
          <w14:textFill>
            <w14:solidFill>
              <w14:schemeClr w14:val="tx1"/>
            </w14:solidFill>
          </w14:textFill>
        </w:rPr>
        <w:t>公务用车运行维护费支出</w:t>
      </w:r>
      <w:r>
        <w:rPr>
          <w:rFonts w:hint="eastAsia" w:ascii="仿宋_GB2312" w:eastAsia="仿宋_GB2312"/>
          <w:b/>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spacing w:line="600" w:lineRule="exact"/>
        <w:ind w:firstLine="640"/>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3.</w:t>
      </w:r>
      <w:r>
        <w:rPr>
          <w:rFonts w:hint="eastAsia" w:ascii="仿宋_GB2312" w:eastAsia="仿宋_GB2312"/>
          <w:b/>
          <w:color w:val="000000" w:themeColor="text1"/>
          <w:sz w:val="32"/>
          <w:szCs w:val="32"/>
          <w14:textFill>
            <w14:solidFill>
              <w14:schemeClr w14:val="tx1"/>
            </w14:solidFill>
          </w14:textFill>
        </w:rPr>
        <w:t>公务接待费支出</w:t>
      </w:r>
      <w:r>
        <w:rPr>
          <w:rFonts w:hint="eastAsia" w:ascii="仿宋_GB2312" w:eastAsia="仿宋_GB2312"/>
          <w:b/>
          <w:color w:val="000000" w:themeColor="text1"/>
          <w:sz w:val="32"/>
          <w:szCs w:val="32"/>
          <w:lang w:val="en-US" w:eastAsia="zh-CN"/>
          <w14:textFill>
            <w14:solidFill>
              <w14:schemeClr w14:val="tx1"/>
            </w14:solidFill>
          </w14:textFill>
        </w:rPr>
        <w:t>0.55</w:t>
      </w:r>
      <w:r>
        <w:rPr>
          <w:rFonts w:hint="eastAsia" w:ascii="仿宋_GB2312" w:eastAsia="仿宋_GB2312"/>
          <w:color w:val="000000" w:themeColor="text1"/>
          <w:sz w:val="32"/>
          <w:szCs w:val="32"/>
          <w14:textFill>
            <w14:solidFill>
              <w14:schemeClr w14:val="tx1"/>
            </w14:solidFill>
          </w14:textFill>
        </w:rPr>
        <w:t>万元，</w:t>
      </w:r>
      <w:r>
        <w:rPr>
          <w:rStyle w:val="15"/>
          <w:rFonts w:hint="eastAsia" w:ascii="仿宋" w:hAnsi="仿宋" w:eastAsia="仿宋"/>
          <w:b w:val="0"/>
          <w:bCs/>
          <w:color w:val="000000" w:themeColor="text1"/>
          <w:sz w:val="32"/>
          <w:szCs w:val="32"/>
          <w14:textFill>
            <w14:solidFill>
              <w14:schemeClr w14:val="tx1"/>
            </w14:solidFill>
          </w14:textFill>
        </w:rPr>
        <w:t>完成预算</w:t>
      </w:r>
      <w:r>
        <w:rPr>
          <w:rStyle w:val="15"/>
          <w:rFonts w:hint="eastAsia" w:ascii="仿宋" w:hAnsi="仿宋" w:eastAsia="仿宋"/>
          <w:b w:val="0"/>
          <w:bCs/>
          <w:color w:val="000000" w:themeColor="text1"/>
          <w:sz w:val="32"/>
          <w:szCs w:val="32"/>
          <w:lang w:val="en-US" w:eastAsia="zh-CN"/>
          <w14:textFill>
            <w14:solidFill>
              <w14:schemeClr w14:val="tx1"/>
            </w14:solidFill>
          </w14:textFill>
        </w:rPr>
        <w:t>55</w:t>
      </w:r>
      <w:r>
        <w:rPr>
          <w:rStyle w:val="15"/>
          <w:rFonts w:ascii="仿宋" w:hAnsi="仿宋" w:eastAsia="仿宋"/>
          <w:b w:val="0"/>
          <w:bCs/>
          <w:color w:val="000000" w:themeColor="text1"/>
          <w:sz w:val="32"/>
          <w:szCs w:val="32"/>
          <w14:textFill>
            <w14:solidFill>
              <w14:schemeClr w14:val="tx1"/>
            </w14:solidFill>
          </w14:textFill>
        </w:rPr>
        <w:t>%</w:t>
      </w:r>
      <w:r>
        <w:rPr>
          <w:rStyle w:val="15"/>
          <w:rFonts w:hint="eastAsia" w:ascii="仿宋" w:hAnsi="仿宋" w:eastAsia="仿宋"/>
          <w:b w:val="0"/>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公务接待费支出决算比</w:t>
      </w: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年增加</w:t>
      </w:r>
      <w:r>
        <w:rPr>
          <w:rFonts w:hint="eastAsia" w:ascii="仿宋_GB2312" w:eastAsia="仿宋_GB2312"/>
          <w:color w:val="000000" w:themeColor="text1"/>
          <w:sz w:val="32"/>
          <w:szCs w:val="32"/>
          <w:lang w:val="en-US" w:eastAsia="zh-CN"/>
          <w14:textFill>
            <w14:solidFill>
              <w14:schemeClr w14:val="tx1"/>
            </w14:solidFill>
          </w14:textFill>
        </w:rPr>
        <w:t>0.55</w:t>
      </w:r>
      <w:r>
        <w:rPr>
          <w:rFonts w:hint="eastAsia" w:ascii="仿宋_GB2312" w:eastAsia="仿宋_GB2312"/>
          <w:color w:val="000000" w:themeColor="text1"/>
          <w:sz w:val="32"/>
          <w:szCs w:val="32"/>
          <w14:textFill>
            <w14:solidFill>
              <w14:schemeClr w14:val="tx1"/>
            </w14:solidFill>
          </w14:textFill>
        </w:rPr>
        <w:t>万元。主要原因是</w:t>
      </w:r>
      <w:r>
        <w:rPr>
          <w:rFonts w:hint="eastAsia" w:ascii="仿宋_GB2312" w:eastAsia="仿宋_GB2312"/>
          <w:color w:val="000000" w:themeColor="text1"/>
          <w:sz w:val="32"/>
          <w:szCs w:val="32"/>
          <w:lang w:eastAsia="zh-CN"/>
          <w14:textFill>
            <w14:solidFill>
              <w14:schemeClr w14:val="tx1"/>
            </w14:solidFill>
          </w14:textFill>
        </w:rPr>
        <w:t>工作性质增加，公务接待增加</w:t>
      </w:r>
      <w:r>
        <w:rPr>
          <w:rFonts w:hint="eastAsia" w:ascii="仿宋_GB2312" w:eastAsia="仿宋_GB2312"/>
          <w:color w:val="000000" w:themeColor="text1"/>
          <w:sz w:val="32"/>
          <w:szCs w:val="32"/>
          <w14:textFill>
            <w14:solidFill>
              <w14:schemeClr w14:val="tx1"/>
            </w14:solidFill>
          </w14:textFill>
        </w:rPr>
        <w:t>。其中：</w:t>
      </w:r>
    </w:p>
    <w:p>
      <w:pPr>
        <w:spacing w:line="600" w:lineRule="exact"/>
        <w:ind w:firstLine="64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国内公务接待支出</w:t>
      </w:r>
      <w:r>
        <w:rPr>
          <w:rFonts w:hint="eastAsia" w:ascii="仿宋" w:hAnsi="仿宋" w:eastAsia="仿宋"/>
          <w:b/>
          <w:color w:val="000000" w:themeColor="text1"/>
          <w:sz w:val="32"/>
          <w:szCs w:val="32"/>
          <w:lang w:val="en-US" w:eastAsia="zh-CN"/>
          <w14:textFill>
            <w14:solidFill>
              <w14:schemeClr w14:val="tx1"/>
            </w14:solidFill>
          </w14:textFill>
        </w:rPr>
        <w:t>0.55</w:t>
      </w:r>
      <w:r>
        <w:rPr>
          <w:rFonts w:hint="eastAsia" w:ascii="仿宋_GB2312" w:eastAsia="仿宋_GB2312"/>
          <w:color w:val="000000" w:themeColor="text1"/>
          <w:sz w:val="32"/>
          <w:szCs w:val="32"/>
          <w14:textFill>
            <w14:solidFill>
              <w14:schemeClr w14:val="tx1"/>
            </w14:solidFill>
          </w14:textFill>
        </w:rPr>
        <w:t>万元，</w:t>
      </w:r>
      <w:r>
        <w:rPr>
          <w:rFonts w:hint="default" w:ascii="Times New Roman" w:hAnsi="Times New Roman" w:eastAsia="仿宋_GB2312" w:cs="Times New Roman"/>
          <w:color w:val="000000" w:themeColor="text1"/>
          <w:sz w:val="32"/>
          <w:szCs w:val="32"/>
          <w14:textFill>
            <w14:solidFill>
              <w14:schemeClr w14:val="tx1"/>
            </w14:solidFill>
          </w14:textFill>
        </w:rPr>
        <w:t>主要用于执行公务活动开支的用餐费。国内公务接待</w:t>
      </w:r>
      <w:r>
        <w:rPr>
          <w:rFonts w:hint="eastAsia"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批次，</w:t>
      </w:r>
      <w:r>
        <w:rPr>
          <w:rFonts w:hint="eastAsia" w:eastAsia="仿宋_GB2312" w:cs="Times New Roman"/>
          <w:color w:val="000000" w:themeColor="text1"/>
          <w:sz w:val="32"/>
          <w:szCs w:val="32"/>
          <w:lang w:val="en-US" w:eastAsia="zh-CN"/>
          <w14:textFill>
            <w14:solidFill>
              <w14:schemeClr w14:val="tx1"/>
            </w14:solidFill>
          </w14:textFill>
        </w:rPr>
        <w:t>28</w:t>
      </w:r>
      <w:r>
        <w:rPr>
          <w:rFonts w:hint="default" w:ascii="Times New Roman" w:hAnsi="Times New Roman" w:eastAsia="仿宋_GB2312" w:cs="Times New Roman"/>
          <w:color w:val="000000" w:themeColor="text1"/>
          <w:sz w:val="32"/>
          <w:szCs w:val="32"/>
          <w14:textFill>
            <w14:solidFill>
              <w14:schemeClr w14:val="tx1"/>
            </w14:solidFill>
          </w14:textFill>
        </w:rPr>
        <w:t>人次（不包括陪同人员），共计支出</w:t>
      </w:r>
      <w:r>
        <w:rPr>
          <w:rFonts w:hint="eastAsia" w:eastAsia="仿宋_GB2312" w:cs="Times New Roman"/>
          <w:color w:val="000000" w:themeColor="text1"/>
          <w:sz w:val="32"/>
          <w:szCs w:val="32"/>
          <w:lang w:val="en-US" w:eastAsia="zh-CN"/>
          <w14:textFill>
            <w14:solidFill>
              <w14:schemeClr w14:val="tx1"/>
            </w14:solidFill>
          </w14:textFill>
        </w:rPr>
        <w:t>0.55</w:t>
      </w:r>
      <w:r>
        <w:rPr>
          <w:rFonts w:hint="default" w:ascii="Times New Roman" w:hAnsi="Times New Roman" w:eastAsia="仿宋_GB2312" w:cs="Times New Roman"/>
          <w:color w:val="000000" w:themeColor="text1"/>
          <w:sz w:val="32"/>
          <w:szCs w:val="32"/>
          <w14:textFill>
            <w14:solidFill>
              <w14:schemeClr w14:val="tx1"/>
            </w14:solidFill>
          </w14:textFill>
        </w:rPr>
        <w:t>万元，具体内容包括：</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接待</w:t>
      </w:r>
      <w:r>
        <w:rPr>
          <w:rFonts w:hint="eastAsia" w:eastAsia="仿宋_GB2312" w:cs="Times New Roman"/>
          <w:color w:val="000000" w:themeColor="text1"/>
          <w:sz w:val="32"/>
          <w:szCs w:val="32"/>
          <w:lang w:eastAsia="zh-CN"/>
          <w14:textFill>
            <w14:solidFill>
              <w14:schemeClr w14:val="tx1"/>
            </w14:solidFill>
          </w14:textFill>
        </w:rPr>
        <w:t>各市州民宗局来本单位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调研</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3"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外事接待支出</w:t>
      </w:r>
      <w:r>
        <w:rPr>
          <w:rFonts w:hint="eastAsia" w:ascii="仿宋" w:hAnsi="仿宋" w:eastAsia="仿宋"/>
          <w:b/>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eastAsia="仿宋_GB2312"/>
          <w:color w:val="000000" w:themeColor="text1"/>
          <w:sz w:val="32"/>
          <w:szCs w:val="32"/>
          <w:lang w:eastAsia="zh-CN"/>
          <w14:textFill>
            <w14:solidFill>
              <w14:schemeClr w14:val="tx1"/>
            </w14:solidFill>
          </w14:textFill>
        </w:rPr>
        <w:t>。</w:t>
      </w:r>
    </w:p>
    <w:p>
      <w:pPr>
        <w:spacing w:line="600" w:lineRule="exact"/>
        <w:ind w:firstLine="640"/>
        <w:outlineLvl w:val="1"/>
        <w:rPr>
          <w:rFonts w:ascii="黑体" w:eastAsia="黑体"/>
          <w:color w:val="000000" w:themeColor="text1"/>
          <w:sz w:val="32"/>
          <w:szCs w:val="32"/>
          <w14:textFill>
            <w14:solidFill>
              <w14:schemeClr w14:val="tx1"/>
            </w14:solidFill>
          </w14:textFill>
        </w:rPr>
      </w:pPr>
      <w:bookmarkStart w:id="40" w:name="_Toc15377218"/>
      <w:bookmarkStart w:id="41" w:name="_Toc15396610"/>
    </w:p>
    <w:p>
      <w:pPr>
        <w:spacing w:line="600" w:lineRule="exact"/>
        <w:ind w:firstLine="640"/>
        <w:outlineLvl w:val="1"/>
        <w:rPr>
          <w:rStyle w:val="27"/>
          <w:rFonts w:ascii="黑体" w:hAnsi="黑体" w:eastAsia="黑体"/>
          <w:color w:val="000000" w:themeColor="text1"/>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八、</w:t>
      </w:r>
      <w:r>
        <w:rPr>
          <w:rStyle w:val="27"/>
          <w:rFonts w:hint="eastAsia" w:ascii="黑体" w:hAnsi="黑体" w:eastAsia="黑体"/>
          <w:b w:val="0"/>
          <w:color w:val="000000" w:themeColor="text1"/>
          <w14:textFill>
            <w14:solidFill>
              <w14:schemeClr w14:val="tx1"/>
            </w14:solidFill>
          </w14:textFill>
        </w:rPr>
        <w:t>政府性基金预算支出决算情况说明</w:t>
      </w:r>
      <w:bookmarkEnd w:id="40"/>
      <w:bookmarkEnd w:id="41"/>
    </w:p>
    <w:p>
      <w:pPr>
        <w:spacing w:line="600" w:lineRule="exact"/>
        <w:ind w:firstLine="64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年政府性基金预算</w:t>
      </w:r>
      <w:r>
        <w:rPr>
          <w:rFonts w:hint="eastAsia" w:ascii="仿宋_GB2312" w:eastAsia="仿宋_GB2312"/>
          <w:color w:val="000000" w:themeColor="text1"/>
          <w:sz w:val="32"/>
          <w:szCs w:val="32"/>
          <w:lang w:eastAsia="zh-CN"/>
          <w14:textFill>
            <w14:solidFill>
              <w14:schemeClr w14:val="tx1"/>
            </w14:solidFill>
          </w14:textFill>
        </w:rPr>
        <w:t>财政</w:t>
      </w:r>
      <w:r>
        <w:rPr>
          <w:rFonts w:hint="eastAsia" w:ascii="仿宋_GB2312" w:eastAsia="仿宋_GB2312"/>
          <w:color w:val="000000" w:themeColor="text1"/>
          <w:sz w:val="32"/>
          <w:szCs w:val="32"/>
          <w14:textFill>
            <w14:solidFill>
              <w14:schemeClr w14:val="tx1"/>
            </w14:solidFill>
          </w14:textFill>
        </w:rPr>
        <w:t>拨款支出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spacing w:line="600" w:lineRule="exact"/>
        <w:ind w:firstLine="640"/>
        <w:rPr>
          <w:rFonts w:ascii="仿宋_GB2312" w:eastAsia="仿宋_GB2312"/>
          <w:color w:val="000000" w:themeColor="text1"/>
          <w:sz w:val="32"/>
          <w:szCs w:val="32"/>
          <w14:textFill>
            <w14:solidFill>
              <w14:schemeClr w14:val="tx1"/>
            </w14:solidFill>
          </w14:textFill>
        </w:rPr>
      </w:pPr>
    </w:p>
    <w:p>
      <w:pPr>
        <w:numPr>
          <w:ilvl w:val="0"/>
          <w:numId w:val="4"/>
        </w:numPr>
        <w:spacing w:line="600" w:lineRule="exact"/>
        <w:ind w:firstLine="640"/>
        <w:outlineLvl w:val="1"/>
        <w:rPr>
          <w:rStyle w:val="27"/>
          <w:rFonts w:ascii="黑体" w:hAnsi="黑体" w:eastAsia="黑体"/>
          <w:b w:val="0"/>
          <w:color w:val="000000" w:themeColor="text1"/>
          <w14:textFill>
            <w14:solidFill>
              <w14:schemeClr w14:val="tx1"/>
            </w14:solidFill>
          </w14:textFill>
        </w:rPr>
      </w:pPr>
      <w:bookmarkStart w:id="42" w:name="_Toc15377219"/>
      <w:bookmarkStart w:id="43" w:name="_Toc15396611"/>
      <w:r>
        <w:rPr>
          <w:rStyle w:val="27"/>
          <w:rFonts w:hint="eastAsia" w:ascii="黑体" w:hAnsi="黑体" w:eastAsia="黑体"/>
          <w:b w:val="0"/>
          <w:color w:val="000000" w:themeColor="text1"/>
          <w14:textFill>
            <w14:solidFill>
              <w14:schemeClr w14:val="tx1"/>
            </w14:solidFill>
          </w14:textFill>
        </w:rPr>
        <w:t>国有资本经营预算支出决算情况说明</w:t>
      </w:r>
      <w:bookmarkEnd w:id="42"/>
      <w:bookmarkEnd w:id="43"/>
    </w:p>
    <w:p>
      <w:pPr>
        <w:spacing w:line="600" w:lineRule="exact"/>
        <w:ind w:firstLine="64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年国有资本经营预算</w:t>
      </w:r>
      <w:r>
        <w:rPr>
          <w:rFonts w:hint="eastAsia" w:ascii="仿宋_GB2312" w:eastAsia="仿宋_GB2312"/>
          <w:color w:val="000000" w:themeColor="text1"/>
          <w:sz w:val="32"/>
          <w:szCs w:val="32"/>
          <w:lang w:eastAsia="zh-CN"/>
          <w14:textFill>
            <w14:solidFill>
              <w14:schemeClr w14:val="tx1"/>
            </w14:solidFill>
          </w14:textFill>
        </w:rPr>
        <w:t>财政</w:t>
      </w:r>
      <w:r>
        <w:rPr>
          <w:rFonts w:hint="eastAsia" w:ascii="仿宋_GB2312" w:eastAsia="仿宋_GB2312"/>
          <w:color w:val="000000" w:themeColor="text1"/>
          <w:sz w:val="32"/>
          <w:szCs w:val="32"/>
          <w14:textFill>
            <w14:solidFill>
              <w14:schemeClr w14:val="tx1"/>
            </w14:solidFill>
          </w14:textFill>
        </w:rPr>
        <w:t>拨款支出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spacing w:line="58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numPr>
          <w:ilvl w:val="0"/>
          <w:numId w:val="4"/>
        </w:numPr>
        <w:spacing w:line="600" w:lineRule="exact"/>
        <w:ind w:firstLine="640"/>
        <w:outlineLvl w:val="1"/>
        <w:rPr>
          <w:rStyle w:val="27"/>
          <w:rFonts w:hint="eastAsia" w:ascii="黑体" w:hAnsi="黑体" w:eastAsia="黑体"/>
          <w:b w:val="0"/>
          <w:color w:val="000000" w:themeColor="text1"/>
          <w14:textFill>
            <w14:solidFill>
              <w14:schemeClr w14:val="tx1"/>
            </w14:solidFill>
          </w14:textFill>
        </w:rPr>
      </w:pPr>
      <w:bookmarkStart w:id="44" w:name="_Toc15396612"/>
      <w:bookmarkStart w:id="45" w:name="_Toc15377221"/>
      <w:r>
        <w:rPr>
          <w:rStyle w:val="27"/>
          <w:rFonts w:hint="eastAsia" w:ascii="黑体" w:hAnsi="黑体" w:eastAsia="黑体"/>
          <w:b w:val="0"/>
          <w:color w:val="000000" w:themeColor="text1"/>
          <w14:textFill>
            <w14:solidFill>
              <w14:schemeClr w14:val="tx1"/>
            </w14:solidFill>
          </w14:textFill>
        </w:rPr>
        <w:t>其他重要事项的情况说明</w:t>
      </w:r>
      <w:bookmarkEnd w:id="44"/>
      <w:bookmarkEnd w:id="45"/>
    </w:p>
    <w:p>
      <w:pPr>
        <w:spacing w:line="600" w:lineRule="exact"/>
        <w:ind w:firstLine="643" w:firstLineChars="200"/>
        <w:outlineLvl w:val="2"/>
        <w:rPr>
          <w:rFonts w:ascii="仿宋" w:hAnsi="仿宋" w:eastAsia="仿宋"/>
          <w:color w:val="000000" w:themeColor="text1"/>
          <w:sz w:val="32"/>
          <w:szCs w:val="32"/>
          <w14:textFill>
            <w14:solidFill>
              <w14:schemeClr w14:val="tx1"/>
            </w14:solidFill>
          </w14:textFill>
        </w:rPr>
      </w:pPr>
      <w:bookmarkStart w:id="46" w:name="_Toc15377222"/>
      <w:r>
        <w:rPr>
          <w:rFonts w:hint="eastAsia" w:ascii="仿宋" w:hAnsi="仿宋" w:eastAsia="仿宋"/>
          <w:b/>
          <w:color w:val="000000" w:themeColor="text1"/>
          <w:sz w:val="32"/>
          <w:szCs w:val="32"/>
          <w14:textFill>
            <w14:solidFill>
              <w14:schemeClr w14:val="tx1"/>
            </w14:solidFill>
          </w14:textFill>
        </w:rPr>
        <w:t>（一）机关运行经费支出情况</w:t>
      </w:r>
      <w:bookmarkEnd w:id="46"/>
    </w:p>
    <w:p>
      <w:pPr>
        <w:spacing w:line="60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eastAsia="zh-CN"/>
          <w14:textFill>
            <w14:solidFill>
              <w14:schemeClr w14:val="tx1"/>
            </w14:solidFill>
          </w14:textFill>
        </w:rPr>
        <w:t>四川省宗教教育培训中心</w:t>
      </w:r>
      <w:r>
        <w:rPr>
          <w:rFonts w:hint="eastAsia" w:ascii="仿宋_GB2312" w:eastAsia="仿宋_GB2312"/>
          <w:color w:val="000000" w:themeColor="text1"/>
          <w:sz w:val="32"/>
          <w:szCs w:val="32"/>
          <w14:textFill>
            <w14:solidFill>
              <w14:schemeClr w14:val="tx1"/>
            </w14:solidFill>
          </w14:textFill>
        </w:rPr>
        <w:t>机关运行经费支出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万元，与</w:t>
      </w:r>
      <w:r>
        <w:rPr>
          <w:rFonts w:ascii="仿宋_GB2312" w:eastAsia="仿宋_GB2312"/>
          <w:color w:val="000000" w:themeColor="text1"/>
          <w:sz w:val="32"/>
          <w:szCs w:val="32"/>
          <w14:textFill>
            <w14:solidFill>
              <w14:schemeClr w14:val="tx1"/>
            </w14:solidFill>
          </w14:textFill>
        </w:rPr>
        <w:t>201</w:t>
      </w: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年决算数持平。</w:t>
      </w:r>
    </w:p>
    <w:p>
      <w:pPr>
        <w:autoSpaceDE w:val="0"/>
        <w:autoSpaceDN w:val="0"/>
        <w:adjustRightInd w:val="0"/>
        <w:spacing w:line="600" w:lineRule="exact"/>
        <w:ind w:firstLine="643" w:firstLineChars="200"/>
        <w:jc w:val="left"/>
        <w:outlineLvl w:val="2"/>
        <w:rPr>
          <w:rFonts w:ascii="仿宋" w:hAnsi="仿宋" w:eastAsia="仿宋"/>
          <w:b/>
          <w:color w:val="000000" w:themeColor="text1"/>
          <w:sz w:val="32"/>
          <w:szCs w:val="32"/>
          <w14:textFill>
            <w14:solidFill>
              <w14:schemeClr w14:val="tx1"/>
            </w14:solidFill>
          </w14:textFill>
        </w:rPr>
      </w:pPr>
      <w:bookmarkStart w:id="47" w:name="_Toc15377223"/>
      <w:r>
        <w:rPr>
          <w:rFonts w:hint="eastAsia" w:ascii="仿宋" w:hAnsi="仿宋" w:eastAsia="仿宋"/>
          <w:b/>
          <w:color w:val="000000" w:themeColor="text1"/>
          <w:sz w:val="32"/>
          <w:szCs w:val="32"/>
          <w14:textFill>
            <w14:solidFill>
              <w14:schemeClr w14:val="tx1"/>
            </w14:solidFill>
          </w14:textFill>
        </w:rPr>
        <w:t>（二）政府采购支出情况</w:t>
      </w:r>
      <w:bookmarkEnd w:id="47"/>
    </w:p>
    <w:p>
      <w:pPr>
        <w:spacing w:line="600" w:lineRule="exact"/>
        <w:ind w:firstLine="640" w:firstLineChars="200"/>
        <w:rPr>
          <w:rFonts w:ascii="仿宋" w:hAnsi="仿宋" w:eastAsia="仿宋"/>
          <w:b/>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年，政府采购支出总额</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万元，其中：政府采购货物支出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万元、政府采购工程支出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万元、政府采购服务支出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p>
    <w:p>
      <w:pPr>
        <w:autoSpaceDE w:val="0"/>
        <w:autoSpaceDN w:val="0"/>
        <w:adjustRightInd w:val="0"/>
        <w:spacing w:line="600" w:lineRule="exact"/>
        <w:ind w:firstLine="643" w:firstLineChars="200"/>
        <w:jc w:val="left"/>
        <w:outlineLvl w:val="2"/>
        <w:rPr>
          <w:rFonts w:ascii="仿宋" w:hAnsi="仿宋" w:eastAsia="仿宋"/>
          <w:b/>
          <w:color w:val="000000" w:themeColor="text1"/>
          <w:sz w:val="32"/>
          <w:szCs w:val="32"/>
          <w14:textFill>
            <w14:solidFill>
              <w14:schemeClr w14:val="tx1"/>
            </w14:solidFill>
          </w14:textFill>
        </w:rPr>
      </w:pPr>
      <w:bookmarkStart w:id="48" w:name="_Toc15377224"/>
      <w:r>
        <w:rPr>
          <w:rFonts w:hint="eastAsia" w:ascii="仿宋" w:hAnsi="仿宋" w:eastAsia="仿宋"/>
          <w:b/>
          <w:color w:val="000000" w:themeColor="text1"/>
          <w:sz w:val="32"/>
          <w:szCs w:val="32"/>
          <w14:textFill>
            <w14:solidFill>
              <w14:schemeClr w14:val="tx1"/>
            </w14:solidFill>
          </w14:textFill>
        </w:rPr>
        <w:t>（三）国有资产占有使用情况</w:t>
      </w:r>
      <w:bookmarkEnd w:id="48"/>
    </w:p>
    <w:p>
      <w:pPr>
        <w:autoSpaceDE w:val="0"/>
        <w:autoSpaceDN w:val="0"/>
        <w:adjustRightInd w:val="0"/>
        <w:spacing w:line="600" w:lineRule="exact"/>
        <w:ind w:firstLine="640" w:firstLineChars="200"/>
        <w:jc w:val="lef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截至</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lang w:val="en-US" w:eastAsia="zh-CN"/>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年</w:t>
      </w:r>
      <w:r>
        <w:rPr>
          <w:rFonts w:ascii="仿宋_GB2312" w:eastAsia="仿宋_GB2312"/>
          <w:color w:val="000000" w:themeColor="text1"/>
          <w:sz w:val="32"/>
          <w:szCs w:val="32"/>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ascii="仿宋_GB2312" w:eastAsia="仿宋_GB2312"/>
          <w:color w:val="000000" w:themeColor="text1"/>
          <w:sz w:val="32"/>
          <w:szCs w:val="32"/>
          <w14:textFill>
            <w14:solidFill>
              <w14:schemeClr w14:val="tx1"/>
            </w14:solidFill>
          </w14:textFill>
        </w:rPr>
        <w:t>31</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eastAsia="zh-CN"/>
          <w14:textFill>
            <w14:solidFill>
              <w14:schemeClr w14:val="tx1"/>
            </w14:solidFill>
          </w14:textFill>
        </w:rPr>
        <w:t>培训中心</w:t>
      </w:r>
      <w:r>
        <w:rPr>
          <w:rFonts w:hint="eastAsia" w:ascii="仿宋_GB2312" w:eastAsia="仿宋_GB2312"/>
          <w:color w:val="000000" w:themeColor="text1"/>
          <w:sz w:val="32"/>
          <w:szCs w:val="32"/>
          <w14:textFill>
            <w14:solidFill>
              <w14:schemeClr w14:val="tx1"/>
            </w14:solidFill>
          </w14:textFill>
        </w:rPr>
        <w:t>共有车辆</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辆，其中：主要领导干部用车</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辆、机要通信用车</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辆、应急保障用车</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辆、其他用车</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14:textFill>
            <w14:solidFill>
              <w14:schemeClr w14:val="tx1"/>
            </w14:solidFill>
          </w14:textFill>
        </w:rPr>
        <w:t>万元以上专用设备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w:t>
      </w:r>
    </w:p>
    <w:p>
      <w:pPr>
        <w:autoSpaceDE w:val="0"/>
        <w:autoSpaceDN w:val="0"/>
        <w:adjustRightInd w:val="0"/>
        <w:spacing w:line="600" w:lineRule="exact"/>
        <w:ind w:firstLine="643" w:firstLineChars="200"/>
        <w:jc w:val="left"/>
        <w:outlineLvl w:val="2"/>
        <w:rPr>
          <w:rFonts w:hint="eastAsia" w:ascii="仿宋" w:hAnsi="仿宋" w:eastAsia="仿宋"/>
          <w:b/>
          <w:color w:val="000000" w:themeColor="text1"/>
          <w:sz w:val="32"/>
          <w:szCs w:val="32"/>
          <w:lang w:eastAsia="zh-CN"/>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（四）预算绩效管理情况</w:t>
      </w:r>
    </w:p>
    <w:p>
      <w:pPr>
        <w:spacing w:line="58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根据预算绩效管理要求，本部门在年初预算编制阶段，组织对</w:t>
      </w:r>
      <w:r>
        <w:rPr>
          <w:rFonts w:hint="eastAsia" w:eastAsia="仿宋_GB2312" w:cs="Times New Roman"/>
          <w:color w:val="000000" w:themeColor="text1"/>
          <w:sz w:val="32"/>
          <w:szCs w:val="32"/>
          <w:lang w:eastAsia="zh-CN"/>
          <w14:textFill>
            <w14:solidFill>
              <w14:schemeClr w14:val="tx1"/>
            </w14:solidFill>
          </w14:textFill>
        </w:rPr>
        <w:t>档案整理费</w:t>
      </w:r>
      <w:r>
        <w:rPr>
          <w:rFonts w:hint="default" w:ascii="Times New Roman" w:hAnsi="Times New Roman" w:eastAsia="仿宋_GB2312" w:cs="Times New Roman"/>
          <w:color w:val="000000" w:themeColor="text1"/>
          <w:sz w:val="32"/>
          <w:szCs w:val="32"/>
          <w14:textFill>
            <w14:solidFill>
              <w14:schemeClr w14:val="tx1"/>
            </w14:solidFill>
          </w14:textFill>
        </w:rPr>
        <w:t>项目开展了预算事前绩效评估，对</w:t>
      </w:r>
      <w:r>
        <w:rPr>
          <w:rFonts w:hint="eastAsia"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个项目编制了绩效目标，预算执行过程中，选取</w:t>
      </w:r>
      <w:r>
        <w:rPr>
          <w:rFonts w:hint="eastAsia"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个项目开展绩效监控，年终执行完毕后，对</w:t>
      </w:r>
      <w:r>
        <w:rPr>
          <w:rFonts w:hint="eastAsia"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个项目开展了绩效目标完成情况自评。</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本部门按要求对20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年部门整体支出开展绩效自评，从评价情况来看</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绩效目标要素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相对完整，；绩效目标实际程度与预期目标的总体偏移度不是太大，实际完成情况达到了预期绩效目标；年初预算编制较准确</w:t>
      </w:r>
      <w:r>
        <w:rPr>
          <w:rFonts w:hint="default" w:ascii="Times New Roman" w:hAnsi="Times New Roman" w:eastAsia="仿宋_GB2312" w:cs="Times New Roman"/>
          <w:color w:val="000000" w:themeColor="text1"/>
          <w:sz w:val="32"/>
          <w:szCs w:val="32"/>
          <w14:textFill>
            <w14:solidFill>
              <w14:schemeClr w14:val="tx1"/>
            </w14:solidFill>
          </w14:textFill>
        </w:rPr>
        <w:t>。本部门还自行组织了</w:t>
      </w:r>
      <w:r>
        <w:rPr>
          <w:rFonts w:hint="eastAsia"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14:textFill>
            <w14:solidFill>
              <w14:schemeClr w14:val="tx1"/>
            </w14:solidFill>
          </w14:textFill>
        </w:rPr>
        <w:t>个项目支出绩效评价，从评价情况来看</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绩效目标总体实现程度良好，</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充分发挥了财政资金的使用绩效</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580" w:lineRule="exact"/>
        <w:ind w:firstLine="640" w:firstLineChars="200"/>
        <w:rPr>
          <w:rFonts w:hint="eastAsia" w:ascii="仿宋_GB2312" w:eastAsia="仿宋_GB2312"/>
          <w:b/>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本单位自行组织对</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办公室整修</w:t>
      </w:r>
      <w:r>
        <w:rPr>
          <w:rFonts w:hint="eastAsia" w:ascii="仿宋_GB2312" w:hAnsi="仿宋_GB2312" w:eastAsia="仿宋_GB2312" w:cs="仿宋_GB2312"/>
          <w:color w:val="000000" w:themeColor="text1"/>
          <w:sz w:val="32"/>
          <w:szCs w:val="32"/>
          <w14:textFill>
            <w14:solidFill>
              <w14:schemeClr w14:val="tx1"/>
            </w14:solidFill>
          </w14:textFill>
        </w:rPr>
        <w:t>项目开展了绩效评价，《2021年</w:t>
      </w:r>
      <w:r>
        <w:rPr>
          <w:rFonts w:hint="eastAsia" w:ascii="仿宋_GB2312" w:hAnsi="仿宋_GB2312" w:eastAsia="仿宋_GB2312" w:cs="仿宋_GB2312"/>
          <w:color w:val="000000" w:themeColor="text1"/>
          <w:sz w:val="32"/>
          <w:szCs w:val="32"/>
          <w:lang w:eastAsia="zh-CN"/>
          <w14:textFill>
            <w14:solidFill>
              <w14:schemeClr w14:val="tx1"/>
            </w14:solidFill>
          </w14:textFill>
        </w:rPr>
        <w:t>办公室整修项目</w:t>
      </w:r>
      <w:r>
        <w:rPr>
          <w:rFonts w:hint="eastAsia" w:ascii="仿宋_GB2312" w:hAnsi="仿宋_GB2312" w:eastAsia="仿宋_GB2312" w:cs="仿宋_GB2312"/>
          <w:color w:val="000000" w:themeColor="text1"/>
          <w:sz w:val="32"/>
          <w:szCs w:val="32"/>
          <w14:textFill>
            <w14:solidFill>
              <w14:schemeClr w14:val="tx1"/>
            </w14:solidFill>
          </w14:textFill>
        </w:rPr>
        <w:t>支出绩效自评报告》见附件</w:t>
      </w:r>
      <w:r>
        <w:rPr>
          <w:rFonts w:hint="eastAsia" w:ascii="仿宋_GB2312" w:hAnsi="仿宋_GB2312" w:eastAsia="仿宋_GB2312" w:cs="仿宋_GB2312"/>
          <w:color w:val="000000" w:themeColor="text1"/>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widowControl/>
        <w:jc w:val="left"/>
        <w:rPr>
          <w:rFonts w:ascii="仿宋_GB2312" w:eastAsia="仿宋_GB2312"/>
          <w:b/>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br w:type="page"/>
      </w:r>
    </w:p>
    <w:p>
      <w:pPr>
        <w:numPr>
          <w:ilvl w:val="0"/>
          <w:numId w:val="5"/>
        </w:numPr>
        <w:spacing w:line="600" w:lineRule="exact"/>
        <w:ind w:firstLine="660" w:firstLineChars="150"/>
        <w:jc w:val="center"/>
        <w:outlineLvl w:val="0"/>
        <w:rPr>
          <w:rStyle w:val="26"/>
          <w:rFonts w:ascii="黑体" w:hAnsi="黑体" w:eastAsia="黑体"/>
          <w:b w:val="0"/>
          <w:color w:val="000000" w:themeColor="text1"/>
          <w14:textFill>
            <w14:solidFill>
              <w14:schemeClr w14:val="tx1"/>
            </w14:solidFill>
          </w14:textFill>
        </w:rPr>
      </w:pPr>
      <w:bookmarkStart w:id="49" w:name="_Toc15377225"/>
      <w:bookmarkStart w:id="50" w:name="_Toc15396613"/>
      <w:r>
        <w:rPr>
          <w:rFonts w:hint="eastAsia" w:ascii="黑体" w:hAnsi="黑体" w:eastAsia="黑体"/>
          <w:color w:val="000000" w:themeColor="text1"/>
          <w:sz w:val="44"/>
          <w:szCs w:val="44"/>
          <w14:textFill>
            <w14:solidFill>
              <w14:schemeClr w14:val="tx1"/>
            </w14:solidFill>
          </w14:textFill>
        </w:rPr>
        <w:t>名</w:t>
      </w:r>
      <w:r>
        <w:rPr>
          <w:rStyle w:val="26"/>
          <w:rFonts w:hint="eastAsia" w:ascii="黑体" w:hAnsi="黑体" w:eastAsia="黑体"/>
          <w:b w:val="0"/>
          <w:color w:val="000000" w:themeColor="text1"/>
          <w14:textFill>
            <w14:solidFill>
              <w14:schemeClr w14:val="tx1"/>
            </w14:solidFill>
          </w14:textFill>
        </w:rPr>
        <w:t>词解释</w:t>
      </w:r>
      <w:bookmarkEnd w:id="49"/>
      <w:bookmarkEnd w:id="50"/>
    </w:p>
    <w:p>
      <w:pPr>
        <w:spacing w:line="600" w:lineRule="exact"/>
        <w:jc w:val="left"/>
        <w:rPr>
          <w:rFonts w:ascii="宋体"/>
          <w:b/>
          <w:color w:val="000000" w:themeColor="text1"/>
          <w:sz w:val="44"/>
          <w:szCs w:val="44"/>
          <w14:textFill>
            <w14:solidFill>
              <w14:schemeClr w14:val="tx1"/>
            </w14:solidFill>
          </w14:textFill>
        </w:rPr>
      </w:pPr>
    </w:p>
    <w:p>
      <w:pPr>
        <w:pStyle w:val="24"/>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bookmarkStart w:id="51" w:name="_Toc15396614"/>
      <w:bookmarkStart w:id="52" w:name="_Toc15377226"/>
      <w:r>
        <w:rPr>
          <w:rFonts w:hint="default" w:ascii="Times New Roman" w:hAnsi="Times New Roman" w:eastAsia="仿宋_GB2312" w:cs="Times New Roman"/>
          <w:color w:val="000000" w:themeColor="text1"/>
          <w:sz w:val="32"/>
          <w:szCs w:val="32"/>
          <w14:textFill>
            <w14:solidFill>
              <w14:schemeClr w14:val="tx1"/>
            </w14:solidFill>
          </w14:textFill>
        </w:rPr>
        <w:t>1.财政拨款收入：指单位从同级财政部门取得的财政预算资金。</w:t>
      </w:r>
    </w:p>
    <w:p>
      <w:pPr>
        <w:pStyle w:val="24"/>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2.事业收入：指事业单位开展专业业务活动及辅助活动取得的收入。</w:t>
      </w:r>
    </w:p>
    <w:p>
      <w:pPr>
        <w:pStyle w:val="24"/>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14:textFill>
            <w14:solidFill>
              <w14:schemeClr w14:val="tx1"/>
            </w14:solidFill>
          </w14:textFill>
        </w:rPr>
        <w:t>.其他收入：指单位取得的除上述收入以外的各项收入。主要是</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从国家宗教局取得的上级补助收入</w:t>
      </w:r>
      <w:r>
        <w:rPr>
          <w:rFonts w:hint="default" w:ascii="Times New Roman" w:hAnsi="Times New Roman" w:eastAsia="仿宋_GB2312" w:cs="Times New Roman"/>
          <w:color w:val="000000" w:themeColor="text1"/>
          <w:sz w:val="32"/>
          <w:szCs w:val="32"/>
          <w14:textFill>
            <w14:solidFill>
              <w14:schemeClr w14:val="tx1"/>
            </w14:solidFill>
          </w14:textFill>
        </w:rPr>
        <w:t xml:space="preserve">等。 </w:t>
      </w:r>
    </w:p>
    <w:p>
      <w:pPr>
        <w:pStyle w:val="24"/>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 xml:space="preserve">.年初结转和结余：指以前年度尚未完成、结转到本年按有关规定继续使用的资金。 </w:t>
      </w:r>
    </w:p>
    <w:p>
      <w:pPr>
        <w:pStyle w:val="24"/>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、年末结转和结余：指单位按有关规定结转到下年或以后年度继续使用的资金。</w:t>
      </w:r>
    </w:p>
    <w:p>
      <w:p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一般公共服务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支出</w:t>
      </w:r>
      <w:r>
        <w:rPr>
          <w:rFonts w:hint="default" w:ascii="Times New Roman" w:hAnsi="Times New Roman" w:eastAsia="仿宋_GB2312" w:cs="Times New Roman"/>
          <w:color w:val="000000" w:themeColor="text1"/>
          <w:sz w:val="32"/>
          <w:szCs w:val="32"/>
          <w14:textFill>
            <w14:solidFill>
              <w14:schemeClr w14:val="tx1"/>
            </w14:solidFill>
          </w14:textFill>
        </w:rPr>
        <w:t>（类）民族事务（款）事业运行（项）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反映事业单位的基本支出，不包括行政单位(包括实行公务员管理的事业单位)后勤服务中心、医务室等附属事业单位。</w:t>
      </w:r>
    </w:p>
    <w:p>
      <w:pPr>
        <w:ind w:firstLine="640" w:firstLineChars="200"/>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eastAsia="仿宋_GB2312" w:cs="Times New Roman"/>
          <w:b w:val="0"/>
          <w:bCs w:val="0"/>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Style w:val="15"/>
          <w:rFonts w:hint="default" w:ascii="Times New Roman" w:hAnsi="Times New Roman" w:eastAsia="仿宋_GB2312" w:cs="Times New Roman"/>
          <w:b w:val="0"/>
          <w:bCs w:val="0"/>
          <w:color w:val="000000" w:themeColor="text1"/>
          <w:sz w:val="32"/>
          <w:szCs w:val="32"/>
          <w14:textFill>
            <w14:solidFill>
              <w14:schemeClr w14:val="tx1"/>
            </w14:solidFill>
          </w14:textFill>
        </w:rPr>
        <w:t>一般公共服务</w:t>
      </w:r>
      <w:r>
        <w:rPr>
          <w:rStyle w:val="15"/>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支出</w:t>
      </w:r>
      <w:r>
        <w:rPr>
          <w:rStyle w:val="15"/>
          <w:rFonts w:hint="default" w:ascii="Times New Roman" w:hAnsi="Times New Roman" w:eastAsia="仿宋_GB2312" w:cs="Times New Roman"/>
          <w:b w:val="0"/>
          <w:bCs w:val="0"/>
          <w:color w:val="000000" w:themeColor="text1"/>
          <w:sz w:val="32"/>
          <w:szCs w:val="32"/>
          <w14:textFill>
            <w14:solidFill>
              <w14:schemeClr w14:val="tx1"/>
            </w14:solidFill>
          </w14:textFill>
        </w:rPr>
        <w:t>（类）</w:t>
      </w:r>
      <w:r>
        <w:rPr>
          <w:rStyle w:val="15"/>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其他</w:t>
      </w:r>
      <w:r>
        <w:rPr>
          <w:rStyle w:val="15"/>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一般公共服务</w:t>
      </w:r>
      <w:r>
        <w:rPr>
          <w:rStyle w:val="15"/>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支出</w:t>
      </w:r>
      <w:r>
        <w:rPr>
          <w:rStyle w:val="15"/>
          <w:rFonts w:hint="default" w:ascii="Times New Roman" w:hAnsi="Times New Roman" w:eastAsia="仿宋_GB2312" w:cs="Times New Roman"/>
          <w:b w:val="0"/>
          <w:bCs w:val="0"/>
          <w:color w:val="000000" w:themeColor="text1"/>
          <w:sz w:val="32"/>
          <w:szCs w:val="32"/>
          <w14:textFill>
            <w14:solidFill>
              <w14:schemeClr w14:val="tx1"/>
            </w14:solidFill>
          </w14:textFill>
        </w:rPr>
        <w:t>（款）</w:t>
      </w:r>
      <w:r>
        <w:rPr>
          <w:rStyle w:val="15"/>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其他</w:t>
      </w:r>
      <w:r>
        <w:rPr>
          <w:rStyle w:val="15"/>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一般公共服务</w:t>
      </w:r>
      <w:r>
        <w:rPr>
          <w:rStyle w:val="15"/>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支出</w:t>
      </w:r>
      <w:r>
        <w:rPr>
          <w:rStyle w:val="15"/>
          <w:rFonts w:hint="default" w:ascii="Times New Roman" w:hAnsi="Times New Roman" w:eastAsia="仿宋_GB2312" w:cs="Times New Roman"/>
          <w:b w:val="0"/>
          <w:bCs w:val="0"/>
          <w:color w:val="000000" w:themeColor="text1"/>
          <w:sz w:val="32"/>
          <w:szCs w:val="32"/>
          <w14:textFill>
            <w14:solidFill>
              <w14:schemeClr w14:val="tx1"/>
            </w14:solidFill>
          </w14:textFill>
        </w:rPr>
        <w:t>（项）</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：反映其他</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一般公共服务支出</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教育</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支出</w:t>
      </w:r>
      <w:r>
        <w:rPr>
          <w:rFonts w:hint="default" w:ascii="Times New Roman" w:hAnsi="Times New Roman" w:eastAsia="仿宋_GB2312" w:cs="Times New Roman"/>
          <w:color w:val="000000" w:themeColor="text1"/>
          <w:sz w:val="32"/>
          <w:szCs w:val="32"/>
          <w14:textFill>
            <w14:solidFill>
              <w14:schemeClr w14:val="tx1"/>
            </w14:solidFill>
          </w14:textFill>
        </w:rPr>
        <w:t>（类）进修及培训（款）培训支出（项）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：反映各部门安排的用于培训的支出。教育部门的师资培训，党校、行政学院等专业干部教育机构的支出，以及退役士兵、转业士官的培训支出，不在本科目反映。</w:t>
      </w:r>
    </w:p>
    <w:p>
      <w:pPr>
        <w:ind w:firstLine="640" w:firstLineChars="200"/>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eastAsia="仿宋_GB2312" w:cs="Times New Roman"/>
          <w:b w:val="0"/>
          <w:bCs w:val="0"/>
          <w:color w:val="000000" w:themeColor="text1"/>
          <w:sz w:val="32"/>
          <w:szCs w:val="32"/>
          <w:lang w:val="en-US" w:eastAsia="zh-CN"/>
          <w14:textFill>
            <w14:solidFill>
              <w14:schemeClr w14:val="tx1"/>
            </w14:solidFill>
          </w14:textFill>
        </w:rPr>
        <w:t>9</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社会保障和就业支出（类）</w:t>
      </w:r>
      <w:r>
        <w:rPr>
          <w:rStyle w:val="15"/>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行政事业单位</w:t>
      </w:r>
      <w:r>
        <w:rPr>
          <w:rStyle w:val="15"/>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养老支出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（款）事业单位离退休（项）</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反映实行归口管理的事业单位开支的离退休经费。</w:t>
      </w:r>
    </w:p>
    <w:p>
      <w:pPr>
        <w:ind w:firstLine="640" w:firstLineChars="200"/>
        <w:rPr>
          <w:rFonts w:hint="default" w:ascii="Times New Roman" w:hAnsi="Times New Roman" w:eastAsia="仿宋_GB2312" w:cs="Times New Roman"/>
          <w:b w:val="0"/>
          <w:bCs w:val="0"/>
          <w:color w:val="000000" w:themeColor="text1"/>
          <w:sz w:val="32"/>
          <w:szCs w:val="32"/>
          <w14:textFill>
            <w14:solidFill>
              <w14:schemeClr w14:val="tx1"/>
            </w14:solidFill>
          </w14:textFill>
        </w:rPr>
      </w:pPr>
      <w:r>
        <w:rPr>
          <w:rFonts w:hint="eastAsia" w:eastAsia="仿宋_GB2312" w:cs="Times New Roman"/>
          <w:b w:val="0"/>
          <w:bCs w:val="0"/>
          <w:color w:val="000000" w:themeColor="text1"/>
          <w:sz w:val="32"/>
          <w:szCs w:val="32"/>
          <w:lang w:val="en-US" w:eastAsia="zh-CN"/>
          <w14:textFill>
            <w14:solidFill>
              <w14:schemeClr w14:val="tx1"/>
            </w14:solidFill>
          </w14:textFill>
        </w:rPr>
        <w:t>10</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社会保障和就业支出（类）</w:t>
      </w:r>
      <w:r>
        <w:rPr>
          <w:rStyle w:val="15"/>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行政事业单位</w:t>
      </w:r>
      <w:r>
        <w:rPr>
          <w:rStyle w:val="15"/>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养老支出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（款）机关事业单位基本养老保险缴费支出（项）</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反映机关事业单位实施养老保险制度由单位缴纳的基本养老保险费支出。</w:t>
      </w:r>
    </w:p>
    <w:p>
      <w:pPr>
        <w:ind w:firstLine="640" w:firstLineChars="200"/>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pPr>
      <w:r>
        <w:rPr>
          <w:rFonts w:hint="eastAsia" w:eastAsia="仿宋_GB2312" w:cs="Times New Roman"/>
          <w:b w:val="0"/>
          <w:bCs w:val="0"/>
          <w:color w:val="000000" w:themeColor="text1"/>
          <w:sz w:val="32"/>
          <w:szCs w:val="32"/>
          <w:lang w:val="en-US" w:eastAsia="zh-CN"/>
          <w14:textFill>
            <w14:solidFill>
              <w14:schemeClr w14:val="tx1"/>
            </w14:solidFill>
          </w14:textFill>
        </w:rPr>
        <w:t>11</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社会保障和就业支出（类）</w:t>
      </w:r>
      <w:r>
        <w:rPr>
          <w:rStyle w:val="15"/>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行政事业单位</w:t>
      </w:r>
      <w:r>
        <w:rPr>
          <w:rStyle w:val="15"/>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养老支出</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（款）机关事业单位职业年金缴费支出（项）</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反映机关事业单位实施养老保险制度由单位</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实际</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缴纳的职业年金支出。</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12</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.卫生健康</w:t>
      </w:r>
      <w:r>
        <w:rPr>
          <w:rFonts w:hint="default" w:ascii="Times New Roman" w:hAnsi="Times New Roman" w:eastAsia="仿宋_GB2312" w:cs="Times New Roman"/>
          <w:color w:val="000000" w:themeColor="text1"/>
          <w:sz w:val="32"/>
          <w:szCs w:val="32"/>
          <w14:textFill>
            <w14:solidFill>
              <w14:schemeClr w14:val="tx1"/>
            </w14:solidFill>
          </w14:textFill>
        </w:rPr>
        <w:t>支出（类）行政事业单位医疗（款）事业单位医疗（项）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反映财政部门集中安排的事业单位基本医疗保险缴费经费，未参加医疗保险的事业单位的公费医疗经费，按国家规定享受离休人员待遇的医疗经费。</w:t>
      </w:r>
    </w:p>
    <w:p>
      <w:pPr>
        <w:spacing w:line="58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13</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住房保障支出（类）住房改革支出（款）住房公积金（项）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：反映行政事业单位按人力资源和社会保障部、财政部规定的基本工资和津贴补贴以及规定比例为职工缴纳的住房公积金。</w:t>
      </w:r>
    </w:p>
    <w:p>
      <w:pPr>
        <w:spacing w:line="580" w:lineRule="exact"/>
        <w:ind w:firstLine="640" w:firstLineChars="200"/>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eastAsia" w:eastAsia="仿宋_GB2312" w:cs="Times New Roman"/>
          <w:b w:val="0"/>
          <w:bCs w:val="0"/>
          <w:color w:val="000000" w:themeColor="text1"/>
          <w:sz w:val="32"/>
          <w:szCs w:val="32"/>
          <w:lang w:val="en-US" w:eastAsia="zh-CN"/>
          <w14:textFill>
            <w14:solidFill>
              <w14:schemeClr w14:val="tx1"/>
            </w14:solidFill>
          </w14:textFill>
        </w:rPr>
        <w:t>14</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Style w:val="15"/>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住房保障支出</w:t>
      </w:r>
      <w:r>
        <w:rPr>
          <w:rStyle w:val="15"/>
          <w:rFonts w:hint="default" w:ascii="Times New Roman" w:hAnsi="Times New Roman" w:eastAsia="仿宋_GB2312" w:cs="Times New Roman"/>
          <w:b w:val="0"/>
          <w:bCs w:val="0"/>
          <w:color w:val="000000" w:themeColor="text1"/>
          <w:sz w:val="32"/>
          <w:szCs w:val="32"/>
          <w14:textFill>
            <w14:solidFill>
              <w14:schemeClr w14:val="tx1"/>
            </w14:solidFill>
          </w14:textFill>
        </w:rPr>
        <w:t>（类）</w:t>
      </w:r>
      <w:r>
        <w:rPr>
          <w:rStyle w:val="15"/>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住房改革支出</w:t>
      </w:r>
      <w:r>
        <w:rPr>
          <w:rStyle w:val="15"/>
          <w:rFonts w:hint="default" w:ascii="Times New Roman" w:hAnsi="Times New Roman" w:eastAsia="仿宋_GB2312" w:cs="Times New Roman"/>
          <w:b w:val="0"/>
          <w:bCs w:val="0"/>
          <w:color w:val="000000" w:themeColor="text1"/>
          <w:sz w:val="32"/>
          <w:szCs w:val="32"/>
          <w14:textFill>
            <w14:solidFill>
              <w14:schemeClr w14:val="tx1"/>
            </w14:solidFill>
          </w14:textFill>
        </w:rPr>
        <w:t>（款）</w:t>
      </w:r>
      <w:r>
        <w:rPr>
          <w:rStyle w:val="15"/>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购房补贴</w:t>
      </w:r>
      <w:r>
        <w:rPr>
          <w:rStyle w:val="15"/>
          <w:rFonts w:hint="default" w:ascii="Times New Roman" w:hAnsi="Times New Roman" w:eastAsia="仿宋_GB2312" w:cs="Times New Roman"/>
          <w:b w:val="0"/>
          <w:bCs w:val="0"/>
          <w:color w:val="000000" w:themeColor="text1"/>
          <w:sz w:val="32"/>
          <w:szCs w:val="32"/>
          <w14:textFill>
            <w14:solidFill>
              <w14:schemeClr w14:val="tx1"/>
            </w14:solidFill>
          </w14:textFill>
        </w:rPr>
        <w:t>（项）</w:t>
      </w:r>
      <w:r>
        <w:rPr>
          <w:rStyle w:val="15"/>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w:t>
      </w:r>
      <w:r>
        <w:rPr>
          <w:rStyle w:val="15"/>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反映按房改政策规定，行政事业单位向符合条件职工（含离退休人员）、军队（含武警）向转役复员离退休人员发放的用于购买住房的补贴。</w:t>
      </w:r>
    </w:p>
    <w:p>
      <w:pPr>
        <w:spacing w:line="58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15</w:t>
      </w:r>
      <w:r>
        <w:rPr>
          <w:rFonts w:hint="default" w:ascii="Times New Roman" w:hAnsi="Times New Roman" w:eastAsia="仿宋_GB2312" w:cs="Times New Roman"/>
          <w:color w:val="000000" w:themeColor="text1"/>
          <w:sz w:val="32"/>
          <w:szCs w:val="32"/>
          <w14:textFill>
            <w14:solidFill>
              <w14:schemeClr w14:val="tx1"/>
            </w14:solidFill>
          </w14:textFill>
        </w:rPr>
        <w:t>.基本支出：指为保障机构正常运转、完成日常工作任务而发生的人员支出和公用支出。</w:t>
      </w:r>
    </w:p>
    <w:p>
      <w:pPr>
        <w:spacing w:line="58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eastAsia="仿宋_GB2312" w:cs="Times New Roman"/>
          <w:color w:val="000000" w:themeColor="text1"/>
          <w:sz w:val="32"/>
          <w:szCs w:val="32"/>
          <w:lang w:val="en-US" w:eastAsia="zh-CN"/>
          <w14:textFill>
            <w14:solidFill>
              <w14:schemeClr w14:val="tx1"/>
            </w14:solidFill>
          </w14:textFill>
        </w:rPr>
        <w:t>16</w:t>
      </w:r>
      <w:r>
        <w:rPr>
          <w:rFonts w:hint="default" w:ascii="Times New Roman" w:hAnsi="Times New Roman" w:eastAsia="仿宋_GB2312" w:cs="Times New Roman"/>
          <w:color w:val="000000" w:themeColor="text1"/>
          <w:sz w:val="32"/>
          <w:szCs w:val="32"/>
          <w14:textFill>
            <w14:solidFill>
              <w14:schemeClr w14:val="tx1"/>
            </w14:solidFill>
          </w14:textFill>
        </w:rPr>
        <w:t xml:space="preserve">.项目支出：指在基本支出之外为完成特定行政任务和事业发展目标所发生的支出。 </w:t>
      </w:r>
    </w:p>
    <w:p>
      <w:pPr>
        <w:pStyle w:val="24"/>
        <w:spacing w:line="58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17</w:t>
      </w:r>
      <w:r>
        <w:rPr>
          <w:rFonts w:hint="default" w:ascii="Times New Roman" w:hAnsi="Times New Roman" w:eastAsia="仿宋_GB2312" w:cs="Times New Roman"/>
          <w:color w:val="000000" w:themeColor="text1"/>
          <w:sz w:val="32"/>
          <w:szCs w:val="32"/>
          <w14:textFill>
            <w14:solidFill>
              <w14:schemeClr w14:val="tx1"/>
            </w14:solidFill>
          </w14:textFill>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8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18</w:t>
      </w:r>
      <w:r>
        <w:rPr>
          <w:rFonts w:hint="default" w:ascii="Times New Roman" w:hAnsi="Times New Roman" w:eastAsia="仿宋_GB2312" w:cs="Times New Roman"/>
          <w:color w:val="000000" w:themeColor="text1"/>
          <w:sz w:val="32"/>
          <w:szCs w:val="32"/>
          <w14:textFill>
            <w14:solidFill>
              <w14:schemeClr w14:val="tx1"/>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color w:val="000000" w:themeColor="text1"/>
          <w14:textFill>
            <w14:solidFill>
              <w14:schemeClr w14:val="tx1"/>
            </w14:solidFill>
          </w14:textFill>
        </w:rPr>
      </w:pPr>
      <w:r>
        <w:rPr>
          <w:rFonts w:hint="default" w:ascii="Times New Roman" w:hAnsi="Times New Roman" w:cs="Times New Roman"/>
          <w:b/>
          <w:color w:val="000000" w:themeColor="text1"/>
          <w:sz w:val="44"/>
          <w:szCs w:val="44"/>
          <w14:textFill>
            <w14:solidFill>
              <w14:schemeClr w14:val="tx1"/>
            </w14:solidFill>
          </w14:textFill>
        </w:rPr>
        <w:br w:type="page"/>
      </w:r>
      <w:r>
        <w:rPr>
          <w:rFonts w:hint="eastAsia" w:ascii="黑体" w:hAnsi="黑体" w:eastAsia="黑体"/>
          <w:color w:val="000000" w:themeColor="text1"/>
          <w:sz w:val="44"/>
          <w:szCs w:val="44"/>
          <w14:textFill>
            <w14:solidFill>
              <w14:schemeClr w14:val="tx1"/>
            </w14:solidFill>
          </w14:textFill>
        </w:rPr>
        <w:t>第</w:t>
      </w:r>
      <w:r>
        <w:rPr>
          <w:rStyle w:val="26"/>
          <w:rFonts w:hint="eastAsia" w:ascii="黑体" w:hAnsi="黑体" w:eastAsia="黑体"/>
          <w:b w:val="0"/>
          <w:color w:val="000000" w:themeColor="text1"/>
          <w14:textFill>
            <w14:solidFill>
              <w14:schemeClr w14:val="tx1"/>
            </w14:solidFill>
          </w14:textFill>
        </w:rPr>
        <w:t>四部分 附件</w:t>
      </w:r>
      <w:bookmarkEnd w:id="51"/>
    </w:p>
    <w:p>
      <w:pPr>
        <w:spacing w:line="580" w:lineRule="exact"/>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宋体" w:eastAsia="方正小标宋简体" w:cs="Times New Roman"/>
          <w:color w:val="000000" w:themeColor="text1"/>
          <w:kern w:val="0"/>
          <w:sz w:val="44"/>
          <w:szCs w:val="44"/>
          <w:lang w:val="zh-CN" w:eastAsia="zh-CN" w:bidi="ar-SA"/>
          <w14:textFill>
            <w14:solidFill>
              <w14:schemeClr w14:val="tx1"/>
            </w14:solidFill>
          </w14:textFill>
        </w:rPr>
      </w:pPr>
      <w:r>
        <w:rPr>
          <w:rFonts w:hint="eastAsia" w:ascii="方正小标宋简体" w:hAnsi="宋体" w:eastAsia="方正小标宋简体" w:cs="Times New Roman"/>
          <w:color w:val="000000" w:themeColor="text1"/>
          <w:kern w:val="0"/>
          <w:sz w:val="44"/>
          <w:szCs w:val="44"/>
          <w:lang w:val="zh-CN" w:eastAsia="zh-CN" w:bidi="ar-SA"/>
          <w14:textFill>
            <w14:solidFill>
              <w14:schemeClr w14:val="tx1"/>
            </w14:solidFill>
          </w14:textFill>
        </w:rPr>
        <w:t>202</w:t>
      </w:r>
      <w:r>
        <w:rPr>
          <w:rFonts w:hint="eastAsia" w:ascii="方正小标宋简体" w:hAnsi="宋体" w:eastAsia="方正小标宋简体" w:cs="Times New Roman"/>
          <w:color w:val="000000" w:themeColor="text1"/>
          <w:kern w:val="0"/>
          <w:sz w:val="44"/>
          <w:szCs w:val="44"/>
          <w:lang w:val="en-US" w:eastAsia="zh-CN" w:bidi="ar-SA"/>
          <w14:textFill>
            <w14:solidFill>
              <w14:schemeClr w14:val="tx1"/>
            </w14:solidFill>
          </w14:textFill>
        </w:rPr>
        <w:t>0</w:t>
      </w:r>
      <w:r>
        <w:rPr>
          <w:rFonts w:hint="eastAsia" w:ascii="方正小标宋简体" w:hAnsi="宋体" w:eastAsia="方正小标宋简体" w:cs="Times New Roman"/>
          <w:color w:val="000000" w:themeColor="text1"/>
          <w:kern w:val="0"/>
          <w:sz w:val="44"/>
          <w:szCs w:val="44"/>
          <w:lang w:val="zh-CN" w:eastAsia="zh-CN" w:bidi="ar-SA"/>
          <w14:textFill>
            <w14:solidFill>
              <w14:schemeClr w14:val="tx1"/>
            </w14:solidFill>
          </w14:textFill>
        </w:rPr>
        <w:t>年办公室整修项目支出绩效自评报告</w:t>
      </w:r>
    </w:p>
    <w:p>
      <w:pPr>
        <w:keepNext w:val="0"/>
        <w:keepLines w:val="0"/>
        <w:pageBreakBefore w:val="0"/>
        <w:widowControl w:val="0"/>
        <w:kinsoku/>
        <w:wordWrap/>
        <w:overflowPunct/>
        <w:topLinePunct w:val="0"/>
        <w:autoSpaceDE/>
        <w:autoSpaceDN/>
        <w:bidi w:val="0"/>
        <w:spacing w:line="600" w:lineRule="exact"/>
        <w:jc w:val="center"/>
        <w:textAlignment w:val="auto"/>
        <w:rPr>
          <w:rFonts w:ascii="仿宋_GB2312" w:hAnsi="宋体" w:eastAsia="仿宋_GB2312" w:cs="Times New Roman"/>
          <w:color w:val="000000" w:themeColor="text1"/>
          <w:kern w:val="2"/>
          <w:sz w:val="32"/>
          <w:szCs w:val="32"/>
          <w:lang w:val="zh-CN" w:eastAsia="zh-CN" w:bidi="ar-SA"/>
          <w14:textFill>
            <w14:solidFill>
              <w14:schemeClr w14:val="tx1"/>
            </w14:solidFill>
          </w14:textFill>
        </w:rPr>
      </w:pP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000000" w:themeColor="text1"/>
          <w:kern w:val="2"/>
          <w:sz w:val="32"/>
          <w:szCs w:val="32"/>
          <w:lang w:val="zh-CN"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一、</w:t>
      </w:r>
      <w:r>
        <w:rPr>
          <w:rFonts w:hint="eastAsia" w:ascii="黑体" w:hAnsi="宋体" w:eastAsia="黑体"/>
          <w:color w:val="000000" w:themeColor="text1"/>
          <w:sz w:val="32"/>
          <w:szCs w:val="32"/>
          <w:lang w:val="zh-CN"/>
          <w14:textFill>
            <w14:solidFill>
              <w14:schemeClr w14:val="tx1"/>
            </w14:solidFill>
          </w14:textFill>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olor w:val="000000" w:themeColor="text1"/>
          <w:sz w:val="32"/>
          <w:szCs w:val="32"/>
          <w:lang w:val="en-US" w:eastAsia="zh-CN"/>
          <w14:textFill>
            <w14:solidFill>
              <w14:schemeClr w14:val="tx1"/>
            </w14:solidFill>
          </w14:textFill>
        </w:rPr>
      </w:pPr>
      <w:r>
        <w:rPr>
          <w:rFonts w:hint="eastAsia" w:ascii="仿宋_GB2312" w:hAnsi="宋体" w:eastAsia="仿宋_GB2312"/>
          <w:color w:val="000000" w:themeColor="text1"/>
          <w:sz w:val="32"/>
          <w:szCs w:val="32"/>
          <w:lang w:val="en-US" w:eastAsia="zh-CN"/>
          <w14:textFill>
            <w14:solidFill>
              <w14:schemeClr w14:val="tx1"/>
            </w14:solidFill>
          </w14:textFill>
        </w:rPr>
        <w:t>2020年省民族宗教委机关服务中心重新调整各处室（单位）办公用房，将502室（大小两房间）、903室划归培训中心使用。其中502室大房间原属退休委领导办公室，需调整为5人间办公室，特进行办公室整修。</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项目资金申报及批复情况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zh-CN"/>
          <w14:textFill>
            <w14:solidFill>
              <w14:schemeClr w14:val="tx1"/>
            </w14:solidFill>
          </w14:textFill>
        </w:rPr>
        <w:t>培训中心</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2020预算了专项经费—综合业务开支经费，为保证单位的正常运转，故此次办公室整修项目经费从此科目支出。</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项目绩效目标</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zh-CN"/>
          <w14:textFill>
            <w14:solidFill>
              <w14:schemeClr w14:val="tx1"/>
            </w14:solidFill>
          </w14:textFill>
        </w:rPr>
        <w:t>此次办公室整修主要涉及办公墙面翻新、办公家具购买、清楚甲醛、打扫清洁卫生等。</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项目资金申报相符性</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720" w:leftChars="0"/>
        <w:textAlignment w:val="auto"/>
        <w:rPr>
          <w:rFonts w:hint="eastAsia" w:ascii="仿宋_GB2312" w:hAnsi="仿宋_GB2312" w:eastAsia="仿宋_GB2312" w:cs="仿宋_GB2312"/>
          <w:b w:val="0"/>
          <w:bCs/>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zh-CN"/>
          <w14:textFill>
            <w14:solidFill>
              <w14:schemeClr w14:val="tx1"/>
            </w14:solidFill>
          </w14:textFill>
        </w:rPr>
        <w:t>该项目经费从综合业务经费支出，内容相符、合理可行。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二、项目实施及管理情况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b/>
          <w:color w:val="000000" w:themeColor="text1"/>
          <w:sz w:val="32"/>
          <w:szCs w:val="32"/>
          <w:lang w:val="zh-CN"/>
          <w14:textFill>
            <w14:solidFill>
              <w14:schemeClr w14:val="tx1"/>
            </w14:solidFill>
          </w14:textFill>
        </w:rPr>
      </w:pPr>
      <w:r>
        <w:rPr>
          <w:rFonts w:hint="eastAsia" w:ascii="仿宋_GB2312" w:hAnsi="宋体" w:eastAsia="仿宋_GB2312"/>
          <w:color w:val="000000" w:themeColor="text1"/>
          <w:sz w:val="32"/>
          <w:szCs w:val="32"/>
          <w:lang w:val="zh-CN"/>
          <w14:textFill>
            <w14:solidFill>
              <w14:schemeClr w14:val="tx1"/>
            </w14:solidFill>
          </w14:textFill>
        </w:rPr>
        <w:tab/>
      </w:r>
      <w:r>
        <w:rPr>
          <w:rFonts w:hint="eastAsia" w:ascii="楷体_GB2312" w:hAnsi="宋体" w:eastAsia="楷体_GB2312"/>
          <w:b/>
          <w:color w:val="000000" w:themeColor="text1"/>
          <w:sz w:val="32"/>
          <w:szCs w:val="32"/>
          <w:lang w:val="zh-CN"/>
          <w14:textFill>
            <w14:solidFill>
              <w14:schemeClr w14:val="tx1"/>
            </w14:solidFill>
          </w14:textFill>
        </w:rPr>
        <w:t>（一）资金计划、到位及使用情况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_GB2312" w:hAnsi="宋体" w:eastAsia="楷体_GB2312"/>
          <w:color w:val="000000" w:themeColor="text1"/>
          <w:sz w:val="32"/>
          <w:szCs w:val="32"/>
          <w:lang w:val="zh-CN"/>
          <w14:textFill>
            <w14:solidFill>
              <w14:schemeClr w14:val="tx1"/>
            </w14:solidFill>
          </w14:textFill>
        </w:rPr>
        <w:t>1．资金计划及到位。</w:t>
      </w:r>
      <w:r>
        <w:rPr>
          <w:rFonts w:hint="eastAsia" w:ascii="仿宋_GB2312" w:hAnsi="仿宋_GB2312" w:eastAsia="仿宋_GB2312" w:cs="仿宋_GB2312"/>
          <w:color w:val="000000" w:themeColor="text1"/>
          <w:sz w:val="32"/>
          <w:szCs w:val="32"/>
          <w:lang w:val="zh-CN"/>
          <w14:textFill>
            <w14:solidFill>
              <w14:schemeClr w14:val="tx1"/>
            </w14:solidFill>
          </w14:textFill>
        </w:rPr>
        <w:t>办公室整修资金从财政拨款的综合业务开支经费里支出，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9月报销整修资金费用是，该笔资金已在财务大平台授权支付里。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color w:val="000000" w:themeColor="text1"/>
          <w:sz w:val="32"/>
          <w:szCs w:val="32"/>
          <w:lang w:val="zh-CN"/>
          <w14:textFill>
            <w14:solidFill>
              <w14:schemeClr w14:val="tx1"/>
            </w14:solidFill>
          </w14:textFill>
        </w:rPr>
      </w:pPr>
      <w:r>
        <w:rPr>
          <w:rFonts w:hint="eastAsia" w:ascii="楷体_GB2312" w:hAnsi="宋体" w:eastAsia="楷体_GB2312"/>
          <w:color w:val="000000" w:themeColor="text1"/>
          <w:sz w:val="32"/>
          <w:szCs w:val="32"/>
          <w:lang w:val="zh-CN"/>
          <w14:textFill>
            <w14:solidFill>
              <w14:schemeClr w14:val="tx1"/>
            </w14:solidFill>
          </w14:textFill>
        </w:rPr>
        <w:t>2．资金使用。</w:t>
      </w:r>
      <w:r>
        <w:rPr>
          <w:rFonts w:hint="eastAsia" w:ascii="仿宋_GB2312" w:hAnsi="仿宋_GB2312" w:eastAsia="仿宋_GB2312" w:cs="仿宋_GB2312"/>
          <w:b w:val="0"/>
          <w:bCs/>
          <w:color w:val="000000" w:themeColor="text1"/>
          <w:sz w:val="32"/>
          <w:szCs w:val="32"/>
          <w:lang w:val="zh-CN"/>
          <w14:textFill>
            <w14:solidFill>
              <w14:schemeClr w14:val="tx1"/>
            </w14:solidFill>
          </w14:textFill>
        </w:rPr>
        <w:t>该项目经费从综合业务经费支出，内容相符、合理可行。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（二）项目财务管理情况</w:t>
      </w:r>
    </w:p>
    <w:p>
      <w:pPr>
        <w:pStyle w:val="12"/>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项目支出均按照有关规章制度和项目实施完成情况进行支付。严格按照相关财务管理制度执行，并按要求完善记录，确保专款专用。</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项目组织实施情况</w:t>
      </w:r>
    </w:p>
    <w:p>
      <w:pPr>
        <w:pStyle w:val="6"/>
        <w:numPr>
          <w:ilvl w:val="0"/>
          <w:numId w:val="0"/>
        </w:numPr>
        <w:ind w:firstLine="640" w:firstLineChars="200"/>
        <w:rPr>
          <w:rFonts w:hint="default" w:eastAsia="仿宋_GB2312"/>
          <w:color w:val="000000" w:themeColor="text1"/>
          <w:sz w:val="32"/>
          <w:szCs w:val="32"/>
          <w:lang w:val="en-US" w:eastAsia="zh-CN"/>
          <w14:textFill>
            <w14:solidFill>
              <w14:schemeClr w14:val="tx1"/>
            </w14:solidFill>
          </w14:textFill>
        </w:rPr>
      </w:pPr>
      <w:r>
        <w:rPr>
          <w:rFonts w:hint="eastAsia"/>
          <w:color w:val="000000" w:themeColor="text1"/>
          <w:sz w:val="32"/>
          <w:szCs w:val="32"/>
          <w:lang w:val="zh-CN"/>
          <w14:textFill>
            <w14:solidFill>
              <w14:schemeClr w14:val="tx1"/>
            </w14:solidFill>
          </w14:textFill>
        </w:rPr>
        <w:t>此项目共支出经费</w:t>
      </w:r>
      <w:r>
        <w:rPr>
          <w:rFonts w:hint="eastAsia"/>
          <w:color w:val="000000" w:themeColor="text1"/>
          <w:sz w:val="32"/>
          <w:szCs w:val="32"/>
          <w:lang w:val="en-US" w:eastAsia="zh-CN"/>
          <w14:textFill>
            <w14:solidFill>
              <w14:schemeClr w14:val="tx1"/>
            </w14:solidFill>
          </w14:textFill>
        </w:rPr>
        <w:t>22304.2元，其中整修家具17386元，墙面翻新3000元，清楚甲醛1000元，清洁费840元，购办公用品78.2元。</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olor w:val="000000" w:themeColor="text1"/>
          <w:sz w:val="32"/>
          <w:szCs w:val="32"/>
          <w:lang w:val="zh-CN"/>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三、项目绩效情况</w:t>
      </w:r>
      <w:r>
        <w:rPr>
          <w:rFonts w:hint="eastAsia" w:ascii="仿宋_GB2312" w:hAnsi="宋体" w:eastAsia="仿宋_GB2312"/>
          <w:color w:val="000000" w:themeColor="text1"/>
          <w:sz w:val="32"/>
          <w:szCs w:val="32"/>
          <w:lang w:val="zh-CN"/>
          <w14:textFill>
            <w14:solidFill>
              <w14:schemeClr w14:val="tx1"/>
            </w14:solidFill>
          </w14:textFill>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（一）项目完成情况</w:t>
      </w:r>
    </w:p>
    <w:p>
      <w:pPr>
        <w:pStyle w:val="6"/>
        <w:ind w:firstLine="640" w:firstLineChars="20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此次办公室整修，用半个月左右时间翻新了36平米房间的墙面、购买了6张办公椅、6张办公桌、清楚了36平米房间的甲醛、打扫了36平米房间的卫生等。</w:t>
      </w:r>
    </w:p>
    <w:p>
      <w:pPr>
        <w:keepNext w:val="0"/>
        <w:keepLines w:val="0"/>
        <w:pageBreakBefore w:val="0"/>
        <w:numPr>
          <w:ilvl w:val="0"/>
          <w:numId w:val="6"/>
        </w:numPr>
        <w:kinsoku/>
        <w:wordWrap/>
        <w:overflowPunct/>
        <w:topLinePunct w:val="0"/>
        <w:autoSpaceDE/>
        <w:autoSpaceDN/>
        <w:bidi w:val="0"/>
        <w:adjustRightInd w:val="0"/>
        <w:snapToGrid w:val="0"/>
        <w:spacing w:line="600" w:lineRule="exact"/>
        <w:ind w:left="0" w:leftChars="0" w:firstLine="720" w:firstLineChars="0"/>
        <w:textAlignment w:val="auto"/>
        <w:rPr>
          <w:rFonts w:hint="eastAsia"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项目效益情况</w:t>
      </w:r>
    </w:p>
    <w:p>
      <w:pPr>
        <w:pStyle w:val="6"/>
        <w:ind w:firstLine="640" w:firstLineChars="200"/>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办公室整修可以保证单位正常运转，为职工创造舒适、明亮的办公环境，也是“为群众办实事”项目，进一步提高办公效率。</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720" w:leftChars="0"/>
        <w:textAlignment w:val="auto"/>
        <w:rPr>
          <w:rFonts w:ascii="黑体" w:hAnsi="宋体" w:eastAsia="黑体"/>
          <w:color w:val="000000" w:themeColor="text1"/>
          <w:sz w:val="32"/>
          <w:szCs w:val="32"/>
          <w14:textFill>
            <w14:solidFill>
              <w14:schemeClr w14:val="tx1"/>
            </w14:solidFill>
          </w14:textFill>
        </w:rPr>
      </w:pPr>
      <w:r>
        <w:rPr>
          <w:rFonts w:hint="eastAsia" w:ascii="黑体" w:hAnsi="宋体" w:eastAsia="黑体"/>
          <w:color w:val="000000" w:themeColor="text1"/>
          <w:sz w:val="32"/>
          <w:szCs w:val="32"/>
          <w14:textFill>
            <w14:solidFill>
              <w14:schemeClr w14:val="tx1"/>
            </w14:solidFill>
          </w14:textFill>
        </w:rPr>
        <w:t>四、问题及建议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（一）存在的问题</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zh-CN"/>
          <w14:textFill>
            <w14:solidFill>
              <w14:schemeClr w14:val="tx1"/>
            </w14:solidFill>
          </w14:textFill>
        </w:rPr>
        <w:t>因办公室调整属临时任务，未纳入</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2020年预算事项，为保证单位的正常运转，故办公室整修时间较短，资金使用的性价比率稍低。</w:t>
      </w:r>
    </w:p>
    <w:p>
      <w:pPr>
        <w:numPr>
          <w:ilvl w:val="0"/>
          <w:numId w:val="7"/>
        </w:numPr>
        <w:adjustRightInd w:val="0"/>
        <w:snapToGrid w:val="0"/>
        <w:spacing w:line="600" w:lineRule="exact"/>
        <w:ind w:firstLine="643" w:firstLineChars="200"/>
        <w:rPr>
          <w:rFonts w:hint="eastAsia" w:ascii="楷体_GB2312" w:hAnsi="宋体" w:eastAsia="楷体_GB2312"/>
          <w:b/>
          <w:color w:val="000000" w:themeColor="text1"/>
          <w:sz w:val="32"/>
          <w:szCs w:val="32"/>
          <w:lang w:val="zh-CN"/>
          <w14:textFill>
            <w14:solidFill>
              <w14:schemeClr w14:val="tx1"/>
            </w14:solidFill>
          </w14:textFill>
        </w:rPr>
      </w:pPr>
      <w:r>
        <w:rPr>
          <w:rFonts w:hint="eastAsia" w:ascii="楷体_GB2312" w:hAnsi="宋体" w:eastAsia="楷体_GB2312"/>
          <w:b/>
          <w:color w:val="000000" w:themeColor="text1"/>
          <w:sz w:val="32"/>
          <w:szCs w:val="32"/>
          <w:lang w:val="zh-CN"/>
          <w14:textFill>
            <w14:solidFill>
              <w14:schemeClr w14:val="tx1"/>
            </w14:solidFill>
          </w14:textFill>
        </w:rPr>
        <w:t>相关建议</w:t>
      </w:r>
    </w:p>
    <w:p>
      <w:pPr>
        <w:numPr>
          <w:ilvl w:val="0"/>
          <w:numId w:val="0"/>
        </w:numPr>
        <w:adjustRightInd w:val="0"/>
        <w:snapToGrid w:val="0"/>
        <w:spacing w:line="600" w:lineRule="exact"/>
        <w:ind w:firstLine="640" w:firstLineChars="200"/>
        <w:rPr>
          <w:rFonts w:hint="eastAsia" w:ascii="仿宋_GB2312" w:hAnsi="仿宋_GB2312" w:eastAsia="仿宋_GB2312" w:cs="仿宋_GB2312"/>
          <w:b w:val="0"/>
          <w:bCs/>
          <w:color w:val="000000" w:themeColor="text1"/>
          <w:sz w:val="32"/>
          <w:szCs w:val="32"/>
          <w:lang w:val="zh-CN"/>
          <w14:textFill>
            <w14:solidFill>
              <w14:schemeClr w14:val="tx1"/>
            </w14:solidFill>
          </w14:textFill>
        </w:rPr>
      </w:pPr>
      <w:r>
        <w:rPr>
          <w:rFonts w:hint="eastAsia" w:ascii="仿宋_GB2312" w:hAnsi="仿宋_GB2312" w:eastAsia="仿宋_GB2312" w:cs="仿宋_GB2312"/>
          <w:b w:val="0"/>
          <w:bCs/>
          <w:color w:val="000000" w:themeColor="text1"/>
          <w:sz w:val="32"/>
          <w:szCs w:val="32"/>
          <w:lang w:val="zh-CN"/>
          <w14:textFill>
            <w14:solidFill>
              <w14:schemeClr w14:val="tx1"/>
            </w14:solidFill>
          </w14:textFill>
        </w:rPr>
        <w:t>以后预算项目需有前瞻性，充分考虑可发生的任何事项，将预算工作做得更加完善。</w:t>
      </w: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pStyle w:val="6"/>
        <w:rPr>
          <w:rFonts w:hint="eastAsia" w:ascii="楷体_GB2312" w:hAnsi="宋体" w:eastAsia="楷体_GB2312"/>
          <w:b/>
          <w:color w:val="000000" w:themeColor="text1"/>
          <w:sz w:val="32"/>
          <w:szCs w:val="32"/>
          <w:lang w:val="zh-CN"/>
          <w14:textFill>
            <w14:solidFill>
              <w14:schemeClr w14:val="tx1"/>
            </w14:solidFill>
          </w14:textFill>
        </w:rPr>
      </w:pPr>
    </w:p>
    <w:p>
      <w:pPr>
        <w:spacing w:line="600" w:lineRule="exact"/>
        <w:jc w:val="center"/>
        <w:outlineLvl w:val="0"/>
        <w:rPr>
          <w:rFonts w:hint="eastAsia" w:ascii="仿宋" w:hAnsi="仿宋" w:eastAsia="仿宋"/>
          <w:b w:val="0"/>
          <w:color w:val="000000" w:themeColor="text1"/>
          <w14:textFill>
            <w14:solidFill>
              <w14:schemeClr w14:val="tx1"/>
            </w14:solidFill>
          </w14:textFill>
        </w:rPr>
      </w:pPr>
      <w:bookmarkStart w:id="53" w:name="_Toc15396618"/>
      <w:r>
        <w:rPr>
          <w:rFonts w:hint="eastAsia" w:ascii="黑体" w:hAnsi="黑体" w:eastAsia="黑体"/>
          <w:color w:val="000000" w:themeColor="text1"/>
          <w:sz w:val="44"/>
          <w:szCs w:val="44"/>
          <w14:textFill>
            <w14:solidFill>
              <w14:schemeClr w14:val="tx1"/>
            </w14:solidFill>
          </w14:textFill>
        </w:rPr>
        <w:t>第</w:t>
      </w:r>
      <w:r>
        <w:rPr>
          <w:rStyle w:val="26"/>
          <w:rFonts w:hint="eastAsia" w:ascii="黑体" w:hAnsi="黑体" w:eastAsia="黑体"/>
          <w:b w:val="0"/>
          <w:color w:val="000000" w:themeColor="text1"/>
          <w14:textFill>
            <w14:solidFill>
              <w14:schemeClr w14:val="tx1"/>
            </w14:solidFill>
          </w14:textFill>
        </w:rPr>
        <w:t>五部分 附表</w:t>
      </w:r>
      <w:bookmarkEnd w:id="52"/>
      <w:bookmarkEnd w:id="53"/>
      <w:bookmarkStart w:id="54" w:name="_Toc15396619"/>
    </w:p>
    <w:p>
      <w:pPr>
        <w:pStyle w:val="4"/>
        <w:rPr>
          <w:rFonts w:ascii="仿宋" w:hAnsi="仿宋" w:eastAsia="仿宋"/>
          <w:color w:val="000000" w:themeColor="text1"/>
          <w14:textFill>
            <w14:solidFill>
              <w14:schemeClr w14:val="tx1"/>
            </w14:solidFill>
          </w14:textFill>
        </w:rPr>
      </w:pPr>
      <w:r>
        <w:rPr>
          <w:rFonts w:hint="eastAsia" w:ascii="仿宋" w:hAnsi="仿宋" w:eastAsia="仿宋"/>
          <w:b w:val="0"/>
          <w:color w:val="000000" w:themeColor="text1"/>
          <w14:textFill>
            <w14:solidFill>
              <w14:schemeClr w14:val="tx1"/>
            </w14:solidFill>
          </w14:textFill>
        </w:rPr>
        <w:t>一、收</w:t>
      </w:r>
      <w:r>
        <w:rPr>
          <w:rStyle w:val="27"/>
          <w:rFonts w:hint="eastAsia" w:ascii="仿宋" w:hAnsi="仿宋" w:eastAsia="仿宋"/>
          <w:b w:val="0"/>
          <w:bCs w:val="0"/>
          <w:color w:val="000000" w:themeColor="text1"/>
          <w14:textFill>
            <w14:solidFill>
              <w14:schemeClr w14:val="tx1"/>
            </w14:solidFill>
          </w14:textFill>
        </w:rPr>
        <w:t>入支出决算总表</w:t>
      </w:r>
      <w:bookmarkEnd w:id="54"/>
    </w:p>
    <w:p>
      <w:pPr>
        <w:pStyle w:val="4"/>
        <w:rPr>
          <w:rFonts w:ascii="仿宋" w:hAnsi="仿宋" w:eastAsia="仿宋"/>
          <w:color w:val="000000" w:themeColor="text1"/>
          <w14:textFill>
            <w14:solidFill>
              <w14:schemeClr w14:val="tx1"/>
            </w14:solidFill>
          </w14:textFill>
        </w:rPr>
      </w:pPr>
      <w:bookmarkStart w:id="55" w:name="_Toc15396620"/>
      <w:r>
        <w:rPr>
          <w:rFonts w:hint="eastAsia" w:ascii="仿宋" w:hAnsi="仿宋" w:eastAsia="仿宋"/>
          <w:b w:val="0"/>
          <w:color w:val="000000" w:themeColor="text1"/>
          <w14:textFill>
            <w14:solidFill>
              <w14:schemeClr w14:val="tx1"/>
            </w14:solidFill>
          </w14:textFill>
        </w:rPr>
        <w:t>二、收</w:t>
      </w:r>
      <w:r>
        <w:rPr>
          <w:rStyle w:val="27"/>
          <w:rFonts w:hint="eastAsia" w:ascii="仿宋" w:hAnsi="仿宋" w:eastAsia="仿宋"/>
          <w:b w:val="0"/>
          <w:bCs w:val="0"/>
          <w:color w:val="000000" w:themeColor="text1"/>
          <w14:textFill>
            <w14:solidFill>
              <w14:schemeClr w14:val="tx1"/>
            </w14:solidFill>
          </w14:textFill>
        </w:rPr>
        <w:t>入决算表</w:t>
      </w:r>
      <w:bookmarkEnd w:id="55"/>
    </w:p>
    <w:p>
      <w:pPr>
        <w:pStyle w:val="4"/>
        <w:rPr>
          <w:rFonts w:ascii="仿宋" w:hAnsi="仿宋" w:eastAsia="仿宋"/>
          <w:color w:val="000000" w:themeColor="text1"/>
          <w14:textFill>
            <w14:solidFill>
              <w14:schemeClr w14:val="tx1"/>
            </w14:solidFill>
          </w14:textFill>
        </w:rPr>
      </w:pPr>
      <w:bookmarkStart w:id="56" w:name="_Toc15396621"/>
      <w:r>
        <w:rPr>
          <w:rStyle w:val="27"/>
          <w:rFonts w:hint="eastAsia" w:ascii="仿宋" w:hAnsi="仿宋" w:eastAsia="仿宋"/>
          <w:b w:val="0"/>
          <w:bCs w:val="0"/>
          <w:color w:val="000000" w:themeColor="text1"/>
          <w14:textFill>
            <w14:solidFill>
              <w14:schemeClr w14:val="tx1"/>
            </w14:solidFill>
          </w14:textFill>
        </w:rPr>
        <w:t>三、</w:t>
      </w:r>
      <w:r>
        <w:rPr>
          <w:rFonts w:hint="eastAsia" w:ascii="仿宋" w:hAnsi="仿宋" w:eastAsia="仿宋"/>
          <w:b w:val="0"/>
          <w:color w:val="000000" w:themeColor="text1"/>
          <w14:textFill>
            <w14:solidFill>
              <w14:schemeClr w14:val="tx1"/>
            </w14:solidFill>
          </w14:textFill>
        </w:rPr>
        <w:t>支</w:t>
      </w:r>
      <w:r>
        <w:rPr>
          <w:rStyle w:val="27"/>
          <w:rFonts w:hint="eastAsia" w:ascii="仿宋" w:hAnsi="仿宋" w:eastAsia="仿宋"/>
          <w:b w:val="0"/>
          <w:bCs w:val="0"/>
          <w:color w:val="000000" w:themeColor="text1"/>
          <w14:textFill>
            <w14:solidFill>
              <w14:schemeClr w14:val="tx1"/>
            </w14:solidFill>
          </w14:textFill>
        </w:rPr>
        <w:t>出决算表</w:t>
      </w:r>
      <w:bookmarkEnd w:id="56"/>
    </w:p>
    <w:p>
      <w:pPr>
        <w:pStyle w:val="4"/>
        <w:rPr>
          <w:rFonts w:ascii="仿宋" w:hAnsi="仿宋" w:eastAsia="仿宋"/>
          <w:b w:val="0"/>
          <w:color w:val="000000" w:themeColor="text1"/>
          <w14:textFill>
            <w14:solidFill>
              <w14:schemeClr w14:val="tx1"/>
            </w14:solidFill>
          </w14:textFill>
        </w:rPr>
      </w:pPr>
      <w:bookmarkStart w:id="57" w:name="_Toc15396622"/>
      <w:r>
        <w:rPr>
          <w:rStyle w:val="27"/>
          <w:rFonts w:hint="eastAsia" w:ascii="仿宋" w:hAnsi="仿宋" w:eastAsia="仿宋"/>
          <w:b w:val="0"/>
          <w:bCs w:val="0"/>
          <w:color w:val="000000" w:themeColor="text1"/>
          <w14:textFill>
            <w14:solidFill>
              <w14:schemeClr w14:val="tx1"/>
            </w14:solidFill>
          </w14:textFill>
        </w:rPr>
        <w:t>四、</w:t>
      </w:r>
      <w:r>
        <w:rPr>
          <w:rFonts w:hint="eastAsia" w:ascii="仿宋" w:hAnsi="仿宋" w:eastAsia="仿宋"/>
          <w:b w:val="0"/>
          <w:color w:val="000000" w:themeColor="text1"/>
          <w14:textFill>
            <w14:solidFill>
              <w14:schemeClr w14:val="tx1"/>
            </w14:solidFill>
          </w14:textFill>
        </w:rPr>
        <w:t>财</w:t>
      </w:r>
      <w:r>
        <w:rPr>
          <w:rStyle w:val="27"/>
          <w:rFonts w:hint="eastAsia" w:ascii="仿宋" w:hAnsi="仿宋" w:eastAsia="仿宋"/>
          <w:b w:val="0"/>
          <w:bCs w:val="0"/>
          <w:color w:val="000000" w:themeColor="text1"/>
          <w14:textFill>
            <w14:solidFill>
              <w14:schemeClr w14:val="tx1"/>
            </w14:solidFill>
          </w14:textFill>
        </w:rPr>
        <w:t>政拨款收入支出决算总表</w:t>
      </w:r>
      <w:bookmarkEnd w:id="57"/>
    </w:p>
    <w:p>
      <w:pPr>
        <w:pStyle w:val="4"/>
        <w:rPr>
          <w:rStyle w:val="27"/>
          <w:rFonts w:ascii="仿宋" w:hAnsi="仿宋" w:eastAsia="仿宋"/>
          <w:b w:val="0"/>
          <w:bCs w:val="0"/>
          <w:color w:val="000000" w:themeColor="text1"/>
          <w14:textFill>
            <w14:solidFill>
              <w14:schemeClr w14:val="tx1"/>
            </w14:solidFill>
          </w14:textFill>
        </w:rPr>
      </w:pPr>
      <w:bookmarkStart w:id="58" w:name="_Toc15396623"/>
      <w:r>
        <w:rPr>
          <w:rStyle w:val="27"/>
          <w:rFonts w:hint="eastAsia" w:ascii="仿宋" w:hAnsi="仿宋" w:eastAsia="仿宋"/>
          <w:b w:val="0"/>
          <w:bCs w:val="0"/>
          <w:color w:val="000000" w:themeColor="text1"/>
          <w14:textFill>
            <w14:solidFill>
              <w14:schemeClr w14:val="tx1"/>
            </w14:solidFill>
          </w14:textFill>
        </w:rPr>
        <w:t>五、</w:t>
      </w:r>
      <w:r>
        <w:rPr>
          <w:rFonts w:hint="eastAsia" w:ascii="仿宋" w:hAnsi="仿宋" w:eastAsia="仿宋"/>
          <w:b w:val="0"/>
          <w:color w:val="000000" w:themeColor="text1"/>
          <w14:textFill>
            <w14:solidFill>
              <w14:schemeClr w14:val="tx1"/>
            </w14:solidFill>
          </w14:textFill>
        </w:rPr>
        <w:t>财</w:t>
      </w:r>
      <w:r>
        <w:rPr>
          <w:rStyle w:val="27"/>
          <w:rFonts w:hint="eastAsia" w:ascii="仿宋" w:hAnsi="仿宋" w:eastAsia="仿宋"/>
          <w:b w:val="0"/>
          <w:bCs w:val="0"/>
          <w:color w:val="000000" w:themeColor="text1"/>
          <w14:textFill>
            <w14:solidFill>
              <w14:schemeClr w14:val="tx1"/>
            </w14:solidFill>
          </w14:textFill>
        </w:rPr>
        <w:t>政拨款支出决算明细表</w:t>
      </w:r>
      <w:bookmarkEnd w:id="58"/>
      <w:bookmarkStart w:id="59" w:name="_Toc15396624"/>
    </w:p>
    <w:p>
      <w:pPr>
        <w:pStyle w:val="4"/>
        <w:rPr>
          <w:rFonts w:ascii="仿宋" w:hAnsi="仿宋" w:eastAsia="仿宋"/>
          <w:color w:val="000000" w:themeColor="text1"/>
          <w14:textFill>
            <w14:solidFill>
              <w14:schemeClr w14:val="tx1"/>
            </w14:solidFill>
          </w14:textFill>
        </w:rPr>
      </w:pPr>
      <w:r>
        <w:rPr>
          <w:rStyle w:val="27"/>
          <w:rFonts w:hint="eastAsia" w:ascii="仿宋" w:hAnsi="仿宋" w:eastAsia="仿宋"/>
          <w:b w:val="0"/>
          <w:bCs w:val="0"/>
          <w:color w:val="000000" w:themeColor="text1"/>
          <w14:textFill>
            <w14:solidFill>
              <w14:schemeClr w14:val="tx1"/>
            </w14:solidFill>
          </w14:textFill>
        </w:rPr>
        <w:t>六、</w:t>
      </w:r>
      <w:r>
        <w:rPr>
          <w:rFonts w:hint="eastAsia" w:ascii="仿宋" w:hAnsi="仿宋" w:eastAsia="仿宋"/>
          <w:b w:val="0"/>
          <w:color w:val="000000" w:themeColor="text1"/>
          <w14:textFill>
            <w14:solidFill>
              <w14:schemeClr w14:val="tx1"/>
            </w14:solidFill>
          </w14:textFill>
        </w:rPr>
        <w:t>一</w:t>
      </w:r>
      <w:r>
        <w:rPr>
          <w:rStyle w:val="27"/>
          <w:rFonts w:hint="eastAsia" w:ascii="仿宋" w:hAnsi="仿宋" w:eastAsia="仿宋"/>
          <w:b w:val="0"/>
          <w:bCs w:val="0"/>
          <w:color w:val="000000" w:themeColor="text1"/>
          <w14:textFill>
            <w14:solidFill>
              <w14:schemeClr w14:val="tx1"/>
            </w14:solidFill>
          </w14:textFill>
        </w:rPr>
        <w:t>般公共预算财政拨款支出决算表</w:t>
      </w:r>
      <w:bookmarkEnd w:id="59"/>
    </w:p>
    <w:p>
      <w:pPr>
        <w:pStyle w:val="4"/>
        <w:rPr>
          <w:rFonts w:ascii="仿宋" w:hAnsi="仿宋" w:eastAsia="仿宋"/>
          <w:color w:val="000000" w:themeColor="text1"/>
          <w14:textFill>
            <w14:solidFill>
              <w14:schemeClr w14:val="tx1"/>
            </w14:solidFill>
          </w14:textFill>
        </w:rPr>
      </w:pPr>
      <w:bookmarkStart w:id="60" w:name="_Toc15396625"/>
      <w:r>
        <w:rPr>
          <w:rStyle w:val="27"/>
          <w:rFonts w:hint="eastAsia" w:ascii="仿宋" w:hAnsi="仿宋" w:eastAsia="仿宋"/>
          <w:b w:val="0"/>
          <w:bCs w:val="0"/>
          <w:color w:val="000000" w:themeColor="text1"/>
          <w14:textFill>
            <w14:solidFill>
              <w14:schemeClr w14:val="tx1"/>
            </w14:solidFill>
          </w14:textFill>
        </w:rPr>
        <w:t>七、</w:t>
      </w:r>
      <w:r>
        <w:rPr>
          <w:rFonts w:hint="eastAsia" w:ascii="仿宋" w:hAnsi="仿宋" w:eastAsia="仿宋"/>
          <w:b w:val="0"/>
          <w:color w:val="000000" w:themeColor="text1"/>
          <w14:textFill>
            <w14:solidFill>
              <w14:schemeClr w14:val="tx1"/>
            </w14:solidFill>
          </w14:textFill>
        </w:rPr>
        <w:t>一</w:t>
      </w:r>
      <w:r>
        <w:rPr>
          <w:rStyle w:val="27"/>
          <w:rFonts w:hint="eastAsia" w:ascii="仿宋" w:hAnsi="仿宋" w:eastAsia="仿宋"/>
          <w:b w:val="0"/>
          <w:bCs w:val="0"/>
          <w:color w:val="000000" w:themeColor="text1"/>
          <w14:textFill>
            <w14:solidFill>
              <w14:schemeClr w14:val="tx1"/>
            </w14:solidFill>
          </w14:textFill>
        </w:rPr>
        <w:t>般公共预算财政拨款支出决算明细表</w:t>
      </w:r>
      <w:bookmarkEnd w:id="60"/>
    </w:p>
    <w:p>
      <w:pPr>
        <w:pStyle w:val="4"/>
        <w:rPr>
          <w:rFonts w:ascii="仿宋" w:hAnsi="仿宋" w:eastAsia="仿宋"/>
          <w:color w:val="000000" w:themeColor="text1"/>
          <w14:textFill>
            <w14:solidFill>
              <w14:schemeClr w14:val="tx1"/>
            </w14:solidFill>
          </w14:textFill>
        </w:rPr>
      </w:pPr>
      <w:bookmarkStart w:id="61" w:name="_Toc15396626"/>
      <w:r>
        <w:rPr>
          <w:rStyle w:val="27"/>
          <w:rFonts w:hint="eastAsia" w:ascii="仿宋" w:hAnsi="仿宋" w:eastAsia="仿宋"/>
          <w:b w:val="0"/>
          <w:bCs w:val="0"/>
          <w:color w:val="000000" w:themeColor="text1"/>
          <w14:textFill>
            <w14:solidFill>
              <w14:schemeClr w14:val="tx1"/>
            </w14:solidFill>
          </w14:textFill>
        </w:rPr>
        <w:t>八、</w:t>
      </w:r>
      <w:r>
        <w:rPr>
          <w:rFonts w:hint="eastAsia" w:ascii="仿宋" w:hAnsi="仿宋" w:eastAsia="仿宋"/>
          <w:b w:val="0"/>
          <w:color w:val="000000" w:themeColor="text1"/>
          <w14:textFill>
            <w14:solidFill>
              <w14:schemeClr w14:val="tx1"/>
            </w14:solidFill>
          </w14:textFill>
        </w:rPr>
        <w:t>一</w:t>
      </w:r>
      <w:r>
        <w:rPr>
          <w:rStyle w:val="27"/>
          <w:rFonts w:hint="eastAsia" w:ascii="仿宋" w:hAnsi="仿宋" w:eastAsia="仿宋"/>
          <w:b w:val="0"/>
          <w:bCs w:val="0"/>
          <w:color w:val="000000" w:themeColor="text1"/>
          <w14:textFill>
            <w14:solidFill>
              <w14:schemeClr w14:val="tx1"/>
            </w14:solidFill>
          </w14:textFill>
        </w:rPr>
        <w:t>般公共预算财政拨款基本支出决算表</w:t>
      </w:r>
      <w:bookmarkEnd w:id="61"/>
    </w:p>
    <w:p>
      <w:pPr>
        <w:pStyle w:val="4"/>
        <w:rPr>
          <w:rFonts w:ascii="仿宋" w:hAnsi="仿宋" w:eastAsia="仿宋"/>
          <w:color w:val="000000" w:themeColor="text1"/>
          <w14:textFill>
            <w14:solidFill>
              <w14:schemeClr w14:val="tx1"/>
            </w14:solidFill>
          </w14:textFill>
        </w:rPr>
      </w:pPr>
      <w:bookmarkStart w:id="62" w:name="_Toc15396627"/>
      <w:r>
        <w:rPr>
          <w:rStyle w:val="27"/>
          <w:rFonts w:hint="eastAsia" w:ascii="仿宋" w:hAnsi="仿宋" w:eastAsia="仿宋"/>
          <w:b w:val="0"/>
          <w:bCs w:val="0"/>
          <w:color w:val="000000" w:themeColor="text1"/>
          <w14:textFill>
            <w14:solidFill>
              <w14:schemeClr w14:val="tx1"/>
            </w14:solidFill>
          </w14:textFill>
        </w:rPr>
        <w:t>九、</w:t>
      </w:r>
      <w:r>
        <w:rPr>
          <w:rFonts w:hint="eastAsia" w:ascii="仿宋" w:hAnsi="仿宋" w:eastAsia="仿宋"/>
          <w:b w:val="0"/>
          <w:color w:val="000000" w:themeColor="text1"/>
          <w14:textFill>
            <w14:solidFill>
              <w14:schemeClr w14:val="tx1"/>
            </w14:solidFill>
          </w14:textFill>
        </w:rPr>
        <w:t>一</w:t>
      </w:r>
      <w:r>
        <w:rPr>
          <w:rStyle w:val="27"/>
          <w:rFonts w:hint="eastAsia" w:ascii="仿宋" w:hAnsi="仿宋" w:eastAsia="仿宋"/>
          <w:b w:val="0"/>
          <w:bCs w:val="0"/>
          <w:color w:val="000000" w:themeColor="text1"/>
          <w14:textFill>
            <w14:solidFill>
              <w14:schemeClr w14:val="tx1"/>
            </w14:solidFill>
          </w14:textFill>
        </w:rPr>
        <w:t>般公共预算财政拨款项目支出决算表</w:t>
      </w:r>
      <w:bookmarkEnd w:id="62"/>
    </w:p>
    <w:p>
      <w:pPr>
        <w:pStyle w:val="4"/>
        <w:rPr>
          <w:rFonts w:ascii="仿宋" w:hAnsi="仿宋" w:eastAsia="仿宋"/>
          <w:color w:val="000000" w:themeColor="text1"/>
          <w14:textFill>
            <w14:solidFill>
              <w14:schemeClr w14:val="tx1"/>
            </w14:solidFill>
          </w14:textFill>
        </w:rPr>
      </w:pPr>
      <w:bookmarkStart w:id="63" w:name="_Toc15396628"/>
      <w:r>
        <w:rPr>
          <w:rStyle w:val="27"/>
          <w:rFonts w:hint="eastAsia" w:ascii="仿宋" w:hAnsi="仿宋" w:eastAsia="仿宋"/>
          <w:b w:val="0"/>
          <w:bCs w:val="0"/>
          <w:color w:val="000000" w:themeColor="text1"/>
          <w14:textFill>
            <w14:solidFill>
              <w14:schemeClr w14:val="tx1"/>
            </w14:solidFill>
          </w14:textFill>
        </w:rPr>
        <w:t>十、</w:t>
      </w:r>
      <w:r>
        <w:rPr>
          <w:rFonts w:hint="eastAsia" w:ascii="仿宋" w:hAnsi="仿宋" w:eastAsia="仿宋"/>
          <w:b w:val="0"/>
          <w:color w:val="000000" w:themeColor="text1"/>
          <w14:textFill>
            <w14:solidFill>
              <w14:schemeClr w14:val="tx1"/>
            </w14:solidFill>
          </w14:textFill>
        </w:rPr>
        <w:t>一</w:t>
      </w:r>
      <w:r>
        <w:rPr>
          <w:rStyle w:val="27"/>
          <w:rFonts w:hint="eastAsia" w:ascii="仿宋" w:hAnsi="仿宋" w:eastAsia="仿宋"/>
          <w:b w:val="0"/>
          <w:bCs w:val="0"/>
          <w:color w:val="000000" w:themeColor="text1"/>
          <w14:textFill>
            <w14:solidFill>
              <w14:schemeClr w14:val="tx1"/>
            </w14:solidFill>
          </w14:textFill>
        </w:rPr>
        <w:t>般公共预算财政拨款“三公”经费支出决算表</w:t>
      </w:r>
      <w:bookmarkEnd w:id="63"/>
    </w:p>
    <w:p>
      <w:pPr>
        <w:pStyle w:val="4"/>
        <w:rPr>
          <w:rFonts w:ascii="仿宋" w:hAnsi="仿宋" w:eastAsia="仿宋"/>
          <w:color w:val="000000" w:themeColor="text1"/>
          <w14:textFill>
            <w14:solidFill>
              <w14:schemeClr w14:val="tx1"/>
            </w14:solidFill>
          </w14:textFill>
        </w:rPr>
      </w:pPr>
      <w:bookmarkStart w:id="64" w:name="_Toc15396629"/>
      <w:r>
        <w:rPr>
          <w:rStyle w:val="27"/>
          <w:rFonts w:hint="eastAsia" w:ascii="仿宋" w:hAnsi="仿宋" w:eastAsia="仿宋"/>
          <w:b w:val="0"/>
          <w:bCs w:val="0"/>
          <w:color w:val="000000" w:themeColor="text1"/>
          <w14:textFill>
            <w14:solidFill>
              <w14:schemeClr w14:val="tx1"/>
            </w14:solidFill>
          </w14:textFill>
        </w:rPr>
        <w:t>十一、</w:t>
      </w:r>
      <w:r>
        <w:rPr>
          <w:rFonts w:hint="eastAsia" w:ascii="仿宋" w:hAnsi="仿宋" w:eastAsia="仿宋"/>
          <w:b w:val="0"/>
          <w:color w:val="000000" w:themeColor="text1"/>
          <w14:textFill>
            <w14:solidFill>
              <w14:schemeClr w14:val="tx1"/>
            </w14:solidFill>
          </w14:textFill>
        </w:rPr>
        <w:t>政</w:t>
      </w:r>
      <w:r>
        <w:rPr>
          <w:rStyle w:val="27"/>
          <w:rFonts w:hint="eastAsia" w:ascii="仿宋" w:hAnsi="仿宋" w:eastAsia="仿宋"/>
          <w:b w:val="0"/>
          <w:bCs w:val="0"/>
          <w:color w:val="000000" w:themeColor="text1"/>
          <w14:textFill>
            <w14:solidFill>
              <w14:schemeClr w14:val="tx1"/>
            </w14:solidFill>
          </w14:textFill>
        </w:rPr>
        <w:t>府性基金预算财政拨款收入支出决算表</w:t>
      </w:r>
      <w:bookmarkEnd w:id="64"/>
    </w:p>
    <w:p>
      <w:pPr>
        <w:pStyle w:val="4"/>
        <w:rPr>
          <w:rFonts w:ascii="仿宋" w:hAnsi="仿宋" w:eastAsia="仿宋"/>
          <w:color w:val="000000" w:themeColor="text1"/>
          <w14:textFill>
            <w14:solidFill>
              <w14:schemeClr w14:val="tx1"/>
            </w14:solidFill>
          </w14:textFill>
        </w:rPr>
      </w:pPr>
      <w:bookmarkStart w:id="65" w:name="_Toc15396630"/>
      <w:r>
        <w:rPr>
          <w:rStyle w:val="27"/>
          <w:rFonts w:hint="eastAsia" w:ascii="仿宋" w:hAnsi="仿宋" w:eastAsia="仿宋"/>
          <w:b w:val="0"/>
          <w:bCs w:val="0"/>
          <w:color w:val="000000" w:themeColor="text1"/>
          <w14:textFill>
            <w14:solidFill>
              <w14:schemeClr w14:val="tx1"/>
            </w14:solidFill>
          </w14:textFill>
        </w:rPr>
        <w:t>十二、</w:t>
      </w:r>
      <w:r>
        <w:rPr>
          <w:rFonts w:hint="eastAsia" w:ascii="仿宋" w:hAnsi="仿宋" w:eastAsia="仿宋"/>
          <w:b w:val="0"/>
          <w:color w:val="000000" w:themeColor="text1"/>
          <w14:textFill>
            <w14:solidFill>
              <w14:schemeClr w14:val="tx1"/>
            </w14:solidFill>
          </w14:textFill>
        </w:rPr>
        <w:t>政</w:t>
      </w:r>
      <w:r>
        <w:rPr>
          <w:rStyle w:val="27"/>
          <w:rFonts w:hint="eastAsia" w:ascii="仿宋" w:hAnsi="仿宋" w:eastAsia="仿宋"/>
          <w:b w:val="0"/>
          <w:bCs w:val="0"/>
          <w:color w:val="000000" w:themeColor="text1"/>
          <w14:textFill>
            <w14:solidFill>
              <w14:schemeClr w14:val="tx1"/>
            </w14:solidFill>
          </w14:textFill>
        </w:rPr>
        <w:t>府性基金预算财政拨款“三公”经费支出决算表</w:t>
      </w:r>
      <w:bookmarkEnd w:id="65"/>
    </w:p>
    <w:p>
      <w:pPr>
        <w:pStyle w:val="4"/>
        <w:rPr>
          <w:rStyle w:val="27"/>
          <w:rFonts w:hint="eastAsia" w:ascii="仿宋" w:hAnsi="仿宋" w:eastAsia="仿宋"/>
          <w:b w:val="0"/>
          <w:bCs w:val="0"/>
          <w:color w:val="000000" w:themeColor="text1"/>
          <w14:textFill>
            <w14:solidFill>
              <w14:schemeClr w14:val="tx1"/>
            </w14:solidFill>
          </w14:textFill>
        </w:rPr>
      </w:pPr>
      <w:bookmarkStart w:id="66" w:name="_Toc15396631"/>
      <w:r>
        <w:rPr>
          <w:rStyle w:val="27"/>
          <w:rFonts w:hint="eastAsia" w:ascii="仿宋" w:hAnsi="仿宋" w:eastAsia="仿宋"/>
          <w:b w:val="0"/>
          <w:bCs w:val="0"/>
          <w:color w:val="000000" w:themeColor="text1"/>
          <w14:textFill>
            <w14:solidFill>
              <w14:schemeClr w14:val="tx1"/>
            </w14:solidFill>
          </w14:textFill>
        </w:rPr>
        <w:t>十三、</w:t>
      </w:r>
      <w:r>
        <w:rPr>
          <w:rFonts w:hint="eastAsia" w:ascii="仿宋" w:hAnsi="仿宋" w:eastAsia="仿宋"/>
          <w:b w:val="0"/>
          <w:color w:val="000000" w:themeColor="text1"/>
          <w14:textFill>
            <w14:solidFill>
              <w14:schemeClr w14:val="tx1"/>
            </w14:solidFill>
          </w14:textFill>
        </w:rPr>
        <w:t>国</w:t>
      </w:r>
      <w:r>
        <w:rPr>
          <w:rStyle w:val="27"/>
          <w:rFonts w:hint="eastAsia" w:ascii="仿宋" w:hAnsi="仿宋" w:eastAsia="仿宋"/>
          <w:b w:val="0"/>
          <w:bCs w:val="0"/>
          <w:color w:val="000000" w:themeColor="text1"/>
          <w14:textFill>
            <w14:solidFill>
              <w14:schemeClr w14:val="tx1"/>
            </w14:solidFill>
          </w14:textFill>
        </w:rPr>
        <w:t>有资本经营预算</w:t>
      </w:r>
      <w:r>
        <w:rPr>
          <w:rStyle w:val="27"/>
          <w:rFonts w:hint="eastAsia" w:ascii="仿宋" w:hAnsi="仿宋" w:eastAsia="仿宋"/>
          <w:b w:val="0"/>
          <w:bCs w:val="0"/>
          <w:color w:val="000000" w:themeColor="text1"/>
          <w:lang w:eastAsia="zh-CN"/>
          <w14:textFill>
            <w14:solidFill>
              <w14:schemeClr w14:val="tx1"/>
            </w14:solidFill>
          </w14:textFill>
        </w:rPr>
        <w:t>财政拨款收入</w:t>
      </w:r>
      <w:r>
        <w:rPr>
          <w:rStyle w:val="27"/>
          <w:rFonts w:hint="eastAsia" w:ascii="仿宋" w:hAnsi="仿宋" w:eastAsia="仿宋"/>
          <w:b w:val="0"/>
          <w:bCs w:val="0"/>
          <w:color w:val="000000" w:themeColor="text1"/>
          <w14:textFill>
            <w14:solidFill>
              <w14:schemeClr w14:val="tx1"/>
            </w14:solidFill>
          </w14:textFill>
        </w:rPr>
        <w:t>支出决算表</w:t>
      </w:r>
      <w:bookmarkEnd w:id="66"/>
    </w:p>
    <w:p>
      <w:pPr>
        <w:rPr>
          <w:rFonts w:hint="eastAsia" w:eastAsia="仿宋"/>
          <w:color w:val="000000" w:themeColor="text1"/>
          <w:lang w:eastAsia="zh-CN"/>
          <w14:textFill>
            <w14:solidFill>
              <w14:schemeClr w14:val="tx1"/>
            </w14:solidFill>
          </w14:textFill>
        </w:rPr>
      </w:pPr>
      <w:r>
        <w:rPr>
          <w:rStyle w:val="27"/>
          <w:rFonts w:hint="eastAsia" w:ascii="仿宋" w:hAnsi="仿宋" w:eastAsia="仿宋"/>
          <w:b w:val="0"/>
          <w:bCs w:val="0"/>
          <w:color w:val="000000" w:themeColor="text1"/>
          <w:lang w:eastAsia="zh-CN"/>
          <w14:textFill>
            <w14:solidFill>
              <w14:schemeClr w14:val="tx1"/>
            </w14:solidFill>
          </w14:textFill>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F5F46E"/>
    <w:multiLevelType w:val="singleLevel"/>
    <w:tmpl w:val="B2F5F46E"/>
    <w:lvl w:ilvl="0" w:tentative="0">
      <w:start w:val="1"/>
      <w:numFmt w:val="chineseCounting"/>
      <w:suff w:val="nothing"/>
      <w:lvlText w:val="（%1）"/>
      <w:lvlJc w:val="left"/>
      <w:rPr>
        <w:rFonts w:hint="eastAsia"/>
      </w:rPr>
    </w:lvl>
  </w:abstractNum>
  <w:abstractNum w:abstractNumId="1">
    <w:nsid w:val="C64D797F"/>
    <w:multiLevelType w:val="singleLevel"/>
    <w:tmpl w:val="C64D797F"/>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4C832A6"/>
    <w:multiLevelType w:val="singleLevel"/>
    <w:tmpl w:val="34C832A6"/>
    <w:lvl w:ilvl="0" w:tentative="0">
      <w:start w:val="2"/>
      <w:numFmt w:val="chineseCounting"/>
      <w:suff w:val="nothing"/>
      <w:lvlText w:val="（%1）"/>
      <w:lvlJc w:val="left"/>
      <w:rPr>
        <w:rFonts w:hint="eastAsia"/>
      </w:rPr>
    </w:lvl>
  </w:abstractNum>
  <w:abstractNum w:abstractNumId="6">
    <w:nsid w:val="5CDC250C"/>
    <w:multiLevelType w:val="singleLevel"/>
    <w:tmpl w:val="5CDC250C"/>
    <w:lvl w:ilvl="0" w:tentative="0">
      <w:start w:val="1"/>
      <w:numFmt w:val="decimal"/>
      <w:lvlText w:val="%1."/>
      <w:lvlJc w:val="left"/>
      <w:pPr>
        <w:tabs>
          <w:tab w:val="left" w:pos="312"/>
        </w:tabs>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048D9"/>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3255"/>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6353DE"/>
    <w:rsid w:val="016A6B47"/>
    <w:rsid w:val="016E7CF1"/>
    <w:rsid w:val="01C23490"/>
    <w:rsid w:val="01F52FDF"/>
    <w:rsid w:val="02344E9E"/>
    <w:rsid w:val="027831E4"/>
    <w:rsid w:val="02A33D9A"/>
    <w:rsid w:val="0355101F"/>
    <w:rsid w:val="03C92E5E"/>
    <w:rsid w:val="03FD3266"/>
    <w:rsid w:val="045840C0"/>
    <w:rsid w:val="04651B68"/>
    <w:rsid w:val="048651BB"/>
    <w:rsid w:val="04926D68"/>
    <w:rsid w:val="049B3AE0"/>
    <w:rsid w:val="04AB3A55"/>
    <w:rsid w:val="052A650D"/>
    <w:rsid w:val="05A54088"/>
    <w:rsid w:val="05C27B83"/>
    <w:rsid w:val="06795E5F"/>
    <w:rsid w:val="067F560B"/>
    <w:rsid w:val="068F05E6"/>
    <w:rsid w:val="06AE771A"/>
    <w:rsid w:val="06E02323"/>
    <w:rsid w:val="070D2E56"/>
    <w:rsid w:val="07183BA6"/>
    <w:rsid w:val="071E3F50"/>
    <w:rsid w:val="0723127B"/>
    <w:rsid w:val="0725557E"/>
    <w:rsid w:val="074505B7"/>
    <w:rsid w:val="078F170D"/>
    <w:rsid w:val="07B12F74"/>
    <w:rsid w:val="07E44559"/>
    <w:rsid w:val="07F30C47"/>
    <w:rsid w:val="07F60497"/>
    <w:rsid w:val="08F5637D"/>
    <w:rsid w:val="096D4F70"/>
    <w:rsid w:val="097575CA"/>
    <w:rsid w:val="09A22812"/>
    <w:rsid w:val="09EF2EDF"/>
    <w:rsid w:val="0A2032A3"/>
    <w:rsid w:val="0A8B6977"/>
    <w:rsid w:val="0B111054"/>
    <w:rsid w:val="0B921FCB"/>
    <w:rsid w:val="0B954597"/>
    <w:rsid w:val="0BAE7BF5"/>
    <w:rsid w:val="0BE51AB6"/>
    <w:rsid w:val="0C6C7181"/>
    <w:rsid w:val="0C8142E4"/>
    <w:rsid w:val="0CD73827"/>
    <w:rsid w:val="0D8A5FD5"/>
    <w:rsid w:val="0D912FF1"/>
    <w:rsid w:val="0DFF2994"/>
    <w:rsid w:val="0E454D8B"/>
    <w:rsid w:val="0E9C757B"/>
    <w:rsid w:val="0EA25899"/>
    <w:rsid w:val="0EAD49B5"/>
    <w:rsid w:val="0EDB43D1"/>
    <w:rsid w:val="0F0708D2"/>
    <w:rsid w:val="0F220991"/>
    <w:rsid w:val="0F655603"/>
    <w:rsid w:val="0F933CDB"/>
    <w:rsid w:val="0FD52BC7"/>
    <w:rsid w:val="102C0CB9"/>
    <w:rsid w:val="105717F1"/>
    <w:rsid w:val="10835BAF"/>
    <w:rsid w:val="109A28B6"/>
    <w:rsid w:val="109B7709"/>
    <w:rsid w:val="10BC1473"/>
    <w:rsid w:val="10C00A8E"/>
    <w:rsid w:val="10C055FF"/>
    <w:rsid w:val="11201F1C"/>
    <w:rsid w:val="11394D7B"/>
    <w:rsid w:val="113A3E16"/>
    <w:rsid w:val="116A3B5F"/>
    <w:rsid w:val="118107EC"/>
    <w:rsid w:val="11B0212D"/>
    <w:rsid w:val="12683473"/>
    <w:rsid w:val="126B07BB"/>
    <w:rsid w:val="12BD3991"/>
    <w:rsid w:val="1339635E"/>
    <w:rsid w:val="13643E48"/>
    <w:rsid w:val="13877999"/>
    <w:rsid w:val="13A66435"/>
    <w:rsid w:val="14095A44"/>
    <w:rsid w:val="143F7973"/>
    <w:rsid w:val="151718AF"/>
    <w:rsid w:val="15857E41"/>
    <w:rsid w:val="159813C2"/>
    <w:rsid w:val="15BC7350"/>
    <w:rsid w:val="15F35F0D"/>
    <w:rsid w:val="16BB18A2"/>
    <w:rsid w:val="16BB723D"/>
    <w:rsid w:val="175A34AF"/>
    <w:rsid w:val="17796F4E"/>
    <w:rsid w:val="177E7E82"/>
    <w:rsid w:val="17895A96"/>
    <w:rsid w:val="179A28A8"/>
    <w:rsid w:val="17AF4900"/>
    <w:rsid w:val="17F05DDB"/>
    <w:rsid w:val="18015F3F"/>
    <w:rsid w:val="185D5646"/>
    <w:rsid w:val="193F3C1E"/>
    <w:rsid w:val="19442A98"/>
    <w:rsid w:val="19561D85"/>
    <w:rsid w:val="19773B4A"/>
    <w:rsid w:val="19882199"/>
    <w:rsid w:val="1990588B"/>
    <w:rsid w:val="19AA71A2"/>
    <w:rsid w:val="19BA0AE0"/>
    <w:rsid w:val="19C83BBA"/>
    <w:rsid w:val="1A0A1152"/>
    <w:rsid w:val="1A282447"/>
    <w:rsid w:val="1A7921E0"/>
    <w:rsid w:val="1A7B43C2"/>
    <w:rsid w:val="1A964D8A"/>
    <w:rsid w:val="1AE476E7"/>
    <w:rsid w:val="1B012777"/>
    <w:rsid w:val="1B086CEE"/>
    <w:rsid w:val="1BBD6667"/>
    <w:rsid w:val="1BE8440E"/>
    <w:rsid w:val="1BF703B1"/>
    <w:rsid w:val="1CAF1273"/>
    <w:rsid w:val="1CD331E6"/>
    <w:rsid w:val="1D155CEE"/>
    <w:rsid w:val="1D371265"/>
    <w:rsid w:val="1D3845B4"/>
    <w:rsid w:val="1D3A773D"/>
    <w:rsid w:val="1D8956C3"/>
    <w:rsid w:val="1D972315"/>
    <w:rsid w:val="1E711BD4"/>
    <w:rsid w:val="1EC05586"/>
    <w:rsid w:val="1F667616"/>
    <w:rsid w:val="1F673D9F"/>
    <w:rsid w:val="1F7B4AD2"/>
    <w:rsid w:val="1FA77455"/>
    <w:rsid w:val="202D71CE"/>
    <w:rsid w:val="205C6BEE"/>
    <w:rsid w:val="205D37F1"/>
    <w:rsid w:val="20770D17"/>
    <w:rsid w:val="207A330E"/>
    <w:rsid w:val="20B15CBF"/>
    <w:rsid w:val="20F57F95"/>
    <w:rsid w:val="213472A5"/>
    <w:rsid w:val="21791385"/>
    <w:rsid w:val="219C1F22"/>
    <w:rsid w:val="219F074B"/>
    <w:rsid w:val="225B4D38"/>
    <w:rsid w:val="22861D47"/>
    <w:rsid w:val="229C366D"/>
    <w:rsid w:val="22A431C9"/>
    <w:rsid w:val="22F43652"/>
    <w:rsid w:val="23032C1E"/>
    <w:rsid w:val="231A6C63"/>
    <w:rsid w:val="23F0777C"/>
    <w:rsid w:val="240371BF"/>
    <w:rsid w:val="241D05C9"/>
    <w:rsid w:val="24210C6B"/>
    <w:rsid w:val="244E10CE"/>
    <w:rsid w:val="24A737D6"/>
    <w:rsid w:val="24E12083"/>
    <w:rsid w:val="24E26120"/>
    <w:rsid w:val="2516559A"/>
    <w:rsid w:val="251D6331"/>
    <w:rsid w:val="25323EE7"/>
    <w:rsid w:val="257E667D"/>
    <w:rsid w:val="25831937"/>
    <w:rsid w:val="258F69CE"/>
    <w:rsid w:val="26550A3B"/>
    <w:rsid w:val="266B773B"/>
    <w:rsid w:val="2671081D"/>
    <w:rsid w:val="267F126E"/>
    <w:rsid w:val="271B0E60"/>
    <w:rsid w:val="272B3120"/>
    <w:rsid w:val="27541581"/>
    <w:rsid w:val="27A72C46"/>
    <w:rsid w:val="27C00B89"/>
    <w:rsid w:val="27D37713"/>
    <w:rsid w:val="27E40622"/>
    <w:rsid w:val="27F06219"/>
    <w:rsid w:val="283C5500"/>
    <w:rsid w:val="28531A84"/>
    <w:rsid w:val="285C74C2"/>
    <w:rsid w:val="285F1969"/>
    <w:rsid w:val="28644881"/>
    <w:rsid w:val="289F22BF"/>
    <w:rsid w:val="28B67845"/>
    <w:rsid w:val="290F3B1B"/>
    <w:rsid w:val="291D63E3"/>
    <w:rsid w:val="29416684"/>
    <w:rsid w:val="29610F59"/>
    <w:rsid w:val="299758E5"/>
    <w:rsid w:val="29E15D31"/>
    <w:rsid w:val="29FD04D3"/>
    <w:rsid w:val="2A041DFC"/>
    <w:rsid w:val="2A0D0D0E"/>
    <w:rsid w:val="2A0F4038"/>
    <w:rsid w:val="2A2E49CF"/>
    <w:rsid w:val="2A4B1806"/>
    <w:rsid w:val="2A5703A0"/>
    <w:rsid w:val="2A663113"/>
    <w:rsid w:val="2ABE7A3E"/>
    <w:rsid w:val="2AD174B8"/>
    <w:rsid w:val="2AE33A8E"/>
    <w:rsid w:val="2B154D70"/>
    <w:rsid w:val="2B4A3008"/>
    <w:rsid w:val="2B5076EC"/>
    <w:rsid w:val="2B5E2840"/>
    <w:rsid w:val="2B7F206E"/>
    <w:rsid w:val="2C0A67F3"/>
    <w:rsid w:val="2C0C2C3C"/>
    <w:rsid w:val="2C230D8E"/>
    <w:rsid w:val="2C232D08"/>
    <w:rsid w:val="2C23641D"/>
    <w:rsid w:val="2C6E02C1"/>
    <w:rsid w:val="2CAC2739"/>
    <w:rsid w:val="2CB84B17"/>
    <w:rsid w:val="2CF20FDB"/>
    <w:rsid w:val="2D341CA1"/>
    <w:rsid w:val="2D466108"/>
    <w:rsid w:val="2D6013DE"/>
    <w:rsid w:val="2D626E17"/>
    <w:rsid w:val="2D957E80"/>
    <w:rsid w:val="2D9945CF"/>
    <w:rsid w:val="2DAE27E5"/>
    <w:rsid w:val="2DC10F7B"/>
    <w:rsid w:val="2E071571"/>
    <w:rsid w:val="2E304984"/>
    <w:rsid w:val="2EBB0295"/>
    <w:rsid w:val="2EFD26D0"/>
    <w:rsid w:val="2F133E3B"/>
    <w:rsid w:val="2F836908"/>
    <w:rsid w:val="2FCC7873"/>
    <w:rsid w:val="2FE27CF1"/>
    <w:rsid w:val="3068222A"/>
    <w:rsid w:val="307C35A3"/>
    <w:rsid w:val="30A26CA4"/>
    <w:rsid w:val="30F21529"/>
    <w:rsid w:val="3133370C"/>
    <w:rsid w:val="31513FF3"/>
    <w:rsid w:val="3185070D"/>
    <w:rsid w:val="319F7F4E"/>
    <w:rsid w:val="31B83CE9"/>
    <w:rsid w:val="327417E2"/>
    <w:rsid w:val="3297219A"/>
    <w:rsid w:val="32C5622A"/>
    <w:rsid w:val="32E868D8"/>
    <w:rsid w:val="332B672C"/>
    <w:rsid w:val="333510D9"/>
    <w:rsid w:val="335C4601"/>
    <w:rsid w:val="336D1A48"/>
    <w:rsid w:val="339C0C9D"/>
    <w:rsid w:val="33D67D4C"/>
    <w:rsid w:val="33D8618C"/>
    <w:rsid w:val="33DB5C6A"/>
    <w:rsid w:val="340C1727"/>
    <w:rsid w:val="34250C92"/>
    <w:rsid w:val="34371605"/>
    <w:rsid w:val="349127AB"/>
    <w:rsid w:val="34975350"/>
    <w:rsid w:val="349E2182"/>
    <w:rsid w:val="34A2598F"/>
    <w:rsid w:val="34B00B41"/>
    <w:rsid w:val="34FF0F80"/>
    <w:rsid w:val="358D10A1"/>
    <w:rsid w:val="35996F86"/>
    <w:rsid w:val="35DA0BF2"/>
    <w:rsid w:val="35F01D9B"/>
    <w:rsid w:val="35FD0287"/>
    <w:rsid w:val="36010E24"/>
    <w:rsid w:val="36142804"/>
    <w:rsid w:val="36752F04"/>
    <w:rsid w:val="36D94E71"/>
    <w:rsid w:val="36FE6489"/>
    <w:rsid w:val="37277FB5"/>
    <w:rsid w:val="373837D2"/>
    <w:rsid w:val="375D1C8D"/>
    <w:rsid w:val="375F2868"/>
    <w:rsid w:val="380216A1"/>
    <w:rsid w:val="38234800"/>
    <w:rsid w:val="38B13CA0"/>
    <w:rsid w:val="38D720F9"/>
    <w:rsid w:val="38DC2F37"/>
    <w:rsid w:val="3966543E"/>
    <w:rsid w:val="398C0452"/>
    <w:rsid w:val="39930F45"/>
    <w:rsid w:val="3A2F3EF1"/>
    <w:rsid w:val="3A3367E1"/>
    <w:rsid w:val="3A4E1EF3"/>
    <w:rsid w:val="3A8B220A"/>
    <w:rsid w:val="3A9E54C7"/>
    <w:rsid w:val="3B3D750D"/>
    <w:rsid w:val="3B663655"/>
    <w:rsid w:val="3BCA0874"/>
    <w:rsid w:val="3C083509"/>
    <w:rsid w:val="3C0957B6"/>
    <w:rsid w:val="3C0C0783"/>
    <w:rsid w:val="3C472FFB"/>
    <w:rsid w:val="3C635FEE"/>
    <w:rsid w:val="3C764CF5"/>
    <w:rsid w:val="3C9776ED"/>
    <w:rsid w:val="3CAD1D69"/>
    <w:rsid w:val="3CE72F31"/>
    <w:rsid w:val="3D02791F"/>
    <w:rsid w:val="3D180048"/>
    <w:rsid w:val="3D322F3C"/>
    <w:rsid w:val="3D864E76"/>
    <w:rsid w:val="3D8760DF"/>
    <w:rsid w:val="3DD10648"/>
    <w:rsid w:val="3DD53D8F"/>
    <w:rsid w:val="3E3C50B0"/>
    <w:rsid w:val="3E792AD7"/>
    <w:rsid w:val="3F3A2F83"/>
    <w:rsid w:val="3F3E6A09"/>
    <w:rsid w:val="3F4078FE"/>
    <w:rsid w:val="3F7C1187"/>
    <w:rsid w:val="3F84456D"/>
    <w:rsid w:val="402412FC"/>
    <w:rsid w:val="40570C7D"/>
    <w:rsid w:val="40A8155C"/>
    <w:rsid w:val="40B10B52"/>
    <w:rsid w:val="40D71055"/>
    <w:rsid w:val="40D71B37"/>
    <w:rsid w:val="410C2A67"/>
    <w:rsid w:val="41181C42"/>
    <w:rsid w:val="412B7BF3"/>
    <w:rsid w:val="415A4744"/>
    <w:rsid w:val="42390655"/>
    <w:rsid w:val="429978C3"/>
    <w:rsid w:val="431E578F"/>
    <w:rsid w:val="432335E9"/>
    <w:rsid w:val="439C46F3"/>
    <w:rsid w:val="43BB1529"/>
    <w:rsid w:val="440C36F4"/>
    <w:rsid w:val="444D22E9"/>
    <w:rsid w:val="449A5EFE"/>
    <w:rsid w:val="457929FF"/>
    <w:rsid w:val="45816658"/>
    <w:rsid w:val="458D4B9A"/>
    <w:rsid w:val="459302A4"/>
    <w:rsid w:val="45977AD4"/>
    <w:rsid w:val="45C10DA1"/>
    <w:rsid w:val="45CB6DDA"/>
    <w:rsid w:val="45F75E68"/>
    <w:rsid w:val="464720DA"/>
    <w:rsid w:val="464E4CE2"/>
    <w:rsid w:val="4670366E"/>
    <w:rsid w:val="46923F6D"/>
    <w:rsid w:val="46BD6259"/>
    <w:rsid w:val="46CE3EB3"/>
    <w:rsid w:val="46F11C7A"/>
    <w:rsid w:val="47290CC5"/>
    <w:rsid w:val="472F60B7"/>
    <w:rsid w:val="47866C57"/>
    <w:rsid w:val="479B0750"/>
    <w:rsid w:val="47FE70DE"/>
    <w:rsid w:val="482B2548"/>
    <w:rsid w:val="48321C0F"/>
    <w:rsid w:val="48430CB3"/>
    <w:rsid w:val="48704943"/>
    <w:rsid w:val="48E520F3"/>
    <w:rsid w:val="48F70617"/>
    <w:rsid w:val="496C1ED5"/>
    <w:rsid w:val="496F39ED"/>
    <w:rsid w:val="49DA2C64"/>
    <w:rsid w:val="49E86723"/>
    <w:rsid w:val="4A7D24A4"/>
    <w:rsid w:val="4A881299"/>
    <w:rsid w:val="4A914126"/>
    <w:rsid w:val="4A923874"/>
    <w:rsid w:val="4AA03B67"/>
    <w:rsid w:val="4AD6215B"/>
    <w:rsid w:val="4B022713"/>
    <w:rsid w:val="4B3A2C66"/>
    <w:rsid w:val="4B680144"/>
    <w:rsid w:val="4BE068DB"/>
    <w:rsid w:val="4BF6002B"/>
    <w:rsid w:val="4C387BE8"/>
    <w:rsid w:val="4CCC2271"/>
    <w:rsid w:val="4D3D447E"/>
    <w:rsid w:val="4D627359"/>
    <w:rsid w:val="4D880728"/>
    <w:rsid w:val="4DE96320"/>
    <w:rsid w:val="4E0B3894"/>
    <w:rsid w:val="4E0D2CAC"/>
    <w:rsid w:val="4E6264BC"/>
    <w:rsid w:val="4E770A51"/>
    <w:rsid w:val="4E8345D1"/>
    <w:rsid w:val="4ECE2238"/>
    <w:rsid w:val="4EE65FC8"/>
    <w:rsid w:val="4F00597A"/>
    <w:rsid w:val="4F1C10C5"/>
    <w:rsid w:val="4F5C6F0C"/>
    <w:rsid w:val="4F91237D"/>
    <w:rsid w:val="4FE57B93"/>
    <w:rsid w:val="50046E12"/>
    <w:rsid w:val="507822DB"/>
    <w:rsid w:val="507C5E0D"/>
    <w:rsid w:val="510806DF"/>
    <w:rsid w:val="512501DF"/>
    <w:rsid w:val="51295261"/>
    <w:rsid w:val="512A0C11"/>
    <w:rsid w:val="51341C7A"/>
    <w:rsid w:val="51D54FA0"/>
    <w:rsid w:val="525A4ED3"/>
    <w:rsid w:val="526E7349"/>
    <w:rsid w:val="52742F7B"/>
    <w:rsid w:val="5280642C"/>
    <w:rsid w:val="52EF39CF"/>
    <w:rsid w:val="530422BE"/>
    <w:rsid w:val="531216B9"/>
    <w:rsid w:val="5357668B"/>
    <w:rsid w:val="535B2607"/>
    <w:rsid w:val="53791600"/>
    <w:rsid w:val="53937116"/>
    <w:rsid w:val="539B7187"/>
    <w:rsid w:val="53A76280"/>
    <w:rsid w:val="53B740FB"/>
    <w:rsid w:val="540C7028"/>
    <w:rsid w:val="54540331"/>
    <w:rsid w:val="545E16F2"/>
    <w:rsid w:val="54A276BB"/>
    <w:rsid w:val="54FF0AC0"/>
    <w:rsid w:val="54FF78BD"/>
    <w:rsid w:val="55220057"/>
    <w:rsid w:val="552E64B6"/>
    <w:rsid w:val="556958BB"/>
    <w:rsid w:val="556A35A4"/>
    <w:rsid w:val="55777E6A"/>
    <w:rsid w:val="55852AD6"/>
    <w:rsid w:val="55973AAE"/>
    <w:rsid w:val="55D92F78"/>
    <w:rsid w:val="55E854AF"/>
    <w:rsid w:val="56014EAE"/>
    <w:rsid w:val="5643129D"/>
    <w:rsid w:val="567C152B"/>
    <w:rsid w:val="569A21F1"/>
    <w:rsid w:val="56A101A3"/>
    <w:rsid w:val="57393786"/>
    <w:rsid w:val="57985F1F"/>
    <w:rsid w:val="57BC2343"/>
    <w:rsid w:val="581537C4"/>
    <w:rsid w:val="583C2EC1"/>
    <w:rsid w:val="584B7886"/>
    <w:rsid w:val="58F5786F"/>
    <w:rsid w:val="58F64576"/>
    <w:rsid w:val="58FE4EC8"/>
    <w:rsid w:val="597B2C0D"/>
    <w:rsid w:val="59B7659D"/>
    <w:rsid w:val="59C979B4"/>
    <w:rsid w:val="5A1E418F"/>
    <w:rsid w:val="5A7D24EC"/>
    <w:rsid w:val="5ACD29F3"/>
    <w:rsid w:val="5B3D4885"/>
    <w:rsid w:val="5B6C5209"/>
    <w:rsid w:val="5BF374B5"/>
    <w:rsid w:val="5C4C7FEE"/>
    <w:rsid w:val="5C587807"/>
    <w:rsid w:val="5C7E619E"/>
    <w:rsid w:val="5C891DC4"/>
    <w:rsid w:val="5D17240A"/>
    <w:rsid w:val="5D4C7784"/>
    <w:rsid w:val="5D705D40"/>
    <w:rsid w:val="5D860C0F"/>
    <w:rsid w:val="5D8B7861"/>
    <w:rsid w:val="5DC84A3F"/>
    <w:rsid w:val="5DD7795F"/>
    <w:rsid w:val="5E9C562F"/>
    <w:rsid w:val="5F0D5594"/>
    <w:rsid w:val="5FB96115"/>
    <w:rsid w:val="601B0191"/>
    <w:rsid w:val="601B3203"/>
    <w:rsid w:val="60424CC4"/>
    <w:rsid w:val="6095725F"/>
    <w:rsid w:val="60B91414"/>
    <w:rsid w:val="60C32684"/>
    <w:rsid w:val="60C62072"/>
    <w:rsid w:val="60F230BD"/>
    <w:rsid w:val="610D67A0"/>
    <w:rsid w:val="611F4C04"/>
    <w:rsid w:val="61A5693B"/>
    <w:rsid w:val="61B21CBB"/>
    <w:rsid w:val="62054365"/>
    <w:rsid w:val="622D735B"/>
    <w:rsid w:val="62451436"/>
    <w:rsid w:val="62850AF6"/>
    <w:rsid w:val="62EE31A8"/>
    <w:rsid w:val="6327282C"/>
    <w:rsid w:val="63375FC4"/>
    <w:rsid w:val="63391675"/>
    <w:rsid w:val="63426C3F"/>
    <w:rsid w:val="63846315"/>
    <w:rsid w:val="641166F5"/>
    <w:rsid w:val="64274ED0"/>
    <w:rsid w:val="645C5AA7"/>
    <w:rsid w:val="647C0FE0"/>
    <w:rsid w:val="649B64C2"/>
    <w:rsid w:val="64B721CE"/>
    <w:rsid w:val="64C3552A"/>
    <w:rsid w:val="64CA39A1"/>
    <w:rsid w:val="65405A54"/>
    <w:rsid w:val="65782110"/>
    <w:rsid w:val="659C15F7"/>
    <w:rsid w:val="65A97054"/>
    <w:rsid w:val="65A9722F"/>
    <w:rsid w:val="65AE4FDC"/>
    <w:rsid w:val="65B21AF7"/>
    <w:rsid w:val="676C4FC8"/>
    <w:rsid w:val="67720DDD"/>
    <w:rsid w:val="688D31C2"/>
    <w:rsid w:val="68CF35D6"/>
    <w:rsid w:val="68F604E0"/>
    <w:rsid w:val="692059DE"/>
    <w:rsid w:val="692B1496"/>
    <w:rsid w:val="69430B4B"/>
    <w:rsid w:val="698B1144"/>
    <w:rsid w:val="69FA2BCC"/>
    <w:rsid w:val="6A052255"/>
    <w:rsid w:val="6A8C3185"/>
    <w:rsid w:val="6AB54E57"/>
    <w:rsid w:val="6AB755B8"/>
    <w:rsid w:val="6AB914EE"/>
    <w:rsid w:val="6AED5C37"/>
    <w:rsid w:val="6B2E7475"/>
    <w:rsid w:val="6B5372EA"/>
    <w:rsid w:val="6B7D01C7"/>
    <w:rsid w:val="6BA027FF"/>
    <w:rsid w:val="6BA32AB8"/>
    <w:rsid w:val="6BC05854"/>
    <w:rsid w:val="6C4A05C8"/>
    <w:rsid w:val="6CA5185F"/>
    <w:rsid w:val="6CA914C2"/>
    <w:rsid w:val="6CAC3D93"/>
    <w:rsid w:val="6DEF0D49"/>
    <w:rsid w:val="6DF54D54"/>
    <w:rsid w:val="6DF644E4"/>
    <w:rsid w:val="6E2E0190"/>
    <w:rsid w:val="6E317886"/>
    <w:rsid w:val="6E483ABC"/>
    <w:rsid w:val="6E626645"/>
    <w:rsid w:val="6EEA098A"/>
    <w:rsid w:val="6EEA70EF"/>
    <w:rsid w:val="6F177CAF"/>
    <w:rsid w:val="6F5B65B1"/>
    <w:rsid w:val="6F9B7030"/>
    <w:rsid w:val="6FA6425F"/>
    <w:rsid w:val="6FBB5B0C"/>
    <w:rsid w:val="6FD77CC8"/>
    <w:rsid w:val="704026DD"/>
    <w:rsid w:val="70D413E1"/>
    <w:rsid w:val="70E82AC4"/>
    <w:rsid w:val="710D36E9"/>
    <w:rsid w:val="71CC081E"/>
    <w:rsid w:val="71EE2BCA"/>
    <w:rsid w:val="723B413A"/>
    <w:rsid w:val="72734D90"/>
    <w:rsid w:val="736F079C"/>
    <w:rsid w:val="739720C1"/>
    <w:rsid w:val="751F503E"/>
    <w:rsid w:val="75620692"/>
    <w:rsid w:val="75761ABA"/>
    <w:rsid w:val="759344E3"/>
    <w:rsid w:val="75C63405"/>
    <w:rsid w:val="75E95D77"/>
    <w:rsid w:val="75F44378"/>
    <w:rsid w:val="76437043"/>
    <w:rsid w:val="768B714B"/>
    <w:rsid w:val="76A36C0F"/>
    <w:rsid w:val="76A377B1"/>
    <w:rsid w:val="76CC31EE"/>
    <w:rsid w:val="772F36FB"/>
    <w:rsid w:val="77305324"/>
    <w:rsid w:val="774F6502"/>
    <w:rsid w:val="77CF3A3E"/>
    <w:rsid w:val="781428BE"/>
    <w:rsid w:val="788F2C3C"/>
    <w:rsid w:val="78FD62B9"/>
    <w:rsid w:val="79093368"/>
    <w:rsid w:val="79093F97"/>
    <w:rsid w:val="795C2430"/>
    <w:rsid w:val="79751D82"/>
    <w:rsid w:val="797603AB"/>
    <w:rsid w:val="797E312D"/>
    <w:rsid w:val="79D21200"/>
    <w:rsid w:val="7A6C4DB3"/>
    <w:rsid w:val="7B2641F7"/>
    <w:rsid w:val="7B316F49"/>
    <w:rsid w:val="7B67342F"/>
    <w:rsid w:val="7C044D25"/>
    <w:rsid w:val="7C4A2778"/>
    <w:rsid w:val="7C6C1905"/>
    <w:rsid w:val="7C7603C5"/>
    <w:rsid w:val="7C7E47CA"/>
    <w:rsid w:val="7C996579"/>
    <w:rsid w:val="7D31040C"/>
    <w:rsid w:val="7D3C3A6A"/>
    <w:rsid w:val="7D7C61FC"/>
    <w:rsid w:val="7D8B52A1"/>
    <w:rsid w:val="7D913BBE"/>
    <w:rsid w:val="7D962468"/>
    <w:rsid w:val="7D981529"/>
    <w:rsid w:val="7DBC0DB5"/>
    <w:rsid w:val="7E7304FE"/>
    <w:rsid w:val="7EAD5F1F"/>
    <w:rsid w:val="7ED23310"/>
    <w:rsid w:val="7EF95749"/>
    <w:rsid w:val="7F224C44"/>
    <w:rsid w:val="7F300AA8"/>
    <w:rsid w:val="7F8A760F"/>
    <w:rsid w:val="7FC770DF"/>
    <w:rsid w:val="7FDB35A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table of figures1"/>
    <w:basedOn w:val="1"/>
    <w:next w:val="1"/>
    <w:qFormat/>
    <w:uiPriority w:val="0"/>
    <w:pPr>
      <w:jc w:val="left"/>
    </w:pPr>
    <w:rPr>
      <w:rFonts w:ascii="Calibri" w:hAnsi="Calibri"/>
      <w:kern w:val="0"/>
      <w:szCs w:val="21"/>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qFormat/>
    <w:uiPriority w:val="0"/>
    <w:pPr>
      <w:jc w:val="left"/>
    </w:pPr>
    <w:rPr>
      <w:rFonts w:ascii="Calibri" w:hAnsi="Calibri"/>
      <w:kern w:val="0"/>
      <w:szCs w:val="21"/>
    </w:rPr>
  </w:style>
  <w:style w:type="paragraph" w:styleId="13">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4"/>
    <w:link w:val="3"/>
    <w:qFormat/>
    <w:uiPriority w:val="9"/>
    <w:rPr>
      <w:rFonts w:ascii="Times New Roman" w:hAnsi="Times New Roman"/>
      <w:b/>
      <w:bCs/>
      <w:kern w:val="44"/>
      <w:sz w:val="44"/>
      <w:szCs w:val="44"/>
    </w:rPr>
  </w:style>
  <w:style w:type="character" w:customStyle="1" w:styleId="27">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4"/>
    <w:link w:val="8"/>
    <w:semiHidden/>
    <w:qFormat/>
    <w:uiPriority w:val="99"/>
    <w:rPr>
      <w:rFonts w:ascii="Times New Roman" w:hAnsi="Times New Roman"/>
      <w:kern w:val="2"/>
      <w:sz w:val="18"/>
      <w:szCs w:val="18"/>
    </w:rPr>
  </w:style>
  <w:style w:type="character" w:customStyle="1" w:styleId="30">
    <w:name w:val="标题 3 Char"/>
    <w:basedOn w:val="14"/>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7.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：收、支决算总计变动情况图</a:t>
            </a:r>
            <a:r>
              <a:rPr lang="en-US" altLang="zh-CN"/>
              <a:t>       </a:t>
            </a:r>
            <a:r>
              <a:rPr altLang="en-US"/>
              <a:t>                      </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98.54</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dLbl>
              <c:idx val="1"/>
              <c:delete val="1"/>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Sheet1!$B$2:$B$3</c:f>
              <c:numCache>
                <c:formatCode>General</c:formatCode>
                <c:ptCount val="2"/>
                <c:pt idx="0">
                  <c:v>98.54</c:v>
                </c:pt>
              </c:numCache>
            </c:numRef>
          </c:val>
        </c:ser>
        <c:ser>
          <c:idx val="1"/>
          <c:order val="1"/>
          <c:tx>
            <c:strRef>
              <c:f>Sheet1!$C$1</c:f>
              <c:strCache>
                <c:ptCount val="1"/>
                <c:pt idx="0">
                  <c:v>2020年度</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127.66</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收支总计</c:v>
                </c:pt>
              </c:strCache>
            </c:strRef>
          </c:cat>
          <c:val>
            <c:numRef>
              <c:f>Sheet1!$C$2:$C$3</c:f>
              <c:numCache>
                <c:formatCode>General</c:formatCode>
                <c:ptCount val="2"/>
                <c:pt idx="0">
                  <c:v>127.66</c:v>
                </c:pt>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Sheet1!$A$2:$A$3</c:f>
              <c:strCache>
                <c:ptCount val="2"/>
                <c:pt idx="0">
                  <c:v>收支总计</c:v>
                </c:pt>
              </c:strCache>
            </c:strRef>
          </c:cat>
          <c:val>
            <c:numRef>
              <c:f>Sheet1!$D$2:$D$3</c:f>
              <c:numCache>
                <c:formatCode>General</c:formatCode>
                <c:ptCount val="2"/>
              </c:numCache>
            </c:numRef>
          </c:val>
        </c:ser>
        <c:dLbls>
          <c:showLegendKey val="0"/>
          <c:showVal val="0"/>
          <c:showCatName val="0"/>
          <c:showSerName val="0"/>
          <c:showPercent val="0"/>
          <c:showBubbleSize val="0"/>
        </c:dLbls>
        <c:gapWidth val="150"/>
        <c:overlap val="0"/>
        <c:axId val="993432829"/>
        <c:axId val="265725943"/>
      </c:barChart>
      <c:catAx>
        <c:axId val="993432829"/>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725943"/>
        <c:crosses val="autoZero"/>
        <c:auto val="1"/>
        <c:lblAlgn val="ctr"/>
        <c:lblOffset val="100"/>
        <c:noMultiLvlLbl val="0"/>
      </c:catAx>
      <c:valAx>
        <c:axId val="265725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93432829"/>
        <c:crosses val="autoZero"/>
        <c:crossBetween val="between"/>
      </c:valAx>
      <c:spPr>
        <a:noFill/>
        <a:ln>
          <a:noFill/>
        </a:ln>
        <a:effectLst/>
      </c:spPr>
    </c:plotArea>
    <c:legend>
      <c:legendPos val="r"/>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a:t>
            </a:r>
            <a:r>
              <a:t>收入决算结构图</a:t>
            </a:r>
          </a:p>
        </c:rich>
      </c:tx>
      <c:layout>
        <c:manualLayout>
          <c:xMode val="edge"/>
          <c:yMode val="edge"/>
          <c:x val="0.446006191950464"/>
          <c:y val="0.0217255065803217"/>
        </c:manualLayout>
      </c:layout>
      <c:overlay val="0"/>
      <c:spPr>
        <a:noFill/>
        <a:ln>
          <a:noFill/>
        </a:ln>
        <a:effectLst/>
      </c:spPr>
    </c:title>
    <c:autoTitleDeleted val="0"/>
    <c:plotArea>
      <c:layout/>
      <c:pieChart>
        <c:varyColors val="1"/>
        <c:ser>
          <c:idx val="0"/>
          <c:order val="0"/>
          <c:tx>
            <c:strRef>
              <c:f>Sheet1!$B$1</c:f>
              <c:strCache>
                <c:ptCount val="1"/>
                <c:pt idx="0">
                  <c:v>本年收入</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c:v>
                </c:pt>
                <c:pt idx="1">
                  <c:v>其他收入</c:v>
                </c:pt>
              </c:strCache>
            </c:strRef>
          </c:cat>
          <c:val>
            <c:numRef>
              <c:f>Sheet1!$B$2:$B$3</c:f>
              <c:numCache>
                <c:formatCode>General</c:formatCode>
                <c:ptCount val="2"/>
                <c:pt idx="0">
                  <c:v>127.62</c:v>
                </c:pt>
                <c:pt idx="1">
                  <c:v>0.04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图三：支出决算结构图</a:t>
            </a:r>
          </a:p>
        </c:rich>
      </c:tx>
      <c:layout/>
      <c:overlay val="0"/>
      <c:spPr>
        <a:noFill/>
        <a:ln>
          <a:noFill/>
        </a:ln>
        <a:effectLst/>
      </c:sp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Sheet1!$A$2:$A$5</c15:sqref>
                  </c15:fullRef>
                </c:ext>
              </c:extLst>
              <c:f>Sheet1!$A$2:$A$3</c:f>
              <c:strCache>
                <c:ptCount val="2"/>
                <c:pt idx="0">
                  <c:v>基本支出</c:v>
                </c:pt>
                <c:pt idx="1">
                  <c:v>项目支出</c:v>
                </c:pt>
              </c:strCache>
            </c:strRef>
          </c:cat>
          <c:val>
            <c:numRef>
              <c:extLst>
                <c:ext xmlns:c15="http://schemas.microsoft.com/office/drawing/2012/chart" uri="{02D57815-91ED-43cb-92C2-25804820EDAC}">
                  <c15:fullRef>
                    <c15:sqref>Sheet1!$B$2:$B$5</c15:sqref>
                  </c15:fullRef>
                </c:ext>
              </c:extLst>
              <c:f>Sheet1!$B$2:$B$3</c:f>
              <c:numCache>
                <c:formatCode>General</c:formatCode>
                <c:ptCount val="2"/>
                <c:pt idx="0">
                  <c:v>119.16</c:v>
                </c:pt>
                <c:pt idx="1">
                  <c:v>8.5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图四：财政拨款收、支总计变动情况</a:t>
            </a:r>
          </a:p>
        </c:rich>
      </c:tx>
      <c:layout>
        <c:manualLayout>
          <c:xMode val="edge"/>
          <c:yMode val="edge"/>
          <c:x val="0.231728079776237"/>
          <c:y val="0.0052255704581083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Sheet1!$B$2</c:f>
              <c:numCache>
                <c:formatCode>General</c:formatCode>
                <c:ptCount val="1"/>
                <c:pt idx="0">
                  <c:v>98.52</c:v>
                </c:pt>
              </c:numCache>
            </c:numRef>
          </c:val>
        </c:ser>
        <c:ser>
          <c:idx val="1"/>
          <c:order val="1"/>
          <c:tx>
            <c:strRef>
              <c:f>Sheet1!$C$1</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财政拨款收、支总计</c:v>
                </c:pt>
              </c:strCache>
            </c:strRef>
          </c:cat>
          <c:val>
            <c:numRef>
              <c:f>Sheet1!$C$2</c:f>
              <c:numCache>
                <c:formatCode>General</c:formatCode>
                <c:ptCount val="1"/>
                <c:pt idx="0">
                  <c:v>127.62</c:v>
                </c:pt>
              </c:numCache>
            </c:numRef>
          </c:val>
        </c:ser>
        <c:dLbls>
          <c:showLegendKey val="0"/>
          <c:showVal val="1"/>
          <c:showCatName val="0"/>
          <c:showSerName val="0"/>
          <c:showPercent val="0"/>
          <c:showBubbleSize val="0"/>
        </c:dLbls>
        <c:gapWidth val="150"/>
        <c:overlap val="0"/>
        <c:axId val="869982217"/>
        <c:axId val="480266717"/>
      </c:barChart>
      <c:catAx>
        <c:axId val="86998221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80266717"/>
        <c:crosses val="autoZero"/>
        <c:auto val="1"/>
        <c:lblAlgn val="ctr"/>
        <c:lblOffset val="100"/>
        <c:noMultiLvlLbl val="0"/>
      </c:catAx>
      <c:valAx>
        <c:axId val="48026671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69982217"/>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图五：一般公共预算财政拨款支出决算变动情况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2019年度</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Sheet1!$B$2</c:f>
              <c:numCache>
                <c:formatCode>General</c:formatCode>
                <c:ptCount val="1"/>
                <c:pt idx="0">
                  <c:v>98.52</c:v>
                </c:pt>
              </c:numCache>
            </c:numRef>
          </c:val>
        </c:ser>
        <c:ser>
          <c:idx val="1"/>
          <c:order val="1"/>
          <c:tx>
            <c:strRef>
              <c:f>Sheet1!$C$1</c:f>
              <c:strCache>
                <c:ptCount val="1"/>
                <c:pt idx="0">
                  <c:v>2020年度</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一般公共预算财政拨款</c:v>
                </c:pt>
              </c:strCache>
            </c:strRef>
          </c:cat>
          <c:val>
            <c:numRef>
              <c:f>Sheet1!$C$2</c:f>
              <c:numCache>
                <c:formatCode>General</c:formatCode>
                <c:ptCount val="1"/>
                <c:pt idx="0">
                  <c:v>127.62</c:v>
                </c:pt>
              </c:numCache>
            </c:numRef>
          </c:val>
        </c:ser>
        <c:dLbls>
          <c:showLegendKey val="0"/>
          <c:showVal val="0"/>
          <c:showCatName val="0"/>
          <c:showSerName val="0"/>
          <c:showPercent val="0"/>
          <c:showBubbleSize val="0"/>
        </c:dLbls>
        <c:gapWidth val="150"/>
        <c:overlap val="0"/>
        <c:axId val="662969087"/>
        <c:axId val="97401024"/>
        <c:extLst>
          <c:ext xmlns:c15="http://schemas.microsoft.com/office/drawing/2012/chart" uri="{02D57815-91ED-43cb-92C2-25804820EDAC}">
            <c15:filteredBarSeries>
              <c15:ser>
                <c:idx val="2"/>
                <c:order val="2"/>
                <c:tx>
                  <c:strRef>
                    <c:extLst>
                      <c:ext uri="{02D57815-91ED-43cb-92C2-25804820EDAC}">
                        <c15:formulaRef>
                          <c15:sqref>Sheet1!#REF!</c15:sqref>
                        </c15:formulaRef>
                      </c:ext>
                    </c:extLst>
                    <c:strCache>
                      <c:ptCount val="1"/>
                      <c:pt idx="0">
                        <c:v/>
                      </c:pt>
                    </c:strCache>
                  </c:strRef>
                </c:tx>
                <c:spPr>
                  <a:solidFill>
                    <a:schemeClr val="accent3"/>
                  </a:solidFill>
                  <a:ln>
                    <a:noFill/>
                  </a:ln>
                  <a:effectLst/>
                </c:spPr>
                <c:invertIfNegative val="0"/>
                <c:dLbls>
                  <c:delete val="1"/>
                </c:dLbls>
                <c:cat>
                  <c:strRef>
                    <c:extLst>
                      <c:ext uri="{02D57815-91ED-43cb-92C2-25804820EDAC}">
                        <c15:fullRef>
                          <c15:sqref/>
                        </c15:fullRef>
                        <c15:formulaRef>
                          <c15:sqref>Sheet1!$A$2</c15:sqref>
                        </c15:formulaRef>
                      </c:ext>
                    </c:extLst>
                    <c:strCache>
                      <c:ptCount val="1"/>
                      <c:pt idx="0">
                        <c:v>一般公共预算财政拨款</c:v>
                      </c:pt>
                    </c:strCache>
                  </c:strRef>
                </c:cat>
                <c:val>
                  <c:numRef>
                    <c:extLst>
                      <c:ext uri="{02D57815-91ED-43cb-92C2-25804820EDAC}">
                        <c15:formulaRef>
                          <c15:sqref>Sheet1!#REF!</c15:sqref>
                        </c15:formulaRef>
                      </c:ext>
                    </c:extLst>
                    <c:numCache>
                      <c:formatCode>General</c:formatCode>
                      <c:ptCount val="1"/>
                      <c:pt idx="0">
                        <c:v>1</c:v>
                      </c:pt>
                    </c:numCache>
                  </c:numRef>
                </c:val>
              </c15:ser>
            </c15:filteredBarSeries>
          </c:ext>
        </c:extLst>
      </c:barChart>
      <c:catAx>
        <c:axId val="66296908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401024"/>
        <c:crosses val="autoZero"/>
        <c:auto val="1"/>
        <c:lblAlgn val="ctr"/>
        <c:lblOffset val="100"/>
        <c:noMultiLvlLbl val="0"/>
      </c:catAx>
      <c:valAx>
        <c:axId val="9740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62969087"/>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图六：一般公共预算财政拨款支出决算结构</a:t>
            </a:r>
          </a:p>
        </c:rich>
      </c:tx>
      <c:layout>
        <c:manualLayout>
          <c:xMode val="edge"/>
          <c:yMode val="edge"/>
          <c:x val="0.0816063764561619"/>
          <c:y val="0.0342757067800851"/>
        </c:manualLayout>
      </c:layout>
      <c:overlay val="0"/>
      <c:spPr>
        <a:noFill/>
        <a:ln>
          <a:noFill/>
        </a:ln>
        <a:effectLst/>
      </c:spPr>
    </c:title>
    <c:autoTitleDeleted val="0"/>
    <c:plotArea>
      <c:layout>
        <c:manualLayout>
          <c:layoutTarget val="inner"/>
          <c:xMode val="edge"/>
          <c:yMode val="edge"/>
          <c:x val="0.190006131207848"/>
          <c:y val="0.162097476066144"/>
          <c:w val="0.44316370324954"/>
          <c:h val="0.786335944299391"/>
        </c:manualLayout>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一般公共服务</c:v>
                </c:pt>
                <c:pt idx="1">
                  <c:v>社会保障和就业</c:v>
                </c:pt>
                <c:pt idx="2">
                  <c:v>医疗卫生支出</c:v>
                </c:pt>
                <c:pt idx="3">
                  <c:v>住房保障支出</c:v>
                </c:pt>
              </c:strCache>
            </c:strRef>
          </c:cat>
          <c:val>
            <c:numRef>
              <c:f>Sheet1!$B$2:$B$5</c:f>
              <c:numCache>
                <c:formatCode>General</c:formatCode>
                <c:ptCount val="4"/>
                <c:pt idx="0">
                  <c:v>94.88</c:v>
                </c:pt>
                <c:pt idx="1">
                  <c:v>13.14</c:v>
                </c:pt>
                <c:pt idx="2">
                  <c:v>7.6</c:v>
                </c:pt>
                <c:pt idx="3">
                  <c:v>12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543626651861799"/>
                  <c:y val="0.0530788847324579"/>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0</c:v>
                </c:pt>
                <c:pt idx="2">
                  <c:v>0.55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2</TotalTime>
  <ScaleCrop>false</ScaleCrop>
  <LinksUpToDate>false</LinksUpToDate>
  <CharactersWithSpaces>8692</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cp:lastModifiedBy>
  <cp:lastPrinted>2021-08-27T08:10:00Z</cp:lastPrinted>
  <dcterms:modified xsi:type="dcterms:W3CDTF">2022-11-14T07:47:30Z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4086EDBDAC024231BAD170C8CB180EE4</vt:lpwstr>
  </property>
</Properties>
</file>