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pStyle w:val="6"/>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78442"/>
      <w:bookmarkStart w:id="8" w:name="_Toc15377426"/>
      <w:bookmarkStart w:id="9" w:name="_Toc15377194"/>
      <w:bookmarkStart w:id="10" w:name="_Toc15396476"/>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lang w:eastAsia="zh-CN"/>
        </w:rPr>
        <w:t>神学院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val="en-US" w:eastAsia="zh-CN"/>
        </w:rPr>
        <w:t>单位</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p>
      <w:pPr>
        <w:pStyle w:val="11"/>
        <w:adjustRightInd w:val="0"/>
        <w:snapToGrid w:val="0"/>
        <w:spacing w:before="0" w:line="440" w:lineRule="exact"/>
        <w:jc w:val="left"/>
        <w:rPr>
          <w:rFonts w:hint="default" w:cstheme="minorBidi"/>
          <w:color w:val="auto"/>
          <w:sz w:val="24"/>
          <w:szCs w:val="24"/>
          <w:lang w:val="en-US"/>
        </w:rPr>
      </w:pPr>
      <w:r>
        <w:rPr>
          <w:rFonts w:hint="eastAsia"/>
          <w:color w:val="auto"/>
          <w:sz w:val="24"/>
        </w:rPr>
        <w:t>第一部分</w:t>
      </w:r>
      <w:r>
        <w:rPr>
          <w:color w:val="auto"/>
          <w:sz w:val="24"/>
        </w:rPr>
        <w:t xml:space="preserve"> </w:t>
      </w:r>
      <w:r>
        <w:rPr>
          <w:rFonts w:hint="eastAsia"/>
          <w:color w:val="auto"/>
          <w:sz w:val="24"/>
          <w:lang w:eastAsia="zh-CN"/>
        </w:rPr>
        <w:t>单位</w:t>
      </w:r>
      <w:r>
        <w:rPr>
          <w:rFonts w:hint="eastAsia"/>
          <w:color w:val="auto"/>
          <w:sz w:val="24"/>
        </w:rPr>
        <w:t>概况</w:t>
      </w:r>
      <w:r>
        <w:rPr>
          <w:rFonts w:hint="eastAsia" w:ascii="Times New Roman" w:hAnsi="Times New Roman" w:cs="Times New Roman"/>
          <w:color w:val="auto"/>
          <w:sz w:val="24"/>
          <w:szCs w:val="24"/>
          <w:lang w:val="en-US" w:eastAsia="zh-CN"/>
        </w:rPr>
        <w:t>..................................................................................................4</w:t>
      </w:r>
    </w:p>
    <w:p>
      <w:pPr>
        <w:pStyle w:val="12"/>
        <w:adjustRightInd w:val="0"/>
        <w:snapToGrid w:val="0"/>
        <w:spacing w:line="440" w:lineRule="exact"/>
        <w:jc w:val="left"/>
        <w:rPr>
          <w:rFonts w:hint="eastAsia" w:eastAsia="宋体"/>
          <w:color w:val="auto"/>
          <w:sz w:val="24"/>
          <w:lang w:eastAsia="zh-CN"/>
        </w:rPr>
      </w:pPr>
      <w:r>
        <w:rPr>
          <w:rFonts w:hint="eastAsia"/>
          <w:color w:val="auto"/>
          <w:sz w:val="24"/>
        </w:rPr>
        <w:t>一、职能</w:t>
      </w:r>
      <w:r>
        <w:rPr>
          <w:rFonts w:hint="eastAsia"/>
          <w:color w:val="auto"/>
          <w:sz w:val="24"/>
          <w:lang w:eastAsia="zh-CN"/>
        </w:rPr>
        <w:t>简介</w:t>
      </w:r>
      <w:r>
        <w:rPr>
          <w:rFonts w:hint="eastAsia" w:ascii="Times New Roman" w:hAnsi="Times New Roman" w:cs="Times New Roman"/>
          <w:color w:val="auto"/>
          <w:sz w:val="24"/>
          <w:szCs w:val="24"/>
          <w:lang w:val="en-US" w:eastAsia="zh-CN"/>
        </w:rPr>
        <w:t>.....................................................................................................4</w:t>
      </w:r>
    </w:p>
    <w:p>
      <w:pPr>
        <w:pStyle w:val="12"/>
        <w:adjustRightInd w:val="0"/>
        <w:snapToGrid w:val="0"/>
        <w:spacing w:line="440" w:lineRule="exact"/>
        <w:jc w:val="left"/>
        <w:rPr>
          <w:rFonts w:hint="eastAsia" w:ascii="Times New Roman" w:hAnsi="Times New Roman" w:cs="Times New Roman"/>
          <w:color w:val="auto"/>
          <w:sz w:val="24"/>
          <w:szCs w:val="24"/>
          <w:lang w:val="en-US" w:eastAsia="zh-CN"/>
        </w:rPr>
      </w:pPr>
      <w:r>
        <w:rPr>
          <w:rFonts w:hint="eastAsia" w:asciiTheme="minorEastAsia" w:hAnsiTheme="minorEastAsia" w:eastAsiaTheme="minorEastAsia" w:cstheme="minorEastAsia"/>
          <w:color w:val="auto"/>
          <w:sz w:val="24"/>
          <w:lang w:eastAsia="zh-CN"/>
        </w:rPr>
        <w:t>二、</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rPr>
        <w:t>工作</w:t>
      </w:r>
      <w:r>
        <w:rPr>
          <w:rFonts w:hint="eastAsia" w:asciiTheme="minorEastAsia" w:hAnsiTheme="minorEastAsia" w:eastAsiaTheme="minorEastAsia" w:cstheme="minorEastAsia"/>
          <w:color w:val="auto"/>
          <w:sz w:val="24"/>
          <w:lang w:eastAsia="zh-CN"/>
        </w:rPr>
        <w:t>完成情况</w:t>
      </w:r>
      <w:r>
        <w:rPr>
          <w:rFonts w:hint="eastAsia" w:ascii="Times New Roman" w:hAnsi="Times New Roman" w:cs="Times New Roman"/>
          <w:color w:val="auto"/>
          <w:sz w:val="24"/>
          <w:szCs w:val="24"/>
          <w:lang w:val="en-US" w:eastAsia="zh-CN"/>
        </w:rPr>
        <w:t>........................................................................4</w:t>
      </w:r>
    </w:p>
    <w:p>
      <w:pPr>
        <w:pStyle w:val="12"/>
        <w:adjustRightInd w:val="0"/>
        <w:snapToGrid w:val="0"/>
        <w:spacing w:line="440" w:lineRule="exact"/>
        <w:jc w:val="left"/>
        <w:rPr>
          <w:rFonts w:hint="default"/>
          <w:color w:val="auto"/>
          <w:sz w:val="24"/>
          <w:lang w:val="en-US" w:eastAsia="zh-CN"/>
        </w:rPr>
      </w:pPr>
      <w:r>
        <w:rPr>
          <w:rFonts w:hint="eastAsia"/>
          <w:color w:val="auto"/>
          <w:sz w:val="24"/>
          <w:lang w:val="en-US" w:eastAsia="zh-CN"/>
        </w:rPr>
        <w:t>三、机构设置情况.............................................................................................6</w:t>
      </w:r>
    </w:p>
    <w:p>
      <w:pPr>
        <w:pStyle w:val="11"/>
        <w:adjustRightInd w:val="0"/>
        <w:snapToGrid w:val="0"/>
        <w:spacing w:before="0" w:line="440" w:lineRule="exact"/>
        <w:jc w:val="left"/>
        <w:rPr>
          <w:color w:val="auto"/>
          <w:sz w:val="24"/>
          <w:szCs w:val="24"/>
        </w:rPr>
      </w:pPr>
      <w:r>
        <w:rPr>
          <w:rFonts w:hint="eastAsia"/>
          <w:color w:val="auto"/>
          <w:sz w:val="24"/>
        </w:rPr>
        <w:t>第二部分</w:t>
      </w:r>
      <w:r>
        <w:rPr>
          <w:rFonts w:hint="eastAsia"/>
          <w:color w:val="auto"/>
          <w:sz w:val="24"/>
          <w:lang w:val="en-US" w:eastAsia="zh-CN"/>
        </w:rPr>
        <w:t xml:space="preserve"> 2020年度单位</w:t>
      </w:r>
      <w:r>
        <w:rPr>
          <w:rFonts w:hint="eastAsia"/>
          <w:color w:val="auto"/>
          <w:sz w:val="24"/>
        </w:rPr>
        <w:t>决算情况说明</w:t>
      </w:r>
      <w:r>
        <w:rPr>
          <w:rFonts w:hint="eastAsia" w:ascii="Times New Roman" w:hAnsi="Times New Roman" w:cs="Times New Roman"/>
          <w:color w:val="auto"/>
          <w:sz w:val="24"/>
          <w:szCs w:val="24"/>
          <w:lang w:val="en-US" w:eastAsia="zh-CN"/>
        </w:rPr>
        <w:t>.................................................................7</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r>
        <w:rPr>
          <w:rFonts w:hint="eastAsia" w:ascii="Times New Roman" w:hAnsi="Times New Roman" w:cs="Times New Roman"/>
          <w:color w:val="auto"/>
          <w:sz w:val="24"/>
          <w:szCs w:val="24"/>
          <w:lang w:val="en-US" w:eastAsia="zh-CN"/>
        </w:rPr>
        <w:t>.....................................................................7</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r>
        <w:rPr>
          <w:rFonts w:hint="eastAsia" w:ascii="Times New Roman" w:hAnsi="Times New Roman" w:cs="Times New Roman"/>
          <w:color w:val="auto"/>
          <w:sz w:val="24"/>
          <w:szCs w:val="24"/>
          <w:lang w:val="en-US" w:eastAsia="zh-CN"/>
        </w:rPr>
        <w:t>.....................................................................................7</w:t>
      </w:r>
    </w:p>
    <w:p>
      <w:pPr>
        <w:pStyle w:val="12"/>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三、支出决算情况说明</w:t>
      </w:r>
      <w:r>
        <w:rPr>
          <w:rFonts w:hint="eastAsia" w:ascii="Times New Roman" w:hAnsi="Times New Roman" w:cs="Times New Roman"/>
          <w:color w:val="auto"/>
          <w:sz w:val="24"/>
          <w:szCs w:val="24"/>
          <w:lang w:val="en-US" w:eastAsia="zh-CN"/>
        </w:rPr>
        <w:t>.....................................................................................8</w:t>
      </w:r>
    </w:p>
    <w:p>
      <w:pPr>
        <w:pStyle w:val="12"/>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四、财政拨款收入支出决算总体情况说明</w:t>
      </w:r>
      <w:r>
        <w:rPr>
          <w:rFonts w:hint="eastAsia" w:ascii="Times New Roman" w:hAnsi="Times New Roman" w:cs="Times New Roman"/>
          <w:color w:val="auto"/>
          <w:sz w:val="24"/>
          <w:szCs w:val="24"/>
          <w:lang w:val="en-US" w:eastAsia="zh-CN"/>
        </w:rPr>
        <w:t>.....................................................9</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r>
        <w:rPr>
          <w:rFonts w:hint="eastAsia" w:ascii="Times New Roman" w:hAnsi="Times New Roman" w:cs="Times New Roman"/>
          <w:color w:val="auto"/>
          <w:sz w:val="24"/>
          <w:szCs w:val="24"/>
          <w:lang w:val="en-US" w:eastAsia="zh-CN"/>
        </w:rPr>
        <w:t>.............................................9</w:t>
      </w:r>
    </w:p>
    <w:p>
      <w:pPr>
        <w:pStyle w:val="12"/>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六、一般公共预算财政拨款基本支出决算情况说明</w:t>
      </w:r>
      <w:r>
        <w:rPr>
          <w:rFonts w:hint="eastAsia" w:ascii="Times New Roman" w:hAnsi="Times New Roman" w:cs="Times New Roman"/>
          <w:color w:val="auto"/>
          <w:sz w:val="24"/>
          <w:szCs w:val="24"/>
          <w:lang w:val="en-US" w:eastAsia="zh-CN"/>
        </w:rPr>
        <w:t>....................................12</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r>
        <w:rPr>
          <w:rFonts w:hint="eastAsia" w:ascii="Times New Roman" w:hAnsi="Times New Roman" w:cs="Times New Roman"/>
          <w:color w:val="auto"/>
          <w:sz w:val="24"/>
          <w:szCs w:val="24"/>
          <w:lang w:val="en-US" w:eastAsia="zh-CN"/>
        </w:rPr>
        <w:t>..............................................12</w:t>
      </w:r>
    </w:p>
    <w:p>
      <w:pPr>
        <w:pStyle w:val="12"/>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八、政府性基金预算支出决算情况说明</w:t>
      </w:r>
      <w:r>
        <w:rPr>
          <w:rFonts w:hint="eastAsia" w:ascii="Times New Roman" w:hAnsi="Times New Roman" w:cs="Times New Roman"/>
          <w:color w:val="auto"/>
          <w:sz w:val="24"/>
          <w:szCs w:val="24"/>
          <w:lang w:val="en-US" w:eastAsia="zh-CN"/>
        </w:rPr>
        <w:t>........................................................14</w:t>
      </w:r>
    </w:p>
    <w:p>
      <w:pPr>
        <w:pStyle w:val="12"/>
        <w:adjustRightInd w:val="0"/>
        <w:snapToGrid w:val="0"/>
        <w:spacing w:line="440" w:lineRule="exact"/>
        <w:jc w:val="left"/>
        <w:rPr>
          <w:rFonts w:hint="eastAsia"/>
          <w:color w:val="auto"/>
          <w:sz w:val="24"/>
        </w:rPr>
      </w:pPr>
      <w:r>
        <w:rPr>
          <w:rFonts w:hint="eastAsia"/>
          <w:color w:val="auto"/>
          <w:sz w:val="24"/>
        </w:rPr>
        <w:t>九、国有资本经营预算支出决算情况说明</w:t>
      </w:r>
      <w:r>
        <w:rPr>
          <w:rFonts w:hint="eastAsia" w:ascii="Times New Roman" w:hAnsi="Times New Roman" w:cs="Times New Roman"/>
          <w:color w:val="auto"/>
          <w:sz w:val="24"/>
          <w:szCs w:val="24"/>
          <w:lang w:val="en-US" w:eastAsia="zh-CN"/>
        </w:rPr>
        <w:t>....................................................14</w:t>
      </w:r>
    </w:p>
    <w:p>
      <w:pPr>
        <w:pStyle w:val="12"/>
        <w:adjustRightInd w:val="0"/>
        <w:snapToGrid w:val="0"/>
        <w:spacing w:line="440" w:lineRule="exact"/>
        <w:jc w:val="left"/>
        <w:rPr>
          <w:rFonts w:hint="eastAsia"/>
          <w:color w:val="auto"/>
          <w:sz w:val="24"/>
          <w:lang w:eastAsia="zh-CN"/>
        </w:rPr>
      </w:pPr>
      <w:r>
        <w:rPr>
          <w:rFonts w:hint="eastAsia"/>
          <w:color w:val="auto"/>
          <w:sz w:val="24"/>
        </w:rPr>
        <w:t>十、其他重要事项的情况说明</w:t>
      </w:r>
      <w:r>
        <w:rPr>
          <w:rFonts w:hint="eastAsia" w:ascii="Times New Roman" w:hAnsi="Times New Roman" w:cs="Times New Roman"/>
          <w:color w:val="auto"/>
          <w:sz w:val="24"/>
          <w:szCs w:val="24"/>
          <w:lang w:val="en-US" w:eastAsia="zh-CN"/>
        </w:rPr>
        <w:t>........................................................................14</w:t>
      </w:r>
    </w:p>
    <w:p>
      <w:pPr>
        <w:pStyle w:val="11"/>
        <w:adjustRightInd w:val="0"/>
        <w:snapToGrid w:val="0"/>
        <w:spacing w:before="0" w:line="440" w:lineRule="exact"/>
        <w:jc w:val="left"/>
        <w:rPr>
          <w:rFonts w:hint="default" w:cstheme="minorBidi"/>
          <w:color w:val="auto"/>
          <w:sz w:val="24"/>
          <w:szCs w:val="24"/>
          <w:lang w:val="en-US"/>
        </w:rPr>
      </w:pPr>
      <w:r>
        <w:rPr>
          <w:rFonts w:hint="eastAsia"/>
          <w:color w:val="auto"/>
          <w:sz w:val="24"/>
        </w:rPr>
        <w:t>第三部分</w:t>
      </w:r>
      <w:r>
        <w:rPr>
          <w:color w:val="auto"/>
          <w:sz w:val="24"/>
        </w:rPr>
        <w:t xml:space="preserve"> </w:t>
      </w:r>
      <w:r>
        <w:rPr>
          <w:rFonts w:hint="eastAsia"/>
          <w:color w:val="auto"/>
          <w:sz w:val="24"/>
        </w:rPr>
        <w:t>名词解释</w:t>
      </w:r>
      <w:r>
        <w:rPr>
          <w:rFonts w:hint="eastAsia" w:ascii="Times New Roman" w:hAnsi="Times New Roman" w:cs="Times New Roman"/>
          <w:color w:val="auto"/>
          <w:sz w:val="24"/>
          <w:szCs w:val="24"/>
          <w:lang w:val="en-US" w:eastAsia="zh-CN"/>
        </w:rPr>
        <w:t>.................................................................................................16</w:t>
      </w:r>
    </w:p>
    <w:p>
      <w:pPr>
        <w:pStyle w:val="11"/>
        <w:adjustRightInd w:val="0"/>
        <w:snapToGrid w:val="0"/>
        <w:spacing w:before="0" w:line="440" w:lineRule="exact"/>
        <w:jc w:val="left"/>
        <w:rPr>
          <w:rFonts w:hint="default" w:cstheme="minorBidi"/>
          <w:color w:val="auto"/>
          <w:sz w:val="24"/>
          <w:szCs w:val="24"/>
          <w:lang w:val="en-US"/>
        </w:rPr>
      </w:pPr>
      <w:r>
        <w:rPr>
          <w:rFonts w:hint="eastAsia"/>
          <w:color w:val="auto"/>
          <w:sz w:val="24"/>
        </w:rPr>
        <w:t>第四部分</w:t>
      </w:r>
      <w:r>
        <w:rPr>
          <w:color w:val="auto"/>
          <w:sz w:val="24"/>
        </w:rPr>
        <w:t xml:space="preserve"> </w:t>
      </w:r>
      <w:r>
        <w:rPr>
          <w:rFonts w:hint="eastAsia"/>
          <w:color w:val="auto"/>
          <w:sz w:val="24"/>
        </w:rPr>
        <w:t>附件</w:t>
      </w:r>
      <w:r>
        <w:rPr>
          <w:rFonts w:hint="eastAsia" w:ascii="Times New Roman" w:hAnsi="Times New Roman" w:cs="Times New Roman"/>
          <w:color w:val="auto"/>
          <w:sz w:val="24"/>
          <w:szCs w:val="24"/>
          <w:lang w:val="en-US" w:eastAsia="zh-CN"/>
        </w:rPr>
        <w:t>.........................................................................................................18</w:t>
      </w:r>
    </w:p>
    <w:p>
      <w:pPr>
        <w:pStyle w:val="11"/>
        <w:adjustRightInd w:val="0"/>
        <w:snapToGrid w:val="0"/>
        <w:spacing w:before="0" w:line="440" w:lineRule="exact"/>
        <w:jc w:val="left"/>
        <w:rPr>
          <w:rFonts w:hint="default" w:cstheme="minorBidi"/>
          <w:color w:val="auto"/>
          <w:sz w:val="24"/>
          <w:szCs w:val="24"/>
          <w:lang w:val="en-US"/>
        </w:rPr>
      </w:pPr>
      <w:r>
        <w:rPr>
          <w:rFonts w:hint="eastAsia"/>
          <w:color w:val="auto"/>
          <w:sz w:val="24"/>
        </w:rPr>
        <w:t>第五部分</w:t>
      </w:r>
      <w:r>
        <w:rPr>
          <w:color w:val="auto"/>
          <w:sz w:val="24"/>
        </w:rPr>
        <w:t xml:space="preserve"> </w:t>
      </w:r>
      <w:r>
        <w:rPr>
          <w:rFonts w:hint="eastAsia"/>
          <w:color w:val="auto"/>
          <w:sz w:val="24"/>
        </w:rPr>
        <w:t>附表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一、收入支出决算总表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二、收入决算表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三、支出决算表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四、财政拨款收入支出决算总表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五、财政拨款支出决算明细表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六、一般公共预算财政拨款支出决算表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七、一般公共预算财政拨款支出决算明细表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八、一般公共预算财政拨款基本支出决算表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九、一般公共预算财政拨款项目支出决算表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十、一般公共预算财政拨款“三公”经费支出决算表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十一、政府性基金预算财政拨款收入支出决算表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十二、政府性基金预算财政拨款“三公”经费支出决算表</w:t>
      </w:r>
      <w:r>
        <w:rPr>
          <w:rFonts w:hint="eastAsia" w:ascii="Times New Roman" w:hAnsi="Times New Roman" w:cs="Times New Roman"/>
          <w:color w:val="auto"/>
          <w:sz w:val="24"/>
          <w:szCs w:val="24"/>
          <w:lang w:val="en-US" w:eastAsia="zh-CN"/>
        </w:rPr>
        <w:t>........................24</w:t>
      </w:r>
    </w:p>
    <w:p>
      <w:pPr>
        <w:pStyle w:val="12"/>
        <w:adjustRightInd w:val="0"/>
        <w:snapToGrid w:val="0"/>
        <w:spacing w:line="440" w:lineRule="exact"/>
        <w:jc w:val="left"/>
        <w:rPr>
          <w:rFonts w:hint="eastAsia"/>
          <w:color w:val="auto"/>
          <w:sz w:val="24"/>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r>
        <w:rPr>
          <w:rFonts w:hint="eastAsia" w:ascii="Times New Roman" w:hAnsi="Times New Roman" w:cs="Times New Roman"/>
          <w:color w:val="auto"/>
          <w:sz w:val="24"/>
          <w:szCs w:val="24"/>
          <w:lang w:val="en-US" w:eastAsia="zh-CN"/>
        </w:rPr>
        <w:t>....................................24</w:t>
      </w:r>
    </w:p>
    <w:p>
      <w:pPr>
        <w:widowControl/>
        <w:adjustRightInd w:val="0"/>
        <w:snapToGrid w:val="0"/>
        <w:spacing w:line="440" w:lineRule="exact"/>
        <w:ind w:firstLine="480" w:firstLineChars="200"/>
        <w:jc w:val="left"/>
        <w:rPr>
          <w:rFonts w:ascii="仿宋" w:hAnsi="仿宋" w:eastAsia="仿宋"/>
          <w:color w:val="FF0000"/>
          <w:sz w:val="44"/>
          <w:szCs w:val="44"/>
        </w:rPr>
      </w:pPr>
      <w:r>
        <w:rPr>
          <w:rFonts w:hint="eastAsia"/>
          <w:color w:val="auto"/>
          <w:sz w:val="24"/>
          <w:lang w:val="en-US" w:eastAsia="zh-CN"/>
        </w:rPr>
        <w:t>十四、国有资本经营预算财政拨款支出决算表</w:t>
      </w:r>
      <w:r>
        <w:rPr>
          <w:rFonts w:hint="eastAsia" w:ascii="Times New Roman" w:hAnsi="Times New Roman" w:cs="Times New Roman"/>
          <w:color w:val="auto"/>
          <w:sz w:val="24"/>
          <w:szCs w:val="24"/>
          <w:lang w:val="en-US" w:eastAsia="zh-CN"/>
        </w:rPr>
        <w:t>...........................................24</w:t>
      </w:r>
    </w:p>
    <w:p>
      <w:pPr>
        <w:widowControl/>
        <w:adjustRightInd w:val="0"/>
        <w:snapToGrid w:val="0"/>
        <w:spacing w:line="440" w:lineRule="exact"/>
        <w:jc w:val="left"/>
        <w:rPr>
          <w:rFonts w:ascii="仿宋" w:hAnsi="仿宋" w:eastAsia="仿宋"/>
          <w:color w:val="FF0000"/>
          <w:sz w:val="44"/>
          <w:szCs w:val="4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Fonts w:hint="eastAsia" w:ascii="黑体" w:hAnsi="黑体" w:eastAsia="黑体"/>
          <w:b w:val="0"/>
          <w:lang w:eastAsia="zh-CN"/>
        </w:rPr>
        <w:t>单位</w:t>
      </w:r>
      <w:r>
        <w:rPr>
          <w:rStyle w:val="26"/>
          <w:rFonts w:hint="eastAsia" w:ascii="黑体" w:hAnsi="黑体" w:eastAsia="黑体"/>
          <w:b w:val="0"/>
          <w:bCs w:val="0"/>
        </w:rPr>
        <w:t>概况</w:t>
      </w:r>
      <w:bookmarkEnd w:id="12"/>
      <w:bookmarkEnd w:id="13"/>
    </w:p>
    <w:p>
      <w:pPr>
        <w:widowControl/>
        <w:jc w:val="left"/>
        <w:rPr>
          <w:rFonts w:ascii="黑体" w:eastAsia="黑体"/>
          <w:color w:val="000000"/>
          <w:sz w:val="32"/>
          <w:szCs w:val="32"/>
        </w:rPr>
      </w:pPr>
    </w:p>
    <w:p>
      <w:pPr>
        <w:pStyle w:val="4"/>
        <w:ind w:firstLine="640" w:firstLineChars="200"/>
        <w:rPr>
          <w:rFonts w:hint="eastAsia" w:ascii="Times New Roman" w:hAnsi="Times New Roman" w:eastAsia="楷体_GB2312" w:cs="Times New Roman"/>
          <w:bCs/>
          <w:color w:val="auto"/>
          <w:sz w:val="32"/>
          <w:szCs w:val="32"/>
        </w:rPr>
      </w:pPr>
      <w:bookmarkStart w:id="14" w:name="_Toc15396600"/>
      <w:bookmarkStart w:id="15" w:name="_Toc15377197"/>
      <w:r>
        <w:rPr>
          <w:rFonts w:hint="eastAsia" w:ascii="黑体" w:hAnsi="黑体" w:eastAsia="黑体"/>
          <w:b w:val="0"/>
          <w:color w:val="000000"/>
        </w:rPr>
        <w:t>一、</w:t>
      </w:r>
      <w:bookmarkEnd w:id="14"/>
      <w:bookmarkEnd w:id="15"/>
      <w:r>
        <w:rPr>
          <w:rFonts w:hint="eastAsia" w:ascii="Times New Roman" w:hAnsi="Times New Roman" w:eastAsia="楷体_GB2312" w:cs="Times New Roman"/>
          <w:bCs/>
          <w:color w:val="auto"/>
          <w:sz w:val="32"/>
          <w:szCs w:val="32"/>
          <w:lang w:eastAsia="zh-CN"/>
        </w:rPr>
        <w:t>四川神学院</w:t>
      </w:r>
      <w:r>
        <w:rPr>
          <w:rFonts w:hint="eastAsia" w:ascii="Times New Roman" w:hAnsi="Times New Roman" w:eastAsia="楷体_GB2312" w:cs="Times New Roman"/>
          <w:bCs/>
          <w:color w:val="auto"/>
          <w:sz w:val="32"/>
          <w:szCs w:val="32"/>
        </w:rPr>
        <w:t>职能简介</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川神学院是1983年经国务院办公厅批准设立，由四川、云南、贵州和重庆教会联合主办的全国五所大区性神学院之一，办学规模120人，现有在校生70人。学院历来重视师生思想建设工作，把思想政治教育贯穿教育教学全过程，积极组织教职员工和学生认真学习中共十九大、中央统战工作会议、全国宗教工作会议精神，举办“坚持基督教中国化”培训班。学院课程按照基督教全国两会神学教育委员会制定的课程要求设置，《圣经》、神学及相关的专业课占70%，政治文化课占30%，还积极组织学生进行爱国主义教育和参加慈善活动。学院坚持独立自主和“三自”原则，坚持基督教中国化方向，其职责职能是培养灵、德、智、体、群全面发展，品德上能服众，学识上有造诣，政治上靠得住，关键时刻起作用的新时代教牧人才。</w:t>
      </w:r>
    </w:p>
    <w:p>
      <w:pPr>
        <w:pStyle w:val="6"/>
        <w:numPr>
          <w:ilvl w:val="0"/>
          <w:numId w:val="0"/>
        </w:numPr>
        <w:adjustRightInd w:val="0"/>
        <w:spacing w:before="130" w:line="580" w:lineRule="exact"/>
        <w:ind w:firstLine="643" w:firstLineChars="200"/>
        <w:rPr>
          <w:rFonts w:hint="eastAsia" w:ascii="楷体_GB2312" w:hAnsi="楷体_GB2312" w:eastAsia="楷体_GB2312" w:cs="楷体_GB2312"/>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二、</w:t>
      </w:r>
      <w:r>
        <w:rPr>
          <w:rFonts w:hint="default" w:ascii="Times New Roman" w:hAnsi="Times New Roman" w:eastAsia="楷体_GB2312" w:cs="Times New Roman"/>
          <w:b/>
          <w:bCs/>
          <w:color w:val="auto"/>
          <w:kern w:val="2"/>
          <w:sz w:val="32"/>
          <w:szCs w:val="32"/>
          <w:lang w:val="en-US" w:eastAsia="zh-CN" w:bidi="ar-SA"/>
        </w:rPr>
        <w:t>2020年重点工作完成情况</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是坚持正确政治方向，抓好思想政治教育工作。组织开展全院师生集体学习十九届五中全会精神；贯彻党和政府制定的法律法规和政策，组织开展《民法典》《宗教事务条例》《四川省宗教事务条例》专题学习；贯彻落实《四川省宗教院校建设五年规划》精神，根据相关要求，全年开设《毛泽东思想概论》《邓小平理论》《习近平新时代中国特色社会主义思想》等课程，定期召开《坚持我国基督教中国化方向的理论与实践》讲座；将廉政建设和反腐工作覆盖各项工作全过程。</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是做好疫情防控工作，全力确保师生健康安全。我院认真学习关于新冠病毒感染肺炎疫情防控工作的重要讲话、指示精神，成立疫情防控工作领导小组，研究疫情防控工作方案。强化后勤保障，设立应急处置预案。我院严格按照省委省政府、省民宗委疫情防控的相关要求，在2020年春季学期做好“停课不停学”的工作安排、2020年秋季学期进行校园封闭管理，做好疫情防控工作。开展抗击新冠肺炎疫情募捐活动。全院师生踊跃参与，共筹集捐款1万元，交由四川省基督教协会及时投入使用到新冠肺炎疫情防控阻击战中。</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kern w:val="2"/>
          <w:sz w:val="32"/>
          <w:szCs w:val="32"/>
          <w:highlight w:val="none"/>
          <w:lang w:val="en-US" w:eastAsia="zh-CN" w:bidi="ar-SA"/>
        </w:rPr>
        <w:t>三是推进常规工作运行，更加规范各项内部管理。学院确定并坚持每周一下午召开院务会或行政会，对重大工作坚持集体讨论决定；顺利完成2020年招生录取工作。2020年，我院共录取新生42人，共有毕业生33人。制定《四川神学院关于思想政治教育和中国文化与社会公共课课时费发放标准的说明》，加强公共课建设。根据省民族宗教委党组会议的部署和要求，利用暑期对学院厨房、教室、走廊等部位进行修缮；学院领导带头定期进行安全巡查，杜绝安全隐患；持续推进新校区选址工作。</w:t>
      </w:r>
    </w:p>
    <w:p>
      <w:pPr>
        <w:numPr>
          <w:ilvl w:val="0"/>
          <w:numId w:val="0"/>
        </w:numPr>
        <w:rPr>
          <w:rFonts w:hint="eastAsia" w:ascii="黑体" w:hAnsi="黑体" w:eastAsia="黑体" w:cstheme="majorBidi"/>
          <w:b w:val="0"/>
          <w:bCs/>
          <w:color w:val="auto"/>
          <w:kern w:val="2"/>
          <w:sz w:val="32"/>
          <w:szCs w:val="32"/>
          <w:highlight w:val="none"/>
          <w:lang w:val="en-US" w:eastAsia="zh-CN" w:bidi="ar-SA"/>
        </w:rPr>
      </w:pPr>
      <w:r>
        <w:rPr>
          <w:rFonts w:hint="eastAsia" w:ascii="Times New Roman" w:hAnsi="Times New Roman" w:eastAsia="楷体_GB2312" w:cs="Times New Roman"/>
          <w:b/>
          <w:bCs/>
          <w:color w:val="auto"/>
          <w:kern w:val="2"/>
          <w:sz w:val="32"/>
          <w:szCs w:val="32"/>
          <w:lang w:val="en-US" w:eastAsia="zh-CN" w:bidi="ar-SA"/>
        </w:rPr>
        <w:t>三、机构设置情况</w:t>
      </w:r>
    </w:p>
    <w:p>
      <w:pPr>
        <w:numPr>
          <w:ilvl w:val="0"/>
          <w:numId w:val="0"/>
        </w:numPr>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本单位由3个内设</w:t>
      </w:r>
      <w:r>
        <w:rPr>
          <w:rFonts w:hint="eastAsia" w:ascii="仿宋_GB2312" w:eastAsia="仿宋_GB2312" w:cs="Times New Roman"/>
          <w:kern w:val="2"/>
          <w:sz w:val="32"/>
          <w:szCs w:val="32"/>
          <w:highlight w:val="none"/>
          <w:lang w:val="en-US" w:eastAsia="zh-CN" w:bidi="ar-SA"/>
        </w:rPr>
        <w:t>机构</w:t>
      </w:r>
      <w:bookmarkStart w:id="67" w:name="_GoBack"/>
      <w:bookmarkEnd w:id="67"/>
      <w:r>
        <w:rPr>
          <w:rFonts w:hint="eastAsia" w:ascii="仿宋_GB2312" w:hAnsi="Times New Roman" w:eastAsia="仿宋_GB2312" w:cs="Times New Roman"/>
          <w:kern w:val="2"/>
          <w:sz w:val="32"/>
          <w:szCs w:val="32"/>
          <w:highlight w:val="none"/>
          <w:lang w:val="en-US" w:eastAsia="zh-CN" w:bidi="ar-SA"/>
        </w:rPr>
        <w:t>组成，分别是：办公室、教务处、财务室。</w:t>
      </w:r>
    </w:p>
    <w:p>
      <w:pPr>
        <w:pStyle w:val="6"/>
        <w:numPr>
          <w:ilvl w:val="0"/>
          <w:numId w:val="0"/>
        </w:numPr>
        <w:adjustRightInd w:val="0"/>
        <w:spacing w:before="130" w:line="580" w:lineRule="exact"/>
        <w:ind w:firstLine="640" w:firstLineChars="200"/>
        <w:rPr>
          <w:rFonts w:hint="eastAsia" w:ascii="仿宋_GB2312" w:hAnsi="仿宋_GB2312" w:eastAsia="仿宋_GB2312" w:cs="仿宋_GB2312"/>
          <w:sz w:val="32"/>
          <w:szCs w:val="32"/>
          <w:lang w:val="en-US" w:eastAsia="zh-CN"/>
        </w:rPr>
      </w:pPr>
    </w:p>
    <w:p>
      <w:pPr>
        <w:pStyle w:val="6"/>
        <w:numPr>
          <w:ilvl w:val="0"/>
          <w:numId w:val="0"/>
        </w:numPr>
        <w:adjustRightInd w:val="0"/>
        <w:spacing w:before="130" w:line="580" w:lineRule="exact"/>
        <w:rPr>
          <w:rFonts w:hint="default" w:ascii="仿宋_GB2312" w:hAnsi="Times New Roman" w:eastAsia="仿宋_GB2312" w:cs="Times New Roman"/>
          <w:kern w:val="2"/>
          <w:sz w:val="32"/>
          <w:szCs w:val="32"/>
          <w:highlight w:val="none"/>
          <w:lang w:val="en-US" w:eastAsia="zh-CN" w:bidi="ar-SA"/>
        </w:rPr>
      </w:pPr>
    </w:p>
    <w:p>
      <w:pPr>
        <w:pStyle w:val="6"/>
        <w:adjustRightInd w:val="0"/>
        <w:snapToGrid w:val="0"/>
        <w:spacing w:before="93" w:line="600" w:lineRule="exact"/>
        <w:ind w:firstLine="672" w:firstLineChars="210"/>
        <w:outlineLvl w:val="2"/>
        <w:rPr>
          <w:rFonts w:ascii="仿宋" w:hAnsi="仿宋" w:eastAsia="仿宋"/>
          <w:bCs/>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6"/>
          <w:rFonts w:ascii="黑体" w:hAnsi="黑体" w:eastAsia="黑体"/>
          <w:b w:val="0"/>
          <w:bCs w:val="0"/>
        </w:rPr>
      </w:pPr>
      <w:bookmarkStart w:id="16" w:name="_Toc15377204"/>
      <w:bookmarkStart w:id="1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w:t>
      </w:r>
      <w:r>
        <w:rPr>
          <w:rStyle w:val="26"/>
          <w:rFonts w:hint="eastAsia" w:ascii="黑体" w:hAnsi="黑体" w:eastAsia="黑体"/>
          <w:b w:val="0"/>
          <w:bCs w:val="0"/>
          <w:lang w:val="en-US" w:eastAsia="zh-CN"/>
        </w:rPr>
        <w:t>20</w:t>
      </w:r>
      <w:r>
        <w:rPr>
          <w:rStyle w:val="26"/>
          <w:rFonts w:hint="eastAsia" w:ascii="黑体" w:hAnsi="黑体" w:eastAsia="黑体"/>
          <w:b w:val="0"/>
          <w:bCs w:val="0"/>
        </w:rPr>
        <w:t>年度</w:t>
      </w:r>
      <w:r>
        <w:rPr>
          <w:rStyle w:val="26"/>
          <w:rFonts w:hint="eastAsia" w:ascii="黑体" w:hAnsi="黑体" w:eastAsia="黑体"/>
          <w:b w:val="0"/>
          <w:bCs w:val="0"/>
          <w:lang w:val="en-US" w:eastAsia="zh-CN"/>
        </w:rPr>
        <w:t>单位</w:t>
      </w:r>
      <w:r>
        <w:rPr>
          <w:rStyle w:val="26"/>
          <w:rFonts w:hint="eastAsia" w:ascii="黑体" w:hAnsi="黑体" w:eastAsia="黑体"/>
          <w:b w:val="0"/>
          <w:bCs w:val="0"/>
        </w:rPr>
        <w:t>决算情况说明</w:t>
      </w:r>
      <w:bookmarkEnd w:id="16"/>
      <w:bookmarkEnd w:id="17"/>
    </w:p>
    <w:p/>
    <w:p>
      <w:pPr>
        <w:pStyle w:val="25"/>
        <w:numPr>
          <w:ilvl w:val="0"/>
          <w:numId w:val="1"/>
        </w:numPr>
        <w:spacing w:line="600" w:lineRule="exact"/>
        <w:ind w:firstLineChars="0"/>
        <w:outlineLvl w:val="1"/>
        <w:rPr>
          <w:rStyle w:val="27"/>
          <w:rFonts w:ascii="黑体" w:hAnsi="黑体" w:eastAsia="黑体"/>
          <w:b w:val="0"/>
        </w:rPr>
      </w:pPr>
      <w:bookmarkStart w:id="18" w:name="_Toc15396603"/>
      <w:bookmarkStart w:id="19"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color w:val="000000"/>
          <w:sz w:val="32"/>
          <w:szCs w:val="32"/>
          <w:lang w:eastAsia="zh-CN"/>
        </w:rPr>
      </w:pPr>
      <w:r>
        <w:rPr>
          <w:rFonts w:hint="eastAsia" w:ascii="仿宋_GB2312" w:hAnsi="Times New Roman" w:eastAsia="仿宋_GB2312" w:cs="Times New Roman"/>
          <w:kern w:val="2"/>
          <w:sz w:val="32"/>
          <w:szCs w:val="32"/>
          <w:highlight w:val="none"/>
          <w:lang w:val="en-US" w:eastAsia="zh-CN" w:bidi="ar-SA"/>
        </w:rPr>
        <w:t>2020年度收、支总计427.99万元。与2019年相比，收、支总计各</w:t>
      </w:r>
      <w:r>
        <w:rPr>
          <w:rFonts w:hint="default" w:ascii="仿宋_GB2312" w:hAnsi="Times New Roman" w:eastAsia="仿宋_GB2312" w:cs="Times New Roman"/>
          <w:kern w:val="2"/>
          <w:sz w:val="32"/>
          <w:szCs w:val="32"/>
          <w:highlight w:val="none"/>
          <w:lang w:val="en-US" w:eastAsia="zh-CN" w:bidi="ar-SA"/>
        </w:rPr>
        <w:t>减少</w:t>
      </w:r>
      <w:r>
        <w:rPr>
          <w:rFonts w:hint="eastAsia" w:ascii="仿宋_GB2312" w:hAnsi="Times New Roman" w:eastAsia="仿宋_GB2312" w:cs="Times New Roman"/>
          <w:kern w:val="2"/>
          <w:sz w:val="32"/>
          <w:szCs w:val="32"/>
          <w:highlight w:val="none"/>
          <w:lang w:val="en-US" w:eastAsia="zh-CN" w:bidi="ar-SA"/>
        </w:rPr>
        <w:t>41.39万元，</w:t>
      </w:r>
      <w:r>
        <w:rPr>
          <w:rFonts w:hint="default" w:ascii="仿宋_GB2312" w:hAnsi="Times New Roman" w:eastAsia="仿宋_GB2312" w:cs="Times New Roman"/>
          <w:kern w:val="2"/>
          <w:sz w:val="32"/>
          <w:szCs w:val="32"/>
          <w:highlight w:val="none"/>
          <w:lang w:val="en-US" w:eastAsia="zh-CN" w:bidi="ar-SA"/>
        </w:rPr>
        <w:t>下降</w:t>
      </w:r>
      <w:r>
        <w:rPr>
          <w:rFonts w:hint="eastAsia" w:ascii="仿宋_GB2312" w:hAnsi="Times New Roman" w:eastAsia="仿宋_GB2312" w:cs="Times New Roman"/>
          <w:kern w:val="2"/>
          <w:sz w:val="32"/>
          <w:szCs w:val="32"/>
          <w:highlight w:val="none"/>
          <w:lang w:val="en-US" w:eastAsia="zh-CN" w:bidi="ar-SA"/>
        </w:rPr>
        <w:t>8.8%。主要变动原因一是</w:t>
      </w:r>
      <w:r>
        <w:rPr>
          <w:rFonts w:hint="default" w:ascii="仿宋_GB2312" w:hAnsi="Times New Roman" w:eastAsia="仿宋_GB2312" w:cs="Times New Roman"/>
          <w:kern w:val="2"/>
          <w:sz w:val="32"/>
          <w:szCs w:val="32"/>
          <w:highlight w:val="none"/>
          <w:lang w:val="en-US" w:eastAsia="zh-CN" w:bidi="ar-SA"/>
        </w:rPr>
        <w:t>按照疫情防控要求，压减一般性支出</w:t>
      </w:r>
      <w:r>
        <w:rPr>
          <w:rFonts w:hint="eastAsia" w:ascii="仿宋_GB2312" w:hAnsi="Times New Roman" w:eastAsia="仿宋_GB2312" w:cs="Times New Roman"/>
          <w:kern w:val="2"/>
          <w:sz w:val="32"/>
          <w:szCs w:val="32"/>
          <w:highlight w:val="none"/>
          <w:lang w:val="en-US" w:eastAsia="zh-CN" w:bidi="ar-SA"/>
        </w:rPr>
        <w:t>；二是受新冠疫情影响，神学主日捐款减少，学生生活费等支出减少。</w:t>
      </w:r>
    </w:p>
    <w:p>
      <w:pPr>
        <w:spacing w:line="600" w:lineRule="exact"/>
        <w:ind w:firstLine="640" w:firstLineChars="200"/>
        <w:jc w:val="left"/>
        <w:rPr>
          <w:rFonts w:ascii="仿宋_GB2312" w:eastAsia="仿宋_GB2312"/>
          <w:color w:val="000000"/>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-120650</wp:posOffset>
            </wp:positionH>
            <wp:positionV relativeFrom="paragraph">
              <wp:posOffset>83820</wp:posOffset>
            </wp:positionV>
            <wp:extent cx="5510530" cy="2880995"/>
            <wp:effectExtent l="5080" t="4445" r="8890" b="1016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numPr>
          <w:ilvl w:val="0"/>
          <w:numId w:val="1"/>
        </w:numPr>
        <w:spacing w:line="600" w:lineRule="exact"/>
        <w:ind w:firstLineChars="0"/>
        <w:outlineLvl w:val="1"/>
        <w:rPr>
          <w:rStyle w:val="27"/>
          <w:rFonts w:ascii="黑体" w:hAnsi="黑体" w:eastAsia="黑体"/>
          <w:b w:val="0"/>
        </w:rPr>
      </w:pPr>
      <w:bookmarkStart w:id="20" w:name="_Toc15396604"/>
      <w:bookmarkStart w:id="21"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0"/>
      <w:bookmarkEnd w:id="21"/>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2020年本年收入合计348.74万元，其中：一般公共预算财政拨款收入209.99万元，占60.2%；政府性基金预算财政拨款收入0万元，占0%；上级补助收入64.74万元，占18.6%；事业收入0万元，占0%；经营收入0万元，占0%；附属单位上缴收入0万元，占0%；其他收入74.01万元，占21.2%。</w:t>
      </w:r>
    </w:p>
    <w:p>
      <w:pPr>
        <w:spacing w:line="600" w:lineRule="exact"/>
        <w:rPr>
          <w:rFonts w:hint="eastAsia" w:ascii="黑体" w:hAnsi="黑体" w:eastAsia="黑体"/>
          <w:color w:val="000000"/>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-206375</wp:posOffset>
            </wp:positionV>
            <wp:extent cx="5127625" cy="3039745"/>
            <wp:effectExtent l="4445" t="4445" r="11430" b="2286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numPr>
          <w:ilvl w:val="0"/>
          <w:numId w:val="1"/>
        </w:numPr>
        <w:spacing w:line="600" w:lineRule="exact"/>
        <w:ind w:left="1360" w:leftChars="0" w:hanging="720" w:firstLineChars="0"/>
        <w:rPr>
          <w:rStyle w:val="27"/>
          <w:rFonts w:ascii="黑体" w:hAnsi="黑体" w:eastAsia="黑体"/>
          <w:b w:val="0"/>
        </w:rPr>
      </w:pPr>
      <w:bookmarkStart w:id="22" w:name="_Toc15396605"/>
      <w:bookmarkStart w:id="23"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2"/>
      <w:bookmarkEnd w:id="23"/>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144145</wp:posOffset>
            </wp:positionH>
            <wp:positionV relativeFrom="paragraph">
              <wp:posOffset>1659890</wp:posOffset>
            </wp:positionV>
            <wp:extent cx="5127625" cy="3039745"/>
            <wp:effectExtent l="4445" t="4445" r="11430" b="2286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imes New Roman" w:eastAsia="仿宋_GB2312" w:cs="Times New Roman"/>
          <w:kern w:val="2"/>
          <w:sz w:val="32"/>
          <w:szCs w:val="32"/>
          <w:highlight w:val="none"/>
          <w:lang w:val="en-US" w:eastAsia="zh-CN" w:bidi="ar-SA"/>
        </w:rPr>
        <w:t>2020年本年支出合计351.42万元，其中：基本支出136.46万元，占39%；项目支出214.96万元，占61%；上缴上级支出0万元，占0%；经营支出0万元，占0%；对附属单位补助支出0万元，占0%。</w:t>
      </w:r>
    </w:p>
    <w:p>
      <w:pPr>
        <w:spacing w:line="600" w:lineRule="exact"/>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24" w:name="_Toc15377208"/>
      <w:bookmarkStart w:id="25"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4"/>
      <w:bookmarkEnd w:id="25"/>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2020年财政拨款收、支总计209.99万元。与2019年相比，财政拨款收、支总计各减少44.32万元，下降17.43%。主要变动原因</w:t>
      </w:r>
      <w:r>
        <w:rPr>
          <w:rFonts w:hint="default" w:ascii="仿宋_GB2312" w:hAnsi="Times New Roman" w:eastAsia="仿宋_GB2312" w:cs="Times New Roman"/>
          <w:kern w:val="2"/>
          <w:sz w:val="32"/>
          <w:szCs w:val="32"/>
          <w:highlight w:val="none"/>
          <w:lang w:val="en-US" w:eastAsia="zh-CN" w:bidi="ar-SA"/>
        </w:rPr>
        <w:t>一是按照疫情防控要求，压减一般性支出；二是</w:t>
      </w:r>
      <w:r>
        <w:rPr>
          <w:rFonts w:hint="eastAsia" w:ascii="仿宋_GB2312" w:hAnsi="Times New Roman" w:eastAsia="仿宋_GB2312" w:cs="Times New Roman"/>
          <w:kern w:val="2"/>
          <w:sz w:val="32"/>
          <w:szCs w:val="32"/>
          <w:highlight w:val="none"/>
          <w:lang w:val="en-US" w:eastAsia="zh-CN" w:bidi="ar-SA"/>
        </w:rPr>
        <w:t>专项维修等</w:t>
      </w:r>
      <w:r>
        <w:rPr>
          <w:rFonts w:hint="default" w:ascii="仿宋_GB2312" w:hAnsi="Times New Roman" w:eastAsia="仿宋_GB2312" w:cs="Times New Roman"/>
          <w:kern w:val="2"/>
          <w:sz w:val="32"/>
          <w:szCs w:val="32"/>
          <w:highlight w:val="none"/>
          <w:lang w:val="en-US" w:eastAsia="zh-CN" w:bidi="ar-SA"/>
        </w:rPr>
        <w:t>支出减少。</w:t>
      </w:r>
    </w:p>
    <w:p>
      <w:pPr>
        <w:spacing w:line="600" w:lineRule="exact"/>
      </w:pP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69850</wp:posOffset>
            </wp:positionH>
            <wp:positionV relativeFrom="paragraph">
              <wp:posOffset>64770</wp:posOffset>
            </wp:positionV>
            <wp:extent cx="5221605" cy="3645535"/>
            <wp:effectExtent l="4445" t="4445" r="12700" b="762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7"/>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rPr>
          <w:rFonts w:hint="default" w:ascii="Times New Roman" w:hAnsi="Times New Roman" w:eastAsia="仿宋_GB2312" w:cs="Times New Roman"/>
          <w:color w:val="auto"/>
          <w:sz w:val="32"/>
          <w:szCs w:val="32"/>
          <w:lang w:val="en-US" w:eastAsia="zh-CN"/>
        </w:rPr>
      </w:pPr>
      <w:r>
        <w:rPr>
          <w:rFonts w:hint="eastAsia" w:ascii="仿宋_GB2312" w:hAnsi="Times New Roman" w:eastAsia="仿宋_GB2312" w:cs="Times New Roman"/>
          <w:kern w:val="2"/>
          <w:sz w:val="32"/>
          <w:szCs w:val="32"/>
          <w:highlight w:val="none"/>
          <w:lang w:val="en-US" w:eastAsia="zh-CN" w:bidi="ar-SA"/>
        </w:rPr>
        <w:t>2020年一般公共预算财政拨款支出209.99万元，占本年支出合计的60%。与2019年相比，一般公共预算财政拨款减少44.32万元，下降17.43%。主要变动原因</w:t>
      </w:r>
      <w:r>
        <w:rPr>
          <w:rFonts w:hint="default" w:ascii="仿宋_GB2312" w:hAnsi="Times New Roman" w:eastAsia="仿宋_GB2312" w:cs="Times New Roman"/>
          <w:kern w:val="2"/>
          <w:sz w:val="32"/>
          <w:szCs w:val="32"/>
          <w:highlight w:val="none"/>
          <w:lang w:val="en-US" w:eastAsia="zh-CN" w:bidi="ar-SA"/>
        </w:rPr>
        <w:t>一是按照疫情防控要求，压减一般性支出；二是</w:t>
      </w:r>
      <w:r>
        <w:rPr>
          <w:rFonts w:hint="eastAsia" w:ascii="仿宋_GB2312" w:hAnsi="Times New Roman" w:eastAsia="仿宋_GB2312" w:cs="Times New Roman"/>
          <w:kern w:val="2"/>
          <w:sz w:val="32"/>
          <w:szCs w:val="32"/>
          <w:highlight w:val="none"/>
          <w:lang w:val="en-US" w:eastAsia="zh-CN" w:bidi="ar-SA"/>
        </w:rPr>
        <w:t>专项维修等</w:t>
      </w:r>
      <w:r>
        <w:rPr>
          <w:rFonts w:hint="default" w:ascii="仿宋_GB2312" w:hAnsi="Times New Roman" w:eastAsia="仿宋_GB2312" w:cs="Times New Roman"/>
          <w:kern w:val="2"/>
          <w:sz w:val="32"/>
          <w:szCs w:val="32"/>
          <w:highlight w:val="none"/>
          <w:lang w:val="en-US" w:eastAsia="zh-CN" w:bidi="ar-SA"/>
        </w:rPr>
        <w:t>支出减少。</w:t>
      </w:r>
    </w:p>
    <w:p>
      <w:pPr>
        <w:pStyle w:val="2"/>
        <w:rPr>
          <w:rFonts w:hint="default" w:ascii="Times New Roman" w:hAnsi="Times New Roman" w:eastAsia="仿宋_GB2312" w:cs="Times New Roman"/>
          <w:color w:val="auto"/>
          <w:sz w:val="32"/>
          <w:szCs w:val="32"/>
          <w:lang w:val="en-US" w:eastAsia="zh-CN"/>
        </w:rPr>
      </w:pPr>
    </w:p>
    <w:p>
      <w:r>
        <w:rPr>
          <w:rFonts w:hint="default" w:ascii="Times New Roman" w:hAnsi="Times New Roman" w:eastAsia="仿宋"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70485</wp:posOffset>
            </wp:positionH>
            <wp:positionV relativeFrom="paragraph">
              <wp:posOffset>86360</wp:posOffset>
            </wp:positionV>
            <wp:extent cx="5250815" cy="2649220"/>
            <wp:effectExtent l="4445" t="4445" r="21590" b="133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158750</wp:posOffset>
            </wp:positionH>
            <wp:positionV relativeFrom="paragraph">
              <wp:posOffset>2678430</wp:posOffset>
            </wp:positionV>
            <wp:extent cx="5178425" cy="2859405"/>
            <wp:effectExtent l="4445" t="4445" r="17780" b="1270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209.99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175.42万元，占</w:t>
      </w:r>
      <w:r>
        <w:rPr>
          <w:rFonts w:hint="eastAsia" w:ascii="仿宋" w:hAnsi="仿宋" w:eastAsia="仿宋"/>
          <w:color w:val="000000" w:themeColor="text1"/>
          <w:sz w:val="32"/>
          <w:szCs w:val="32"/>
          <w:lang w:val="en-US" w:eastAsia="zh-CN"/>
          <w14:textFill>
            <w14:solidFill>
              <w14:schemeClr w14:val="tx1"/>
            </w14:solidFill>
          </w14:textFill>
        </w:rPr>
        <w:t>83.5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支出14.46万元，占</w:t>
      </w:r>
      <w:r>
        <w:rPr>
          <w:rFonts w:hint="eastAsia" w:ascii="仿宋" w:hAnsi="仿宋" w:eastAsia="仿宋"/>
          <w:color w:val="000000" w:themeColor="text1"/>
          <w:sz w:val="32"/>
          <w:szCs w:val="32"/>
          <w:lang w:val="en-US" w:eastAsia="zh-CN"/>
          <w14:textFill>
            <w14:solidFill>
              <w14:schemeClr w14:val="tx1"/>
            </w14:solidFill>
          </w14:textFill>
        </w:rPr>
        <w:t>6.9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4.33万元，占</w:t>
      </w:r>
      <w:r>
        <w:rPr>
          <w:rFonts w:hint="eastAsia" w:ascii="仿宋" w:hAnsi="仿宋" w:eastAsia="仿宋"/>
          <w:color w:val="000000" w:themeColor="text1"/>
          <w:sz w:val="32"/>
          <w:szCs w:val="32"/>
          <w:lang w:val="en-US" w:eastAsia="zh-CN"/>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；住房保障支出15.78万元，占</w:t>
      </w:r>
      <w:r>
        <w:rPr>
          <w:rFonts w:hint="eastAsia" w:ascii="仿宋" w:hAnsi="仿宋" w:eastAsia="仿宋"/>
          <w:color w:val="000000" w:themeColor="text1"/>
          <w:sz w:val="32"/>
          <w:szCs w:val="32"/>
          <w:lang w:val="en-US" w:eastAsia="zh-CN"/>
          <w14:textFill>
            <w14:solidFill>
              <w14:schemeClr w14:val="tx1"/>
            </w14:solidFill>
          </w14:textFill>
        </w:rPr>
        <w:t>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321" w:firstLineChars="1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FF0000"/>
          <w:sz w:val="32"/>
          <w:szCs w:val="32"/>
        </w:rPr>
      </w:pPr>
      <w:bookmarkStart w:id="31" w:name="_Toc15377444"/>
      <w:bookmarkStart w:id="32" w:name="_Toc15377213"/>
      <w:bookmarkStart w:id="33" w:name="_Toc15378460"/>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209.99</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1"/>
      <w:bookmarkEnd w:id="32"/>
      <w:bookmarkEnd w:id="33"/>
    </w:p>
    <w:p>
      <w:pPr>
        <w:spacing w:line="600" w:lineRule="exact"/>
        <w:ind w:firstLine="643" w:firstLineChars="200"/>
        <w:rPr>
          <w:rFonts w:hint="eastAsia" w:ascii="仿宋_GB2312" w:hAnsi="Times New Roman" w:eastAsia="仿宋_GB2312" w:cs="Times New Roman"/>
          <w:kern w:val="2"/>
          <w:sz w:val="32"/>
          <w:szCs w:val="32"/>
          <w:highlight w:val="none"/>
          <w:lang w:val="en-US" w:eastAsia="zh-CN" w:bidi="ar-SA"/>
        </w:rPr>
      </w:pPr>
      <w:r>
        <w:rPr>
          <w:rStyle w:val="16"/>
          <w:rFonts w:ascii="仿宋" w:hAnsi="仿宋" w:eastAsia="仿宋"/>
          <w:bCs/>
          <w:color w:val="000000"/>
          <w:sz w:val="32"/>
          <w:szCs w:val="32"/>
        </w:rPr>
        <w:t>1.</w:t>
      </w:r>
      <w:r>
        <w:rPr>
          <w:rStyle w:val="16"/>
          <w:rFonts w:hint="default" w:ascii="仿宋" w:hAnsi="仿宋" w:eastAsia="仿宋" w:cs="Times New Roman"/>
          <w:bCs/>
          <w:color w:val="000000"/>
          <w:sz w:val="32"/>
          <w:szCs w:val="32"/>
        </w:rPr>
        <w:t>教育</w:t>
      </w:r>
      <w:r>
        <w:rPr>
          <w:rStyle w:val="16"/>
          <w:rFonts w:hint="default" w:ascii="仿宋" w:hAnsi="仿宋" w:eastAsia="仿宋" w:cs="Times New Roman"/>
          <w:bCs/>
          <w:color w:val="000000"/>
          <w:sz w:val="32"/>
          <w:szCs w:val="32"/>
          <w:lang w:eastAsia="zh-CN"/>
        </w:rPr>
        <w:t>支出</w:t>
      </w:r>
      <w:r>
        <w:rPr>
          <w:rStyle w:val="16"/>
          <w:rFonts w:hint="default" w:ascii="仿宋" w:hAnsi="仿宋" w:eastAsia="仿宋" w:cs="Times New Roman"/>
          <w:bCs/>
          <w:color w:val="000000"/>
          <w:sz w:val="32"/>
          <w:szCs w:val="32"/>
        </w:rPr>
        <w:t>（类）进修及培训（款）培训支出（项）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Fonts w:hint="eastAsia" w:ascii="仿宋_GB2312" w:hAnsi="Times New Roman" w:eastAsia="仿宋_GB2312" w:cs="Times New Roman"/>
          <w:kern w:val="2"/>
          <w:sz w:val="32"/>
          <w:szCs w:val="32"/>
          <w:highlight w:val="none"/>
          <w:lang w:val="en-US" w:eastAsia="zh-CN" w:bidi="ar-SA"/>
        </w:rPr>
        <w:t>支出决算为0万元，完成预算0%，决算数小于预算数的主要原因是受</w:t>
      </w:r>
      <w:r>
        <w:rPr>
          <w:rFonts w:hint="default" w:ascii="仿宋_GB2312" w:hAnsi="Times New Roman" w:eastAsia="仿宋_GB2312" w:cs="Times New Roman"/>
          <w:kern w:val="2"/>
          <w:sz w:val="32"/>
          <w:szCs w:val="32"/>
          <w:highlight w:val="none"/>
          <w:lang w:val="en-US" w:eastAsia="zh-CN" w:bidi="ar-SA"/>
        </w:rPr>
        <w:t>新冠肺炎疫情</w:t>
      </w:r>
      <w:r>
        <w:rPr>
          <w:rFonts w:hint="eastAsia" w:ascii="仿宋_GB2312" w:hAnsi="Times New Roman" w:eastAsia="仿宋_GB2312" w:cs="Times New Roman"/>
          <w:kern w:val="2"/>
          <w:sz w:val="32"/>
          <w:szCs w:val="32"/>
          <w:highlight w:val="none"/>
          <w:lang w:val="en-US" w:eastAsia="zh-CN" w:bidi="ar-SA"/>
        </w:rPr>
        <w:t>影响无法开展与参加培训活动。</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default" w:ascii="仿宋" w:hAnsi="仿宋" w:eastAsia="仿宋" w:cs="Times New Roman"/>
          <w:bCs/>
          <w:color w:val="000000"/>
          <w:sz w:val="32"/>
          <w:szCs w:val="32"/>
        </w:rPr>
        <w:t>教育</w:t>
      </w:r>
      <w:r>
        <w:rPr>
          <w:rStyle w:val="16"/>
          <w:rFonts w:hint="default" w:ascii="仿宋" w:hAnsi="仿宋" w:eastAsia="仿宋" w:cs="Times New Roman"/>
          <w:bCs/>
          <w:color w:val="000000"/>
          <w:sz w:val="32"/>
          <w:szCs w:val="32"/>
          <w:lang w:eastAsia="zh-CN"/>
        </w:rPr>
        <w:t>支出</w:t>
      </w:r>
      <w:r>
        <w:rPr>
          <w:rStyle w:val="16"/>
          <w:rFonts w:hint="default" w:ascii="仿宋" w:hAnsi="仿宋" w:eastAsia="仿宋" w:cs="Times New Roman"/>
          <w:bCs/>
          <w:color w:val="000000"/>
          <w:sz w:val="32"/>
          <w:szCs w:val="32"/>
        </w:rPr>
        <w:t>（类）其他教育支出（款）其他教育支出（项）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支出决算为175.42万元，完成预算</w:t>
      </w:r>
      <w:r>
        <w:rPr>
          <w:rStyle w:val="16"/>
          <w:rFonts w:hint="eastAsia" w:ascii="仿宋" w:hAnsi="仿宋" w:eastAsia="仿宋"/>
          <w:b w:val="0"/>
          <w:bCs/>
          <w:color w:val="000000"/>
          <w:sz w:val="32"/>
          <w:szCs w:val="32"/>
          <w:lang w:val="en-US" w:eastAsia="zh-CN"/>
        </w:rPr>
        <w:t>85.94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小</w:t>
      </w:r>
      <w:r>
        <w:rPr>
          <w:rStyle w:val="16"/>
          <w:rFonts w:hint="eastAsia" w:ascii="仿宋" w:hAnsi="仿宋" w:eastAsia="仿宋"/>
          <w:b w:val="0"/>
          <w:bCs/>
          <w:color w:val="000000"/>
          <w:sz w:val="32"/>
          <w:szCs w:val="32"/>
        </w:rPr>
        <w:t>于预算数的主要原因是</w:t>
      </w:r>
      <w:r>
        <w:rPr>
          <w:rStyle w:val="16"/>
          <w:rFonts w:hint="default" w:ascii="Times New Roman" w:hAnsi="Times New Roman" w:eastAsia="仿宋_GB2312" w:cs="Times New Roman"/>
          <w:b w:val="0"/>
          <w:bCs/>
          <w:color w:val="auto"/>
          <w:sz w:val="32"/>
          <w:szCs w:val="32"/>
          <w:lang w:val="en-US" w:eastAsia="zh-CN"/>
        </w:rPr>
        <w:t>部分</w:t>
      </w:r>
      <w:r>
        <w:rPr>
          <w:rStyle w:val="16"/>
          <w:rFonts w:hint="default" w:ascii="Times New Roman" w:hAnsi="Times New Roman" w:eastAsia="仿宋_GB2312" w:cs="Times New Roman"/>
          <w:b w:val="0"/>
          <w:bCs/>
          <w:color w:val="auto"/>
          <w:sz w:val="32"/>
          <w:szCs w:val="32"/>
          <w:lang w:eastAsia="zh-CN"/>
        </w:rPr>
        <w:t>工作因</w:t>
      </w:r>
      <w:r>
        <w:rPr>
          <w:rStyle w:val="16"/>
          <w:rFonts w:hint="default" w:ascii="Times New Roman" w:hAnsi="Times New Roman" w:eastAsia="仿宋_GB2312" w:cs="Times New Roman"/>
          <w:b w:val="0"/>
          <w:bCs/>
          <w:color w:val="auto"/>
          <w:sz w:val="32"/>
          <w:szCs w:val="32"/>
          <w:lang w:val="en-US" w:eastAsia="zh-CN"/>
        </w:rPr>
        <w:t>新冠肺炎疫情</w:t>
      </w:r>
      <w:r>
        <w:rPr>
          <w:rStyle w:val="16"/>
          <w:rFonts w:hint="default" w:ascii="Times New Roman" w:hAnsi="Times New Roman" w:eastAsia="仿宋_GB2312" w:cs="Times New Roman"/>
          <w:b w:val="0"/>
          <w:bCs/>
          <w:color w:val="auto"/>
          <w:sz w:val="32"/>
          <w:szCs w:val="32"/>
          <w:lang w:eastAsia="zh-CN"/>
        </w:rPr>
        <w:t>原因未开展</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default" w:ascii="仿宋" w:hAnsi="仿宋" w:eastAsia="仿宋" w:cs="Times New Roman"/>
          <w:bCs/>
          <w:color w:val="000000"/>
          <w:sz w:val="32"/>
          <w:szCs w:val="32"/>
        </w:rPr>
        <w:t>社会保障和就业支出（类）行政事业单位</w:t>
      </w:r>
      <w:r>
        <w:rPr>
          <w:rStyle w:val="16"/>
          <w:rFonts w:hint="default" w:ascii="仿宋" w:hAnsi="仿宋" w:eastAsia="仿宋" w:cs="Times New Roman"/>
          <w:bCs/>
          <w:color w:val="000000"/>
          <w:sz w:val="32"/>
          <w:szCs w:val="32"/>
          <w:lang w:val="en-US" w:eastAsia="zh-CN"/>
        </w:rPr>
        <w:t>养老支出</w:t>
      </w:r>
      <w:r>
        <w:rPr>
          <w:rStyle w:val="16"/>
          <w:rFonts w:hint="default" w:ascii="仿宋" w:hAnsi="仿宋" w:eastAsia="仿宋" w:cs="Times New Roman"/>
          <w:bCs/>
          <w:color w:val="000000"/>
          <w:sz w:val="32"/>
          <w:szCs w:val="32"/>
        </w:rPr>
        <w:t>（款）机关事业单位基本养老保险缴费支出（项）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9.28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default" w:ascii="仿宋" w:hAnsi="仿宋" w:eastAsia="仿宋" w:cs="Times New Roman"/>
          <w:bCs/>
          <w:color w:val="000000"/>
          <w:sz w:val="32"/>
          <w:szCs w:val="32"/>
        </w:rPr>
        <w:t>社会保障和就业支出（类）行政事业单位</w:t>
      </w:r>
      <w:r>
        <w:rPr>
          <w:rStyle w:val="16"/>
          <w:rFonts w:hint="default" w:ascii="仿宋" w:hAnsi="仿宋" w:eastAsia="仿宋" w:cs="Times New Roman"/>
          <w:bCs/>
          <w:color w:val="000000"/>
          <w:sz w:val="32"/>
          <w:szCs w:val="32"/>
          <w:lang w:val="en-US" w:eastAsia="zh-CN"/>
        </w:rPr>
        <w:t>养老支出</w:t>
      </w:r>
      <w:r>
        <w:rPr>
          <w:rStyle w:val="16"/>
          <w:rFonts w:hint="default" w:ascii="仿宋" w:hAnsi="仿宋" w:eastAsia="仿宋" w:cs="Times New Roman"/>
          <w:bCs/>
          <w:color w:val="000000"/>
          <w:sz w:val="32"/>
          <w:szCs w:val="32"/>
        </w:rPr>
        <w:t>（款）机关事业单位职业年金缴费支出（项）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5.18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Style w:val="16"/>
          <w:rFonts w:hint="default" w:ascii="仿宋" w:hAnsi="仿宋" w:eastAsia="仿宋" w:cs="Times New Roman"/>
          <w:bCs/>
          <w:color w:val="000000"/>
          <w:sz w:val="32"/>
          <w:szCs w:val="32"/>
          <w:lang w:val="en-US" w:eastAsia="zh-CN"/>
        </w:rPr>
        <w:t>卫生健康</w:t>
      </w:r>
      <w:r>
        <w:rPr>
          <w:rStyle w:val="16"/>
          <w:rFonts w:hint="default" w:ascii="仿宋" w:hAnsi="仿宋" w:eastAsia="仿宋" w:cs="Times New Roman"/>
          <w:bCs/>
          <w:color w:val="000000"/>
          <w:sz w:val="32"/>
          <w:szCs w:val="32"/>
        </w:rPr>
        <w:t>支出（类）行政事业单位医疗（款）事业单位医疗（项）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4.33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ascii="仿宋" w:hAnsi="仿宋" w:eastAsia="仿宋"/>
          <w:bCs/>
          <w:color w:val="000000"/>
          <w:sz w:val="32"/>
          <w:szCs w:val="32"/>
        </w:rPr>
        <w:t>6.</w:t>
      </w:r>
      <w:r>
        <w:rPr>
          <w:rStyle w:val="16"/>
          <w:rFonts w:hint="default" w:ascii="仿宋" w:hAnsi="仿宋" w:eastAsia="仿宋" w:cs="Times New Roman"/>
          <w:bCs/>
          <w:color w:val="000000"/>
          <w:sz w:val="32"/>
          <w:szCs w:val="32"/>
          <w:lang w:val="en-US" w:eastAsia="zh-CN"/>
        </w:rPr>
        <w:t>住房保障支出（类）住房改革支出（款）住房公积金（项）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6.78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Style w:val="16"/>
          <w:rFonts w:hint="default" w:ascii="仿宋" w:hAnsi="仿宋" w:eastAsia="仿宋" w:cs="Times New Roman"/>
          <w:bCs/>
          <w:color w:val="000000"/>
          <w:sz w:val="32"/>
          <w:szCs w:val="32"/>
          <w:lang w:val="en-US" w:eastAsia="zh-CN"/>
        </w:rPr>
        <w:t>住房保障支出（类）住房改革支出（款）</w:t>
      </w:r>
      <w:r>
        <w:rPr>
          <w:rStyle w:val="16"/>
          <w:rFonts w:hint="eastAsia" w:ascii="仿宋" w:hAnsi="仿宋" w:eastAsia="仿宋" w:cs="Times New Roman"/>
          <w:bCs/>
          <w:color w:val="000000"/>
          <w:sz w:val="32"/>
          <w:szCs w:val="32"/>
          <w:lang w:val="en-US" w:eastAsia="zh-CN"/>
        </w:rPr>
        <w:t>购房补贴</w:t>
      </w:r>
      <w:r>
        <w:rPr>
          <w:rStyle w:val="16"/>
          <w:rFonts w:hint="default" w:ascii="仿宋" w:hAnsi="仿宋" w:eastAsia="仿宋" w:cs="Times New Roman"/>
          <w:bCs/>
          <w:color w:val="000000"/>
          <w:sz w:val="32"/>
          <w:szCs w:val="32"/>
          <w:lang w:val="en-US" w:eastAsia="zh-CN"/>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rPr>
          <w:b/>
          <w:bCs/>
        </w:rPr>
      </w:pPr>
    </w:p>
    <w:p>
      <w:pPr>
        <w:tabs>
          <w:tab w:val="right" w:pos="8306"/>
        </w:tabs>
        <w:spacing w:line="600" w:lineRule="exact"/>
        <w:ind w:firstLine="640"/>
        <w:outlineLvl w:val="1"/>
        <w:rPr>
          <w:rFonts w:hint="eastAsia" w:ascii="黑体" w:eastAsia="黑体"/>
          <w:color w:val="000000"/>
          <w:sz w:val="32"/>
          <w:szCs w:val="32"/>
        </w:rPr>
      </w:pPr>
      <w:bookmarkStart w:id="34" w:name="_Toc15396608"/>
      <w:bookmarkStart w:id="35" w:name="_Toc15377214"/>
    </w:p>
    <w:p>
      <w:pPr>
        <w:tabs>
          <w:tab w:val="right" w:pos="8306"/>
        </w:tabs>
        <w:spacing w:line="600" w:lineRule="exact"/>
        <w:ind w:firstLine="640"/>
        <w:outlineLvl w:val="1"/>
        <w:rPr>
          <w:rStyle w:val="2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2020年一般公共预算财政拨款基本支出136.46万元，其中：</w:t>
      </w:r>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人员经费100.03万元，主要包括：基本工资、绩效工资、津贴补贴、机关事业单位基本养老保险缴费、职业年金缴费、职工基本医疗保险缴费、其他社会保障缴费、住房公积金、奖励金等。</w:t>
      </w:r>
      <w:r>
        <w:rPr>
          <w:rFonts w:hint="eastAsia" w:ascii="仿宋_GB2312" w:hAnsi="Times New Roman" w:eastAsia="仿宋_GB2312" w:cs="Times New Roman"/>
          <w:kern w:val="2"/>
          <w:sz w:val="32"/>
          <w:szCs w:val="32"/>
          <w:highlight w:val="none"/>
          <w:lang w:val="en-US" w:eastAsia="zh-CN" w:bidi="ar-SA"/>
        </w:rPr>
        <w:br w:type="textWrapping"/>
      </w:r>
      <w:r>
        <w:rPr>
          <w:rFonts w:hint="eastAsia" w:ascii="仿宋_GB2312" w:hAnsi="Times New Roman" w:eastAsia="仿宋_GB2312" w:cs="Times New Roman"/>
          <w:kern w:val="2"/>
          <w:sz w:val="32"/>
          <w:szCs w:val="32"/>
          <w:highlight w:val="none"/>
          <w:lang w:val="en-US" w:eastAsia="zh-CN" w:bidi="ar-SA"/>
        </w:rPr>
        <w:t>　　日常公用经费36.43万元，主要包括：办公费、水费、电费、邮电费、物业管理费、差旅费、维修(护)费、公务接待费、工会经费、福利费、公务用车运行维护费、其他商品和服务支出等。</w:t>
      </w:r>
    </w:p>
    <w:p>
      <w:pPr>
        <w:spacing w:line="600" w:lineRule="exact"/>
        <w:ind w:firstLine="640"/>
        <w:outlineLvl w:val="1"/>
        <w:rPr>
          <w:rStyle w:val="27"/>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2020年“三公”经费财政拨款支出决算为1.71万元，完成预算48.86%，决算数小于预算数的主要原因</w:t>
      </w:r>
      <w:r>
        <w:rPr>
          <w:rFonts w:hint="default" w:ascii="仿宋_GB2312" w:hAnsi="Times New Roman" w:eastAsia="仿宋_GB2312" w:cs="Times New Roman"/>
          <w:kern w:val="2"/>
          <w:sz w:val="32"/>
          <w:szCs w:val="32"/>
          <w:highlight w:val="none"/>
          <w:lang w:val="en-US" w:eastAsia="zh-CN" w:bidi="ar-SA"/>
        </w:rPr>
        <w:t>一是受疫情影响出差减少，公务用车运行维护费减少；二是严格执行八项规定，压减公务接待费用。</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2020年“三公”经费财政拨款支出决算中，因公出国（境）费支出决算0万元，占0%；公务用车购置及运行维护费支出决算1.71万元，占100%；公务接待费支出决算0万元，占0%。具体情况如下：</w:t>
      </w:r>
    </w:p>
    <w:p>
      <w:pPr>
        <w:pStyle w:val="2"/>
        <w:rPr>
          <w:rFonts w:hint="eastAsia" w:ascii="仿宋" w:hAnsi="仿宋" w:eastAsia="仿宋"/>
          <w:color w:val="000000"/>
          <w:sz w:val="32"/>
          <w:szCs w:val="32"/>
        </w:rPr>
      </w:pPr>
    </w:p>
    <w:p>
      <w:pPr>
        <w:rPr>
          <w:rFonts w:ascii="仿宋_GB2312" w:eastAsia="仿宋_GB2312"/>
          <w:b/>
          <w:color w:val="000000"/>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5408" behindDoc="0" locked="0" layoutInCell="1" allowOverlap="1">
            <wp:simplePos x="0" y="0"/>
            <wp:positionH relativeFrom="column">
              <wp:posOffset>135890</wp:posOffset>
            </wp:positionH>
            <wp:positionV relativeFrom="paragraph">
              <wp:posOffset>13335</wp:posOffset>
            </wp:positionV>
            <wp:extent cx="5057775" cy="1867535"/>
            <wp:effectExtent l="4445" t="4445" r="508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Times New Roman" w:hAnsi="Times New Roman" w:eastAsia="仿宋" w:cs="Times New Roman"/>
          <w:color w:val="auto"/>
          <w:sz w:val="32"/>
          <w:szCs w:val="32"/>
          <w:lang w:val="en-US" w:eastAsia="zh-CN"/>
        </w:rPr>
        <w:t xml:space="preserve">   </w:t>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1.71</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68.4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0.64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27.2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default" w:ascii="Times New Roman" w:hAnsi="Times New Roman" w:eastAsia="仿宋_GB2312" w:cs="Times New Roman"/>
          <w:color w:val="auto"/>
          <w:sz w:val="32"/>
          <w:szCs w:val="32"/>
          <w:lang w:val="en-US" w:eastAsia="zh-CN"/>
        </w:rPr>
        <w:t>受疫情影响出差减少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公务用车运行维护费减少</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、商务车（小型客车）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1.71</w:t>
      </w:r>
      <w:r>
        <w:rPr>
          <w:rFonts w:hint="eastAsia" w:ascii="仿宋_GB2312" w:eastAsia="仿宋_GB2312"/>
          <w:color w:val="000000"/>
          <w:sz w:val="32"/>
          <w:szCs w:val="32"/>
        </w:rPr>
        <w:t>万元。主要用</w:t>
      </w:r>
      <w:r>
        <w:rPr>
          <w:rFonts w:hint="eastAsia" w:ascii="仿宋_GB2312" w:hAnsi="Times New Roman" w:eastAsia="仿宋_GB2312" w:cs="Times New Roman"/>
          <w:color w:val="000000"/>
          <w:sz w:val="32"/>
          <w:szCs w:val="32"/>
        </w:rPr>
        <w:t>于</w:t>
      </w:r>
      <w:r>
        <w:rPr>
          <w:rFonts w:hint="eastAsia" w:ascii="仿宋_GB2312" w:hAnsi="Times New Roman" w:eastAsia="仿宋_GB2312" w:cs="Times New Roman"/>
          <w:color w:val="000000"/>
          <w:sz w:val="32"/>
          <w:szCs w:val="32"/>
          <w:lang w:eastAsia="zh-CN"/>
        </w:rPr>
        <w:t>学院职工外出办理公务</w:t>
      </w:r>
      <w:r>
        <w:rPr>
          <w:rFonts w:hint="eastAsia" w:ascii="仿宋_GB2312" w:hAnsi="Times New Roman" w:eastAsia="仿宋_GB2312" w:cs="Times New Roman"/>
          <w:color w:val="000000"/>
          <w:sz w:val="32"/>
          <w:szCs w:val="32"/>
        </w:rPr>
        <w:t>等所需的公务用车燃料费、维修费、过路</w:t>
      </w:r>
      <w:r>
        <w:rPr>
          <w:rFonts w:hint="eastAsia" w:ascii="仿宋_GB2312" w:eastAsia="仿宋_GB2312"/>
          <w:color w:val="000000"/>
          <w:sz w:val="32"/>
          <w:szCs w:val="32"/>
        </w:rPr>
        <w:t>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w:t>
      </w:r>
      <w:r>
        <w:rPr>
          <w:rFonts w:hint="eastAsia" w:ascii="仿宋_GB2312" w:eastAsia="仿宋_GB2312"/>
          <w:b/>
          <w:color w:val="000000"/>
          <w:sz w:val="32"/>
          <w:szCs w:val="32"/>
          <w:lang w:val="en-US" w:eastAsia="zh-CN"/>
        </w:rPr>
        <w:t>无预算</w:t>
      </w:r>
      <w:r>
        <w:rPr>
          <w:rFonts w:hint="eastAsia" w:ascii="仿宋_GB2312" w:eastAsia="仿宋_GB2312"/>
          <w:b/>
          <w:color w:val="000000"/>
          <w:sz w:val="32"/>
          <w:szCs w:val="32"/>
        </w:rPr>
        <w:t>支出</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支出0.83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无预算支出的</w:t>
      </w:r>
      <w:r>
        <w:rPr>
          <w:rFonts w:hint="eastAsia" w:ascii="仿宋_GB2312" w:eastAsia="仿宋_GB2312"/>
          <w:color w:val="000000"/>
          <w:sz w:val="32"/>
          <w:szCs w:val="32"/>
        </w:rPr>
        <w:t>主要原因是</w:t>
      </w:r>
      <w:r>
        <w:rPr>
          <w:rFonts w:hint="default" w:ascii="Times New Roman" w:hAnsi="Times New Roman" w:eastAsia="仿宋_GB2312" w:cs="Times New Roman"/>
          <w:color w:val="auto"/>
          <w:sz w:val="32"/>
          <w:szCs w:val="32"/>
          <w:lang w:val="en-US" w:eastAsia="zh-CN"/>
        </w:rPr>
        <w:t>严格执行八项规定，</w:t>
      </w:r>
      <w:r>
        <w:rPr>
          <w:rFonts w:hint="eastAsia" w:ascii="Times New Roman" w:hAnsi="Times New Roman" w:eastAsia="仿宋_GB2312" w:cs="Times New Roman"/>
          <w:color w:val="auto"/>
          <w:sz w:val="32"/>
          <w:szCs w:val="32"/>
          <w:lang w:val="en-US" w:eastAsia="zh-CN"/>
        </w:rPr>
        <w:t>受新冠肺炎疫情影响，无</w:t>
      </w:r>
      <w:r>
        <w:rPr>
          <w:rFonts w:hint="default" w:ascii="Times New Roman" w:hAnsi="Times New Roman" w:eastAsia="仿宋_GB2312" w:cs="Times New Roman"/>
          <w:color w:val="auto"/>
          <w:sz w:val="32"/>
          <w:szCs w:val="32"/>
          <w:lang w:val="en-US" w:eastAsia="zh-CN"/>
        </w:rPr>
        <w:t>公务接待</w:t>
      </w:r>
      <w:r>
        <w:rPr>
          <w:rFonts w:hint="eastAsia" w:ascii="Times New Roman" w:hAnsi="Times New Roman" w:eastAsia="仿宋_GB2312" w:cs="Times New Roman"/>
          <w:color w:val="auto"/>
          <w:sz w:val="32"/>
          <w:szCs w:val="32"/>
          <w:lang w:val="en-US" w:eastAsia="zh-CN"/>
        </w:rPr>
        <w:t>活动</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outlineLvl w:val="1"/>
        <w:rPr>
          <w:rFonts w:ascii="黑体" w:eastAsia="黑体"/>
          <w:color w:val="000000"/>
          <w:sz w:val="32"/>
          <w:szCs w:val="32"/>
        </w:rPr>
      </w:pPr>
      <w:bookmarkStart w:id="40" w:name="_Toc15377218"/>
      <w:bookmarkStart w:id="41"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7"/>
          <w:rFonts w:ascii="黑体" w:hAnsi="黑体" w:eastAsia="黑体"/>
          <w:b w:val="0"/>
        </w:rPr>
      </w:pPr>
      <w:bookmarkStart w:id="42" w:name="_Toc15377219"/>
      <w:bookmarkStart w:id="43" w:name="_Toc15396611"/>
      <w:r>
        <w:rPr>
          <w:rStyle w:val="27"/>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7"/>
          <w:rFonts w:hint="eastAsia" w:ascii="黑体" w:hAnsi="黑体" w:eastAsia="黑体"/>
          <w:b w:val="0"/>
        </w:rPr>
      </w:pPr>
      <w:bookmarkStart w:id="44" w:name="_Toc15396612"/>
      <w:bookmarkStart w:id="45" w:name="_Toc15377221"/>
      <w:r>
        <w:rPr>
          <w:rStyle w:val="27"/>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hAnsi="Times New Roman" w:eastAsia="仿宋_GB2312" w:cs="Times New Roman"/>
          <w:color w:val="000000"/>
          <w:sz w:val="32"/>
          <w:szCs w:val="32"/>
          <w:lang w:eastAsia="zh-CN"/>
        </w:rPr>
        <w:t>四川神学院</w:t>
      </w:r>
      <w:r>
        <w:rPr>
          <w:rFonts w:hint="eastAsia" w:ascii="仿宋_GB2312" w:hAnsi="Times New Roman" w:eastAsia="仿宋_GB2312" w:cs="Times New Roman"/>
          <w:color w:val="000000"/>
          <w:sz w:val="32"/>
          <w:szCs w:val="32"/>
        </w:rPr>
        <w:t>为事业单位，按规定未使用机关运行的相关科目。</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2020年，四川神学院政府采购支出总额1.71万元，其中：政府采购货物支出0万元、政府采购工程支出0万元、政府采购服务支出1.71万元。主要用于公务用车燃料费、维修费、过路过桥费、保险费等支出。授予中小企业合同金额0.8万元，占政府采购支出总额的46.8%，其中：授予小微企业合同金额0.8万元，占政府采购支出总额的46.8%。</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Times New Roman" w:eastAsia="仿宋_GB2312" w:cs="Times New Roman"/>
          <w:color w:val="000000"/>
          <w:sz w:val="32"/>
          <w:szCs w:val="32"/>
          <w:lang w:eastAsia="zh-CN"/>
        </w:rPr>
        <w:t>四川神学院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hAnsi="Times New Roman" w:eastAsia="仿宋_GB2312" w:cs="Times New Roman"/>
          <w:color w:val="000000"/>
          <w:sz w:val="32"/>
          <w:szCs w:val="32"/>
          <w:lang w:eastAsia="zh-CN"/>
        </w:rPr>
        <w:t>学院职工外出办理公务。</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Times New Roman" w:eastAsia="仿宋_GB2312" w:cs="Times New Roman"/>
          <w:kern w:val="2"/>
          <w:sz w:val="32"/>
          <w:szCs w:val="32"/>
          <w:highlight w:val="none"/>
          <w:lang w:val="en-US" w:eastAsia="zh-CN" w:bidi="ar-SA"/>
        </w:rPr>
        <w:t>本单位按要求对2020年整体支出开展绩效自评，</w:t>
      </w:r>
      <w:r>
        <w:rPr>
          <w:rFonts w:hint="default" w:ascii="仿宋_GB2312" w:hAnsi="Times New Roman" w:eastAsia="仿宋_GB2312" w:cs="Times New Roman"/>
          <w:kern w:val="2"/>
          <w:sz w:val="32"/>
          <w:szCs w:val="32"/>
          <w:highlight w:val="none"/>
          <w:lang w:val="en-US" w:eastAsia="zh-CN" w:bidi="ar-SA"/>
        </w:rPr>
        <w:t>从评价情况来看绩效目标要素相对完整，指标较为细化、量化；绩效目标实际程度与预期目标的总体偏移度不是太大，实际完成情况还是达到了预期绩效目标；年初预算编制较准确。本部门还自行组织了</w:t>
      </w:r>
      <w:r>
        <w:rPr>
          <w:rFonts w:hint="eastAsia" w:ascii="仿宋_GB2312" w:hAnsi="Times New Roman" w:eastAsia="仿宋_GB2312" w:cs="Times New Roman"/>
          <w:kern w:val="2"/>
          <w:sz w:val="32"/>
          <w:szCs w:val="32"/>
          <w:highlight w:val="none"/>
          <w:lang w:val="en-US" w:eastAsia="zh-CN" w:bidi="ar-SA"/>
        </w:rPr>
        <w:t>1</w:t>
      </w:r>
      <w:r>
        <w:rPr>
          <w:rFonts w:hint="default" w:ascii="仿宋_GB2312" w:hAnsi="Times New Roman" w:eastAsia="仿宋_GB2312" w:cs="Times New Roman"/>
          <w:kern w:val="2"/>
          <w:sz w:val="32"/>
          <w:szCs w:val="32"/>
          <w:highlight w:val="none"/>
          <w:lang w:val="en-US" w:eastAsia="zh-CN" w:bidi="ar-SA"/>
        </w:rPr>
        <w:t>个项目支出绩效评价，从评价情况来看绩效目标总体实现程度良好，充分发挥了财政资金的使用绩效。</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pacing w:line="58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本单位自行组织对校园专项维修项目开展了绩效评价，《2020年院校维修费项目支出绩效自评报告》见附件（第四部分）。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49" w:name="_Toc15396613"/>
      <w:bookmarkStart w:id="50"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bookmarkStart w:id="51" w:name="_Toc15377226"/>
      <w:r>
        <w:rPr>
          <w:rFonts w:hint="default" w:ascii="仿宋_GB2312" w:hAnsi="Times New Roman" w:eastAsia="仿宋_GB2312" w:cs="Times New Roman"/>
          <w:kern w:val="2"/>
          <w:sz w:val="32"/>
          <w:szCs w:val="32"/>
          <w:highlight w:val="none"/>
          <w:lang w:val="en-US" w:eastAsia="zh-CN" w:bidi="ar-SA"/>
        </w:rPr>
        <w:t>1.财政拨款收入：指单位从同级财政部门取得的财政预算资金。</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2.事业收入：指事业单位开展专业业务活动及辅助活动取得的收入。</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 xml:space="preserve">3.其他收入：指单位取得的除上述收入以外的各项收入。主要是从国家宗教局取得的上级补助收入等。 </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 xml:space="preserve">4.结转和结余：指以前年度尚未完成、结转到本年按有关规定继续使用的资金。 </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5</w:t>
      </w:r>
      <w:r>
        <w:rPr>
          <w:rFonts w:hint="default" w:ascii="仿宋_GB2312" w:hAnsi="Times New Roman" w:eastAsia="仿宋_GB2312" w:cs="Times New Roman"/>
          <w:kern w:val="2"/>
          <w:sz w:val="32"/>
          <w:szCs w:val="32"/>
          <w:highlight w:val="none"/>
          <w:lang w:val="en-US" w:eastAsia="zh-CN" w:bidi="ar-SA"/>
        </w:rPr>
        <w:t>.教育支出（类）进修及培训（款）培训支出（项）：反映各部门安排的用于培训的支出。教育部门的师资培训，党校、行政学院等专业干部教育机构的支出，以及退役士兵、转业士官的培训支出，不在本科目反映。</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6</w:t>
      </w:r>
      <w:r>
        <w:rPr>
          <w:rFonts w:hint="default" w:ascii="仿宋_GB2312" w:hAnsi="Times New Roman" w:eastAsia="仿宋_GB2312" w:cs="Times New Roman"/>
          <w:kern w:val="2"/>
          <w:sz w:val="32"/>
          <w:szCs w:val="32"/>
          <w:highlight w:val="none"/>
          <w:lang w:val="en-US" w:eastAsia="zh-CN" w:bidi="ar-SA"/>
        </w:rPr>
        <w:t>.教育支出（类）其他教育支出（款）其他教育支出（项）：反映其他用于教育方面的支出。</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7</w:t>
      </w:r>
      <w:r>
        <w:rPr>
          <w:rFonts w:hint="default" w:ascii="仿宋_GB2312" w:hAnsi="Times New Roman" w:eastAsia="仿宋_GB2312" w:cs="Times New Roman"/>
          <w:kern w:val="2"/>
          <w:sz w:val="32"/>
          <w:szCs w:val="32"/>
          <w:highlight w:val="none"/>
          <w:lang w:val="en-US" w:eastAsia="zh-CN" w:bidi="ar-SA"/>
        </w:rPr>
        <w:t>.社会保障和就业支出（类）行政事业单位养老支出（款）机关事业单位基本养老保险缴费支出（项）：反映机关事业单位实施养老保险制度由单位缴纳的基本养老保险费支出。</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8</w:t>
      </w:r>
      <w:r>
        <w:rPr>
          <w:rFonts w:hint="default" w:ascii="仿宋_GB2312" w:hAnsi="Times New Roman" w:eastAsia="仿宋_GB2312" w:cs="Times New Roman"/>
          <w:kern w:val="2"/>
          <w:sz w:val="32"/>
          <w:szCs w:val="32"/>
          <w:highlight w:val="none"/>
          <w:lang w:val="en-US" w:eastAsia="zh-CN" w:bidi="ar-SA"/>
        </w:rPr>
        <w:t>.社会保障和就业支出（类）行政事业单位养老支出（款）机关事业单位职业年金缴费支出（项）：反映机关事业单位实施养老保险制度由单位实际缴纳的职业年金支出。</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9</w:t>
      </w:r>
      <w:r>
        <w:rPr>
          <w:rFonts w:hint="default" w:ascii="仿宋_GB2312" w:hAnsi="Times New Roman" w:eastAsia="仿宋_GB2312" w:cs="Times New Roman"/>
          <w:kern w:val="2"/>
          <w:sz w:val="32"/>
          <w:szCs w:val="32"/>
          <w:highlight w:val="none"/>
          <w:lang w:val="en-US" w:eastAsia="zh-CN" w:bidi="ar-SA"/>
        </w:rPr>
        <w:t>.卫生健康支出（类）行政事业单位医疗（款）事业单位医疗（项）：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10</w:t>
      </w:r>
      <w:r>
        <w:rPr>
          <w:rFonts w:hint="default" w:ascii="仿宋_GB2312" w:hAnsi="Times New Roman" w:eastAsia="仿宋_GB2312" w:cs="Times New Roman"/>
          <w:kern w:val="2"/>
          <w:sz w:val="32"/>
          <w:szCs w:val="32"/>
          <w:highlight w:val="none"/>
          <w:lang w:val="en-US" w:eastAsia="zh-CN" w:bidi="ar-SA"/>
        </w:rPr>
        <w:t>.住房保障支出（类）住房改革支出（款）住房公积金（项）：反映行政事业单位按人力资源和社会保障部、财政部规定的基本工资和津贴补贴以及规定比例为职工缴纳的住房公积金。</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11</w:t>
      </w:r>
      <w:r>
        <w:rPr>
          <w:rFonts w:hint="default" w:ascii="仿宋_GB2312" w:hAnsi="Times New Roman" w:eastAsia="仿宋_GB2312" w:cs="Times New Roman"/>
          <w:kern w:val="2"/>
          <w:sz w:val="32"/>
          <w:szCs w:val="32"/>
          <w:highlight w:val="none"/>
          <w:lang w:val="en-US" w:eastAsia="zh-CN" w:bidi="ar-SA"/>
        </w:rPr>
        <w:t>.住房保障支出（类）住房改革支出（款）购房补贴（项）：反映按房改政策规定，行政事业单位向符合条件职工（含离退休人员）、军队（含武警）向转役复员离退休人员发放的用于购买住房的补贴。</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12</w:t>
      </w:r>
      <w:r>
        <w:rPr>
          <w:rFonts w:hint="default" w:ascii="仿宋_GB2312" w:hAnsi="Times New Roman" w:eastAsia="仿宋_GB2312" w:cs="Times New Roman"/>
          <w:kern w:val="2"/>
          <w:sz w:val="32"/>
          <w:szCs w:val="32"/>
          <w:highlight w:val="none"/>
          <w:lang w:val="en-US" w:eastAsia="zh-CN" w:bidi="ar-SA"/>
        </w:rPr>
        <w:t>.基本支出：指为保障机构正常运转、完成日常工作任务而发生的人员支出和公用支出。</w:t>
      </w:r>
    </w:p>
    <w:p>
      <w:pPr>
        <w:spacing w:line="58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13</w:t>
      </w:r>
      <w:r>
        <w:rPr>
          <w:rFonts w:hint="default" w:ascii="仿宋_GB2312" w:hAnsi="Times New Roman" w:eastAsia="仿宋_GB2312" w:cs="Times New Roman"/>
          <w:kern w:val="2"/>
          <w:sz w:val="32"/>
          <w:szCs w:val="32"/>
          <w:highlight w:val="none"/>
          <w:lang w:val="en-US" w:eastAsia="zh-CN" w:bidi="ar-SA"/>
        </w:rPr>
        <w:t xml:space="preserve">.项目支出：指在基本支出之外为完成特定行政任务和事业发展目标所发生的支出。 </w:t>
      </w:r>
    </w:p>
    <w:p>
      <w:pPr>
        <w:spacing w:line="580" w:lineRule="exact"/>
        <w:ind w:firstLine="640" w:firstLineChars="200"/>
        <w:rPr>
          <w:rStyle w:val="26"/>
          <w:rFonts w:ascii="黑体" w:hAnsi="黑体" w:eastAsia="黑体"/>
          <w:b w:val="0"/>
        </w:rPr>
      </w:pPr>
      <w:r>
        <w:rPr>
          <w:rFonts w:hint="eastAsia" w:ascii="仿宋_GB2312" w:hAnsi="Times New Roman" w:eastAsia="仿宋_GB2312" w:cs="Times New Roman"/>
          <w:kern w:val="2"/>
          <w:sz w:val="32"/>
          <w:szCs w:val="32"/>
          <w:highlight w:val="none"/>
          <w:lang w:val="en-US" w:eastAsia="zh-CN" w:bidi="ar-SA"/>
        </w:rPr>
        <w:t>14</w:t>
      </w:r>
      <w:r>
        <w:rPr>
          <w:rFonts w:hint="default" w:ascii="仿宋_GB2312" w:hAnsi="Times New Roman" w:eastAsia="仿宋_GB2312" w:cs="Times New Roman"/>
          <w:kern w:val="2"/>
          <w:sz w:val="32"/>
          <w:szCs w:val="32"/>
          <w:highlight w:val="none"/>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仿宋_GB2312" w:hAnsi="Times New Roman" w:eastAsia="仿宋_GB2312" w:cs="Times New Roman"/>
          <w:kern w:val="2"/>
          <w:sz w:val="32"/>
          <w:szCs w:val="32"/>
          <w:highlight w:val="none"/>
          <w:lang w:val="en-US" w:eastAsia="zh-CN" w:bidi="ar-SA"/>
        </w:rPr>
        <w:br w:type="page"/>
      </w:r>
      <w:bookmarkEnd w:id="51"/>
      <w:bookmarkStart w:id="52"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2"/>
    </w:p>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color w:val="auto"/>
          <w:kern w:val="0"/>
          <w:sz w:val="44"/>
          <w:szCs w:val="44"/>
          <w:lang w:val="zh-CN" w:eastAsia="zh-CN" w:bidi="ar-SA"/>
        </w:rPr>
      </w:pPr>
      <w:r>
        <w:rPr>
          <w:rFonts w:hint="eastAsia" w:ascii="方正小标宋简体" w:hAnsi="宋体" w:eastAsia="方正小标宋简体" w:cs="Times New Roman"/>
          <w:color w:val="auto"/>
          <w:kern w:val="0"/>
          <w:sz w:val="44"/>
          <w:szCs w:val="44"/>
          <w:lang w:val="zh-CN" w:eastAsia="zh-CN" w:bidi="ar-SA"/>
        </w:rPr>
        <w:t>202</w:t>
      </w:r>
      <w:r>
        <w:rPr>
          <w:rFonts w:hint="eastAsia" w:ascii="方正小标宋简体" w:hAnsi="宋体" w:eastAsia="方正小标宋简体" w:cs="Times New Roman"/>
          <w:color w:val="auto"/>
          <w:kern w:val="0"/>
          <w:sz w:val="44"/>
          <w:szCs w:val="44"/>
          <w:lang w:val="en-US" w:eastAsia="zh-CN" w:bidi="ar-SA"/>
        </w:rPr>
        <w:t>0</w:t>
      </w:r>
      <w:r>
        <w:rPr>
          <w:rFonts w:hint="eastAsia" w:ascii="方正小标宋简体" w:hAnsi="宋体" w:eastAsia="方正小标宋简体" w:cs="Times New Roman"/>
          <w:color w:val="auto"/>
          <w:kern w:val="0"/>
          <w:sz w:val="44"/>
          <w:szCs w:val="44"/>
          <w:lang w:val="zh-CN" w:eastAsia="zh-CN" w:bidi="ar-SA"/>
        </w:rPr>
        <w:t>年</w:t>
      </w:r>
      <w:r>
        <w:rPr>
          <w:rFonts w:hint="eastAsia" w:ascii="方正小标宋简体" w:hAnsi="宋体" w:eastAsia="方正小标宋简体" w:cs="Times New Roman"/>
          <w:color w:val="auto"/>
          <w:kern w:val="0"/>
          <w:sz w:val="44"/>
          <w:szCs w:val="44"/>
          <w:lang w:val="en-US" w:eastAsia="zh-CN" w:bidi="ar-SA"/>
        </w:rPr>
        <w:t>院校维修费</w:t>
      </w:r>
      <w:r>
        <w:rPr>
          <w:rFonts w:hint="eastAsia" w:ascii="方正小标宋简体" w:hAnsi="宋体" w:eastAsia="方正小标宋简体" w:cs="Times New Roman"/>
          <w:color w:val="auto"/>
          <w:kern w:val="0"/>
          <w:sz w:val="44"/>
          <w:szCs w:val="44"/>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lang w:val="zh-CN" w:eastAsia="zh-CN" w:bidi="ar-SA"/>
        </w:rPr>
      </w:pPr>
    </w:p>
    <w:p>
      <w:pPr>
        <w:keepLines w:val="0"/>
        <w:adjustRightInd w:val="0"/>
        <w:snapToGrid w:val="0"/>
        <w:spacing w:line="600" w:lineRule="exact"/>
        <w:ind w:firstLine="720"/>
        <w:rPr>
          <w:lang w:val="zh-CN" w:eastAsia="zh-CN"/>
        </w:rPr>
      </w:pPr>
      <w:r>
        <w:rPr>
          <w:rFonts w:hint="default" w:ascii="仿宋_GB2312" w:hAnsi="Times New Roman" w:eastAsia="仿宋_GB2312" w:cs="Times New Roman"/>
          <w:kern w:val="2"/>
          <w:sz w:val="32"/>
          <w:szCs w:val="32"/>
          <w:highlight w:val="none"/>
          <w:lang w:val="en-US" w:eastAsia="zh-CN" w:bidi="ar-SA"/>
        </w:rPr>
        <w:t>根据《财政厅关于开展2021年部门、政策和项目支出绩效评价工作的通知》（川财绩〔2021〕6号）有关要求，为进一步加强和规范专项资金管理，切实提高财政资金使用效益，我</w:t>
      </w:r>
      <w:r>
        <w:rPr>
          <w:rFonts w:hint="eastAsia" w:ascii="仿宋_GB2312" w:hAnsi="Times New Roman" w:eastAsia="仿宋_GB2312" w:cs="Times New Roman"/>
          <w:kern w:val="2"/>
          <w:sz w:val="32"/>
          <w:szCs w:val="32"/>
          <w:highlight w:val="none"/>
          <w:lang w:val="en-US" w:eastAsia="zh-CN" w:bidi="ar-SA"/>
        </w:rPr>
        <w:t>单位</w:t>
      </w:r>
      <w:r>
        <w:rPr>
          <w:rFonts w:hint="default" w:ascii="仿宋_GB2312" w:hAnsi="Times New Roman" w:eastAsia="仿宋_GB2312" w:cs="Times New Roman"/>
          <w:kern w:val="2"/>
          <w:sz w:val="32"/>
          <w:szCs w:val="32"/>
          <w:highlight w:val="none"/>
          <w:lang w:val="en-US" w:eastAsia="zh-CN" w:bidi="ar-SA"/>
        </w:rPr>
        <w:t>对2020年“</w:t>
      </w:r>
      <w:r>
        <w:rPr>
          <w:rFonts w:hint="eastAsia" w:ascii="仿宋_GB2312" w:hAnsi="Times New Roman" w:eastAsia="仿宋_GB2312" w:cs="Times New Roman"/>
          <w:kern w:val="2"/>
          <w:sz w:val="32"/>
          <w:szCs w:val="32"/>
          <w:highlight w:val="none"/>
          <w:lang w:val="en-US" w:eastAsia="zh-CN" w:bidi="ar-SA"/>
        </w:rPr>
        <w:t>院校维修费</w:t>
      </w:r>
      <w:r>
        <w:rPr>
          <w:rFonts w:hint="default" w:ascii="仿宋_GB2312" w:hAnsi="Times New Roman" w:eastAsia="仿宋_GB2312" w:cs="Times New Roman"/>
          <w:kern w:val="2"/>
          <w:sz w:val="32"/>
          <w:szCs w:val="32"/>
          <w:highlight w:val="none"/>
          <w:lang w:val="en-US" w:eastAsia="zh-CN" w:bidi="ar-SA"/>
        </w:rPr>
        <w:t>”项目开展了绩效自评工作。现将有关情况报告如下：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zh-CN"/>
        </w:rPr>
      </w:pPr>
      <w:r>
        <w:rPr>
          <w:rFonts w:hint="eastAsia" w:ascii="楷体_GB2312" w:hAnsi="宋体" w:eastAsia="楷体_GB2312"/>
          <w:b/>
          <w:color w:val="auto"/>
          <w:sz w:val="32"/>
          <w:szCs w:val="32"/>
          <w:lang w:val="zh-CN"/>
        </w:rPr>
        <w:t>（一）项目资金申报及批复情况。</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川神学院是1983年经国务院办公厅批准设立，由四川、云南、贵州和重庆教会联合主办的全国五所大区性神学院之一，办学规模120人。学院坚持独立自主和“三自”原则，坚持基督教中国化方向，其职责职能是培养灵、德、智、体、群全面发展，品德上能服众，学识上有造诣，政治上靠得住，关键时刻起作用的新时代教牧人才。</w:t>
      </w:r>
      <w:r>
        <w:rPr>
          <w:rFonts w:hint="default" w:ascii="仿宋_GB2312" w:hAnsi="Times New Roman" w:eastAsia="仿宋_GB2312" w:cs="Times New Roman"/>
          <w:kern w:val="2"/>
          <w:sz w:val="32"/>
          <w:szCs w:val="32"/>
          <w:highlight w:val="none"/>
          <w:lang w:val="en-US" w:eastAsia="zh-CN" w:bidi="ar-SA"/>
        </w:rPr>
        <w:t>2020年末，四川</w:t>
      </w:r>
      <w:r>
        <w:rPr>
          <w:rFonts w:hint="eastAsia" w:ascii="仿宋_GB2312" w:hAnsi="Times New Roman" w:eastAsia="仿宋_GB2312" w:cs="Times New Roman"/>
          <w:kern w:val="2"/>
          <w:sz w:val="32"/>
          <w:szCs w:val="32"/>
          <w:highlight w:val="none"/>
          <w:lang w:val="en-US" w:eastAsia="zh-CN" w:bidi="ar-SA"/>
        </w:rPr>
        <w:t>神学院</w:t>
      </w:r>
      <w:r>
        <w:rPr>
          <w:rFonts w:hint="default" w:ascii="仿宋_GB2312" w:hAnsi="Times New Roman" w:eastAsia="仿宋_GB2312" w:cs="Times New Roman"/>
          <w:kern w:val="2"/>
          <w:sz w:val="32"/>
          <w:szCs w:val="32"/>
          <w:highlight w:val="none"/>
          <w:lang w:val="en-US" w:eastAsia="zh-CN" w:bidi="ar-SA"/>
        </w:rPr>
        <w:t>总</w:t>
      </w:r>
      <w:r>
        <w:rPr>
          <w:rFonts w:hint="eastAsia" w:ascii="仿宋_GB2312" w:hAnsi="Times New Roman" w:eastAsia="仿宋_GB2312" w:cs="Times New Roman"/>
          <w:kern w:val="2"/>
          <w:sz w:val="32"/>
          <w:szCs w:val="32"/>
          <w:highlight w:val="none"/>
          <w:lang w:val="en-US" w:eastAsia="zh-CN" w:bidi="ar-SA"/>
        </w:rPr>
        <w:t>事业</w:t>
      </w:r>
      <w:r>
        <w:rPr>
          <w:rFonts w:hint="default" w:ascii="仿宋_GB2312" w:hAnsi="Times New Roman" w:eastAsia="仿宋_GB2312" w:cs="Times New Roman"/>
          <w:kern w:val="2"/>
          <w:sz w:val="32"/>
          <w:szCs w:val="32"/>
          <w:highlight w:val="none"/>
          <w:lang w:val="en-US" w:eastAsia="zh-CN" w:bidi="ar-SA"/>
        </w:rPr>
        <w:t>编制</w:t>
      </w:r>
      <w:r>
        <w:rPr>
          <w:rFonts w:hint="eastAsia" w:ascii="仿宋_GB2312" w:hAnsi="Times New Roman" w:eastAsia="仿宋_GB2312" w:cs="Times New Roman"/>
          <w:kern w:val="2"/>
          <w:sz w:val="32"/>
          <w:szCs w:val="32"/>
          <w:highlight w:val="none"/>
          <w:lang w:val="en-US" w:eastAsia="zh-CN" w:bidi="ar-SA"/>
        </w:rPr>
        <w:t>19</w:t>
      </w:r>
      <w:r>
        <w:rPr>
          <w:rFonts w:hint="default" w:ascii="仿宋_GB2312" w:hAnsi="Times New Roman" w:eastAsia="仿宋_GB2312" w:cs="Times New Roman"/>
          <w:kern w:val="2"/>
          <w:sz w:val="32"/>
          <w:szCs w:val="32"/>
          <w:highlight w:val="none"/>
          <w:lang w:val="en-US" w:eastAsia="zh-CN" w:bidi="ar-SA"/>
        </w:rPr>
        <w:t>名，</w:t>
      </w:r>
      <w:r>
        <w:rPr>
          <w:rFonts w:hint="eastAsia" w:ascii="仿宋_GB2312" w:hAnsi="Times New Roman" w:eastAsia="仿宋_GB2312" w:cs="Times New Roman"/>
          <w:kern w:val="2"/>
          <w:sz w:val="32"/>
          <w:szCs w:val="32"/>
          <w:highlight w:val="none"/>
          <w:lang w:val="en-US" w:eastAsia="zh-CN" w:bidi="ar-SA"/>
        </w:rPr>
        <w:t>编制内</w:t>
      </w:r>
      <w:r>
        <w:rPr>
          <w:rFonts w:hint="default" w:ascii="仿宋_GB2312" w:hAnsi="Times New Roman" w:eastAsia="仿宋_GB2312" w:cs="Times New Roman"/>
          <w:kern w:val="2"/>
          <w:sz w:val="32"/>
          <w:szCs w:val="32"/>
          <w:highlight w:val="none"/>
          <w:lang w:val="en-US" w:eastAsia="zh-CN" w:bidi="ar-SA"/>
        </w:rPr>
        <w:t>在职人数</w:t>
      </w:r>
      <w:r>
        <w:rPr>
          <w:rFonts w:hint="eastAsia" w:ascii="仿宋_GB2312" w:hAnsi="Times New Roman" w:eastAsia="仿宋_GB2312" w:cs="Times New Roman"/>
          <w:kern w:val="2"/>
          <w:sz w:val="32"/>
          <w:szCs w:val="32"/>
          <w:highlight w:val="none"/>
          <w:lang w:val="en-US" w:eastAsia="zh-CN" w:bidi="ar-SA"/>
        </w:rPr>
        <w:t>13</w:t>
      </w:r>
      <w:r>
        <w:rPr>
          <w:rFonts w:hint="default" w:ascii="仿宋_GB2312" w:hAnsi="Times New Roman" w:eastAsia="仿宋_GB2312" w:cs="Times New Roman"/>
          <w:kern w:val="2"/>
          <w:sz w:val="32"/>
          <w:szCs w:val="32"/>
          <w:highlight w:val="none"/>
          <w:lang w:val="en-US" w:eastAsia="zh-CN" w:bidi="ar-SA"/>
        </w:rPr>
        <w:t>人，</w:t>
      </w:r>
      <w:r>
        <w:rPr>
          <w:rFonts w:hint="eastAsia" w:ascii="仿宋_GB2312" w:hAnsi="Times New Roman" w:eastAsia="仿宋_GB2312" w:cs="Times New Roman"/>
          <w:kern w:val="2"/>
          <w:sz w:val="32"/>
          <w:szCs w:val="32"/>
          <w:highlight w:val="none"/>
          <w:lang w:val="en-US" w:eastAsia="zh-CN" w:bidi="ar-SA"/>
        </w:rPr>
        <w:t>退</w:t>
      </w:r>
      <w:r>
        <w:rPr>
          <w:rFonts w:hint="default" w:ascii="仿宋_GB2312" w:hAnsi="Times New Roman" w:eastAsia="仿宋_GB2312" w:cs="Times New Roman"/>
          <w:kern w:val="2"/>
          <w:sz w:val="32"/>
          <w:szCs w:val="32"/>
          <w:highlight w:val="none"/>
          <w:lang w:val="en-US" w:eastAsia="zh-CN" w:bidi="ar-SA"/>
        </w:rPr>
        <w:t>休人员</w:t>
      </w:r>
      <w:r>
        <w:rPr>
          <w:rFonts w:hint="eastAsia" w:ascii="仿宋_GB2312" w:hAnsi="Times New Roman" w:eastAsia="仿宋_GB2312" w:cs="Times New Roman"/>
          <w:kern w:val="2"/>
          <w:sz w:val="32"/>
          <w:szCs w:val="32"/>
          <w:highlight w:val="none"/>
          <w:lang w:val="en-US" w:eastAsia="zh-CN" w:bidi="ar-SA"/>
        </w:rPr>
        <w:t>8</w:t>
      </w:r>
      <w:r>
        <w:rPr>
          <w:rFonts w:hint="default" w:ascii="仿宋_GB2312" w:hAnsi="Times New Roman" w:eastAsia="仿宋_GB2312" w:cs="Times New Roman"/>
          <w:kern w:val="2"/>
          <w:sz w:val="32"/>
          <w:szCs w:val="32"/>
          <w:highlight w:val="none"/>
          <w:lang w:val="en-US" w:eastAsia="zh-CN" w:bidi="ar-SA"/>
        </w:rPr>
        <w:t>人。</w:t>
      </w:r>
      <w:r>
        <w:rPr>
          <w:rFonts w:hint="eastAsia" w:ascii="仿宋_GB2312" w:hAnsi="Times New Roman" w:eastAsia="仿宋_GB2312" w:cs="Times New Roman"/>
          <w:kern w:val="2"/>
          <w:sz w:val="32"/>
          <w:szCs w:val="32"/>
          <w:highlight w:val="none"/>
          <w:lang w:val="en-US" w:eastAsia="zh-CN" w:bidi="ar-SA"/>
        </w:rPr>
        <w:t>长期聘用人员5人，临时聘用人员2人，在校学生70人。</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我单位办学环境简陋拥挤，学生教室、寝室、图书室、礼堂和教师办公均在一栋不足1800㎡的七层综合楼里。这座七层楼建筑是唯一的办学场地，学院没有操场，没有专门的琴房，学生无户外活动空间，升旗仪式也只能在楼顶举行。</w:t>
      </w:r>
    </w:p>
    <w:p>
      <w:pPr>
        <w:pStyle w:val="2"/>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根据省民族宗教委张富国书记2019年12月到神学院调研的有关指示精神，为进一步规范、优化学校的学习生活环境，保障教学环境安全有序，最大限度利用有限空间，我单位2020年设立了“院校维修费”项目，预算金额14.86万元。根据《四川省财政厅关于批复省级2020年部门预算的通知》（川财行【2020】18号）和省民族宗教委《关于批复2020年单位预算及机关各处室2020年经费预算的通知》（【2020-451】）文件批示，“院校维修费”项目14.86万元作为我单位专项经费使用，</w:t>
      </w:r>
      <w:r>
        <w:rPr>
          <w:rFonts w:hint="eastAsia" w:ascii="仿宋_GB2312" w:hAnsi="宋体" w:eastAsia="仿宋_GB2312"/>
          <w:color w:val="auto"/>
          <w:sz w:val="32"/>
          <w:szCs w:val="32"/>
          <w:lang w:val="zh-CN"/>
        </w:rPr>
        <w:t>符合资金管理办法等相关规定。</w:t>
      </w:r>
    </w:p>
    <w:p>
      <w:pPr>
        <w:pStyle w:val="2"/>
        <w:numPr>
          <w:ilvl w:val="0"/>
          <w:numId w:val="4"/>
        </w:numPr>
        <w:ind w:firstLine="643" w:firstLineChars="200"/>
        <w:rPr>
          <w:rFonts w:hint="eastAsia" w:ascii="仿宋_GB2312" w:hAnsi="宋体" w:eastAsia="仿宋_GB2312"/>
          <w:color w:val="auto"/>
          <w:sz w:val="32"/>
          <w:szCs w:val="32"/>
          <w:lang w:val="zh-CN"/>
        </w:rPr>
      </w:pPr>
      <w:r>
        <w:rPr>
          <w:rFonts w:hint="eastAsia" w:ascii="楷体_GB2312" w:hAnsi="宋体" w:eastAsia="楷体_GB2312"/>
          <w:b/>
          <w:color w:val="auto"/>
          <w:sz w:val="32"/>
          <w:szCs w:val="32"/>
          <w:lang w:val="zh-CN"/>
        </w:rPr>
        <w:t>项目绩效目标。</w:t>
      </w:r>
    </w:p>
    <w:p>
      <w:pPr>
        <w:numPr>
          <w:ilvl w:val="0"/>
          <w:numId w:val="0"/>
        </w:numPr>
        <w:ind w:firstLine="4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院校维修费”项目内容主要包括：对学校食堂洗碗台、碗柜进行改建，食堂厨房油烟排放系统改造，学生宿舍安装鞋柜及架子，规范整治消防设施，储藏室、洗衣棚、杂物房维修改造，会议室展柜、阅览室书柜，教室局部墙面装书柜书架，学校围墙修缮等。</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w:t>
      </w:r>
      <w:r>
        <w:rPr>
          <w:rFonts w:hint="eastAsia" w:ascii="Times New Roman" w:hAnsi="Times New Roman" w:eastAsia="仿宋_GB2312" w:cs="Times New Roman"/>
          <w:color w:val="auto"/>
          <w:sz w:val="32"/>
          <w:szCs w:val="32"/>
          <w:lang w:val="en-US" w:eastAsia="zh-CN"/>
        </w:rPr>
        <w:t>我单位</w:t>
      </w:r>
      <w:r>
        <w:rPr>
          <w:rFonts w:hint="default" w:ascii="Times New Roman" w:hAnsi="Times New Roman" w:eastAsia="仿宋_GB2312" w:cs="Times New Roman"/>
          <w:color w:val="auto"/>
          <w:sz w:val="32"/>
          <w:szCs w:val="32"/>
          <w:lang w:val="en-US" w:eastAsia="zh-CN"/>
        </w:rPr>
        <w:t>具体细化量化了三级指标，共计设置绩效目标</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项。其中：数量指标</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项，用于量化</w:t>
      </w:r>
      <w:r>
        <w:rPr>
          <w:rFonts w:hint="eastAsia" w:ascii="Times New Roman" w:hAnsi="Times New Roman" w:eastAsia="仿宋_GB2312" w:cs="Times New Roman"/>
          <w:color w:val="auto"/>
          <w:sz w:val="32"/>
          <w:szCs w:val="32"/>
          <w:lang w:val="en-US" w:eastAsia="zh-CN"/>
        </w:rPr>
        <w:t>学院2020年暑期维修改造工程、厨房油烟排放系统改造工程、围墙排危改造工程等的资金测算、对施工方比价确定、按工程进度分期付款等</w:t>
      </w:r>
      <w:r>
        <w:rPr>
          <w:rFonts w:hint="default" w:ascii="Times New Roman" w:hAnsi="Times New Roman" w:eastAsia="仿宋_GB2312" w:cs="Times New Roman"/>
          <w:color w:val="auto"/>
          <w:sz w:val="32"/>
          <w:szCs w:val="32"/>
          <w:lang w:val="en-US" w:eastAsia="zh-CN"/>
        </w:rPr>
        <w:t>相关情况；质量指标1项，用于衡量</w:t>
      </w:r>
      <w:r>
        <w:rPr>
          <w:rFonts w:hint="eastAsia" w:ascii="Times New Roman" w:hAnsi="Times New Roman" w:eastAsia="仿宋_GB2312" w:cs="Times New Roman"/>
          <w:color w:val="auto"/>
          <w:sz w:val="32"/>
          <w:szCs w:val="32"/>
          <w:lang w:val="en-US" w:eastAsia="zh-CN"/>
        </w:rPr>
        <w:t>维修改造工程</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lang w:val="en-US" w:eastAsia="zh-CN"/>
        </w:rPr>
        <w:t>质量</w:t>
      </w:r>
      <w:r>
        <w:rPr>
          <w:rFonts w:hint="eastAsia" w:ascii="Times New Roman" w:hAnsi="Times New Roman" w:eastAsia="仿宋_GB2312" w:cs="Times New Roman"/>
          <w:color w:val="auto"/>
          <w:sz w:val="32"/>
          <w:szCs w:val="32"/>
          <w:lang w:val="en-US" w:eastAsia="zh-CN"/>
        </w:rPr>
        <w:t>，分阶段验收付款</w:t>
      </w:r>
      <w:r>
        <w:rPr>
          <w:rFonts w:hint="default" w:ascii="Times New Roman" w:hAnsi="Times New Roman" w:eastAsia="仿宋_GB2312" w:cs="Times New Roman"/>
          <w:color w:val="auto"/>
          <w:sz w:val="32"/>
          <w:szCs w:val="32"/>
          <w:lang w:val="en-US" w:eastAsia="zh-CN"/>
        </w:rPr>
        <w:t>；时效指标1项，用于量化</w:t>
      </w:r>
      <w:r>
        <w:rPr>
          <w:rFonts w:hint="eastAsia" w:ascii="Times New Roman" w:hAnsi="Times New Roman" w:eastAsia="仿宋_GB2312" w:cs="Times New Roman"/>
          <w:color w:val="auto"/>
          <w:sz w:val="32"/>
          <w:szCs w:val="32"/>
          <w:lang w:val="en-US" w:eastAsia="zh-CN"/>
        </w:rPr>
        <w:t>每项维修改造工程</w:t>
      </w:r>
      <w:r>
        <w:rPr>
          <w:rFonts w:hint="default" w:ascii="Times New Roman" w:hAnsi="Times New Roman" w:eastAsia="仿宋_GB2312" w:cs="Times New Roman"/>
          <w:color w:val="auto"/>
          <w:sz w:val="32"/>
          <w:szCs w:val="32"/>
          <w:lang w:val="en-US" w:eastAsia="zh-CN"/>
        </w:rPr>
        <w:t>按期完成率；成本指标</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项，用于量化</w:t>
      </w:r>
      <w:r>
        <w:rPr>
          <w:rFonts w:hint="eastAsia" w:ascii="Times New Roman" w:hAnsi="Times New Roman" w:eastAsia="仿宋_GB2312" w:cs="Times New Roman"/>
          <w:color w:val="auto"/>
          <w:sz w:val="32"/>
          <w:szCs w:val="32"/>
          <w:lang w:val="en-US" w:eastAsia="zh-CN"/>
        </w:rPr>
        <w:t>工程项目各项材料、人工</w:t>
      </w:r>
      <w:r>
        <w:rPr>
          <w:rFonts w:hint="default" w:ascii="Times New Roman" w:hAnsi="Times New Roman" w:eastAsia="仿宋_GB2312" w:cs="Times New Roman"/>
          <w:color w:val="auto"/>
          <w:sz w:val="32"/>
          <w:szCs w:val="32"/>
          <w:lang w:val="en-US" w:eastAsia="zh-CN"/>
        </w:rPr>
        <w:t>的成本；经济效益指标1项，用于衡量资金使用效果；社会效益指标1项，用于衡量</w:t>
      </w:r>
      <w:r>
        <w:rPr>
          <w:rFonts w:hint="eastAsia" w:ascii="Times New Roman" w:hAnsi="Times New Roman" w:eastAsia="仿宋_GB2312" w:cs="Times New Roman"/>
          <w:color w:val="auto"/>
          <w:sz w:val="32"/>
          <w:szCs w:val="32"/>
          <w:lang w:val="en-US" w:eastAsia="zh-CN"/>
        </w:rPr>
        <w:t>政府对宗教院校环境面貌改善提供资金支持</w:t>
      </w:r>
      <w:r>
        <w:rPr>
          <w:rFonts w:hint="default" w:ascii="Times New Roman" w:hAnsi="Times New Roman" w:eastAsia="仿宋_GB2312" w:cs="Times New Roman"/>
          <w:color w:val="auto"/>
          <w:sz w:val="32"/>
          <w:szCs w:val="32"/>
          <w:lang w:val="en-US" w:eastAsia="zh-CN"/>
        </w:rPr>
        <w:t>产生的社会效益；可持续影响指标1项，用于衡量</w:t>
      </w:r>
      <w:r>
        <w:rPr>
          <w:rFonts w:hint="eastAsia" w:ascii="Times New Roman" w:hAnsi="Times New Roman" w:eastAsia="仿宋_GB2312" w:cs="Times New Roman"/>
          <w:color w:val="auto"/>
          <w:sz w:val="32"/>
          <w:szCs w:val="32"/>
          <w:lang w:val="en-US" w:eastAsia="zh-CN"/>
        </w:rPr>
        <w:t>学校办学环境改善后的</w:t>
      </w:r>
      <w:r>
        <w:rPr>
          <w:rFonts w:hint="default" w:ascii="Times New Roman" w:hAnsi="Times New Roman" w:eastAsia="仿宋_GB2312" w:cs="Times New Roman"/>
          <w:color w:val="auto"/>
          <w:sz w:val="32"/>
          <w:szCs w:val="32"/>
          <w:lang w:val="en-US" w:eastAsia="zh-CN"/>
        </w:rPr>
        <w:t>可持续性效益；满意度指标1项，用于</w:t>
      </w:r>
      <w:r>
        <w:rPr>
          <w:rFonts w:hint="eastAsia" w:ascii="Times New Roman" w:hAnsi="Times New Roman" w:eastAsia="仿宋_GB2312" w:cs="Times New Roman"/>
          <w:color w:val="auto"/>
          <w:sz w:val="32"/>
          <w:szCs w:val="32"/>
          <w:lang w:val="en-US" w:eastAsia="zh-CN"/>
        </w:rPr>
        <w:t>衡量师生学习工作生活环境改善</w:t>
      </w:r>
      <w:r>
        <w:rPr>
          <w:rFonts w:hint="default" w:ascii="Times New Roman" w:hAnsi="Times New Roman" w:eastAsia="仿宋_GB2312" w:cs="Times New Roman"/>
          <w:color w:val="auto"/>
          <w:sz w:val="32"/>
          <w:szCs w:val="32"/>
          <w:lang w:val="en-US" w:eastAsia="zh-CN"/>
        </w:rPr>
        <w:t>的满意度水平。</w:t>
      </w:r>
    </w:p>
    <w:p>
      <w:pPr>
        <w:pStyle w:val="2"/>
        <w:rPr>
          <w:rFonts w:hint="default"/>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仿宋_GB2312" w:hAnsi="宋体" w:eastAsia="仿宋_GB2312"/>
          <w:color w:val="auto"/>
          <w:sz w:val="32"/>
          <w:szCs w:val="32"/>
          <w:lang w:val="en-US" w:eastAsia="zh-CN"/>
        </w:rPr>
        <w:t>“院校维修费”</w:t>
      </w:r>
      <w:r>
        <w:rPr>
          <w:rFonts w:hint="eastAsia" w:ascii="Times New Roman" w:hAnsi="Times New Roman" w:eastAsia="仿宋_GB2312" w:cs="Times New Roman"/>
          <w:color w:val="auto"/>
          <w:sz w:val="32"/>
          <w:szCs w:val="32"/>
          <w:lang w:val="en-US" w:eastAsia="zh-CN"/>
        </w:rPr>
        <w:t>项目按进度及合理合规的资金使用范围严格执行，并按时按量完成了维修工作，达到了绩效目标指标。</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宋体" w:eastAsia="仿宋_GB2312" w:cs="Times New Roman"/>
          <w:color w:val="auto"/>
          <w:kern w:val="0"/>
          <w:sz w:val="32"/>
          <w:szCs w:val="32"/>
          <w:lang w:val="en-US" w:eastAsia="zh-CN" w:bidi="ar-SA"/>
        </w:rPr>
      </w:pPr>
      <w:r>
        <w:rPr>
          <w:rFonts w:hint="eastAsia" w:ascii="楷体_GB2312" w:hAnsi="宋体" w:eastAsia="楷体_GB2312"/>
          <w:b/>
          <w:color w:val="auto"/>
          <w:sz w:val="32"/>
          <w:szCs w:val="32"/>
          <w:lang w:val="zh-CN"/>
        </w:rPr>
        <w:t>项目资金申报相符性。</w:t>
      </w:r>
      <w:r>
        <w:rPr>
          <w:rFonts w:hint="eastAsia" w:ascii="仿宋_GB2312" w:hAnsi="宋体" w:eastAsia="仿宋_GB2312" w:cs="Times New Roman"/>
          <w:color w:val="auto"/>
          <w:kern w:val="0"/>
          <w:sz w:val="32"/>
          <w:szCs w:val="32"/>
          <w:lang w:val="en-US" w:eastAsia="zh-CN" w:bidi="ar-SA"/>
        </w:rPr>
        <w:t xml:space="preserve">  </w:t>
      </w:r>
    </w:p>
    <w:p>
      <w:pPr>
        <w:pStyle w:val="2"/>
        <w:rPr>
          <w:rFonts w:hint="default"/>
          <w:lang w:val="en-US" w:eastAsia="zh-CN"/>
        </w:rPr>
      </w:pPr>
      <w:r>
        <w:rPr>
          <w:rFonts w:hint="eastAsia" w:ascii="仿宋_GB2312" w:hAnsi="宋体" w:eastAsia="仿宋_GB2312" w:cs="Times New Roman"/>
          <w:color w:val="auto"/>
          <w:kern w:val="0"/>
          <w:sz w:val="32"/>
          <w:szCs w:val="32"/>
          <w:lang w:val="en-US" w:eastAsia="zh-CN" w:bidi="ar-SA"/>
        </w:rPr>
        <w:t xml:space="preserve">    项目申报内容为对学校的食堂、宿舍、教学场所等地的环境进行维修改造，具体实施内容与之相符。申报目标是进一步规范、优化学校的学习生活环境，与项目内容相匹配，合理可行。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1．资金计划及到位。</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lang w:val="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w:t>
      </w:r>
      <w:r>
        <w:rPr>
          <w:rFonts w:hint="eastAsia" w:ascii="仿宋_GB2312" w:hAnsi="宋体" w:eastAsia="仿宋_GB2312"/>
          <w:color w:val="auto"/>
          <w:sz w:val="32"/>
          <w:szCs w:val="32"/>
          <w:lang w:val="en-US" w:eastAsia="zh-CN"/>
        </w:rPr>
        <w:t>院校维修费</w:t>
      </w:r>
      <w:r>
        <w:rPr>
          <w:rFonts w:hint="default" w:ascii="Times New Roman" w:hAnsi="Times New Roman" w:eastAsia="仿宋_GB2312" w:cs="Times New Roman"/>
          <w:color w:val="auto"/>
          <w:sz w:val="32"/>
          <w:szCs w:val="32"/>
          <w:lang w:val="en-US" w:eastAsia="zh-CN"/>
        </w:rPr>
        <w:t>”项目总预算</w:t>
      </w:r>
      <w:r>
        <w:rPr>
          <w:rFonts w:hint="eastAsia" w:ascii="Times New Roman" w:hAnsi="Times New Roman" w:eastAsia="仿宋_GB2312" w:cs="Times New Roman"/>
          <w:color w:val="auto"/>
          <w:sz w:val="32"/>
          <w:szCs w:val="32"/>
          <w:lang w:val="en-US" w:eastAsia="zh-CN"/>
        </w:rPr>
        <w:t>14.86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根据项目预算绩效管理要求，</w:t>
      </w:r>
      <w:r>
        <w:rPr>
          <w:rFonts w:hint="eastAsia" w:ascii="Times New Roman" w:hAnsi="Times New Roman" w:eastAsia="仿宋_GB2312" w:cs="Times New Roman"/>
          <w:color w:val="auto"/>
          <w:sz w:val="32"/>
          <w:szCs w:val="32"/>
          <w:lang w:val="en-US" w:eastAsia="zh-CN"/>
        </w:rPr>
        <w:t>四川神学院</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lang w:val="en-US" w:eastAsia="zh-CN" w:bidi="ar-SA"/>
        </w:rPr>
      </w:pPr>
      <w:r>
        <w:rPr>
          <w:rFonts w:hint="eastAsia" w:ascii="楷体_GB2312" w:hAnsi="宋体" w:eastAsia="楷体_GB2312"/>
          <w:color w:val="auto"/>
          <w:sz w:val="32"/>
          <w:szCs w:val="32"/>
          <w:lang w:val="zh-CN"/>
        </w:rPr>
        <w:t>资金使用。</w:t>
      </w:r>
      <w:r>
        <w:rPr>
          <w:rFonts w:hint="eastAsia" w:ascii="仿宋_GB2312" w:hAnsi="宋体" w:eastAsia="仿宋_GB2312"/>
          <w:color w:val="auto"/>
          <w:sz w:val="32"/>
          <w:szCs w:val="32"/>
          <w:lang w:val="en-US" w:eastAsia="zh-CN"/>
        </w:rPr>
        <w:t xml:space="preserve">   </w:t>
      </w:r>
    </w:p>
    <w:p>
      <w:pPr>
        <w:pStyle w:val="2"/>
        <w:ind w:firstLine="640" w:firstLineChars="2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发</w:t>
      </w:r>
      <w:r>
        <w:rPr>
          <w:rFonts w:hint="eastAsia" w:ascii="仿宋_GB2312" w:hAnsi="宋体" w:eastAsia="仿宋_GB2312"/>
          <w:color w:val="auto"/>
          <w:sz w:val="32"/>
          <w:szCs w:val="32"/>
          <w:lang w:val="en-US" w:eastAsia="zh-CN"/>
        </w:rPr>
        <w:t>“院校维修费”项目内容主要包括：对学校食堂洗碗台、碗柜进行改建，食堂厨房油烟排放系统改造，学生宿舍安装鞋柜及架子，规范整治消防设施，储藏室、洗衣棚、杂物房维修改造，会议室展柜、阅览室书柜，教室局部墙面装书柜书架，学校围墙修缮等。项目资金按照合同规定，根据工程进度分批验收支付，5万元以上的项目通过省民族宗教委党组会审批通过。单位成立专项工作小组，对项目施工过程进行全程监督，对项目合同、是否满足支付条件、严格对照开支范围、查验发票等支付凭据，确保</w:t>
      </w:r>
      <w:r>
        <w:rPr>
          <w:rFonts w:hint="eastAsia" w:ascii="仿宋_GB2312" w:hAnsi="宋体" w:eastAsia="仿宋_GB2312"/>
          <w:color w:val="auto"/>
          <w:sz w:val="32"/>
          <w:szCs w:val="32"/>
          <w:lang w:val="zh-CN"/>
        </w:rPr>
        <w:t>支付依据合规合法，资金支付与预算相符。</w:t>
      </w:r>
      <w:r>
        <w:rPr>
          <w:rFonts w:hint="default" w:ascii="Times New Roman" w:hAnsi="Times New Roman" w:eastAsia="仿宋_GB2312" w:cs="Times New Roman"/>
          <w:color w:val="auto"/>
          <w:sz w:val="32"/>
          <w:szCs w:val="32"/>
          <w:lang w:val="en-US" w:eastAsia="zh-CN"/>
        </w:rPr>
        <w:t>全年项目支出共计</w:t>
      </w:r>
      <w:r>
        <w:rPr>
          <w:rFonts w:hint="eastAsia" w:ascii="Times New Roman" w:hAnsi="Times New Roman" w:eastAsia="仿宋_GB2312" w:cs="Times New Roman"/>
          <w:color w:val="auto"/>
          <w:sz w:val="32"/>
          <w:szCs w:val="32"/>
          <w:lang w:val="en-US" w:eastAsia="zh-CN"/>
        </w:rPr>
        <w:t>14.86</w:t>
      </w:r>
      <w:r>
        <w:rPr>
          <w:rFonts w:hint="default" w:ascii="Times New Roman" w:hAnsi="Times New Roman" w:eastAsia="仿宋_GB2312" w:cs="Times New Roman"/>
          <w:color w:val="auto"/>
          <w:sz w:val="32"/>
          <w:szCs w:val="32"/>
          <w:lang w:val="en-US" w:eastAsia="zh-CN"/>
        </w:rPr>
        <w:t>万元，预算执行率为100%。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项目支出均按照有关规章制度和项目实施完成情况进行支付。专项经费使用由办公室为主管理，</w:t>
      </w:r>
      <w:r>
        <w:rPr>
          <w:rFonts w:hint="eastAsia" w:ascii="Times New Roman" w:hAnsi="Times New Roman" w:eastAsia="仿宋_GB2312" w:cs="Times New Roman"/>
          <w:color w:val="auto"/>
          <w:sz w:val="32"/>
          <w:szCs w:val="32"/>
          <w:lang w:val="en-US" w:eastAsia="zh-CN"/>
        </w:rPr>
        <w:t>由专人负责跟踪维修项目进度，由单位领导组织双方进行整改验收，阶段或整体验收结果合格后，由财务负责收集支付依据并结清款项、</w:t>
      </w:r>
      <w:r>
        <w:rPr>
          <w:rFonts w:hint="eastAsia" w:ascii="仿宋_GB2312" w:hAnsi="宋体" w:eastAsia="仿宋_GB2312"/>
          <w:color w:val="auto"/>
          <w:sz w:val="32"/>
          <w:szCs w:val="32"/>
          <w:lang w:val="zh-CN"/>
        </w:rPr>
        <w:t>及时</w:t>
      </w:r>
      <w:r>
        <w:rPr>
          <w:rFonts w:hint="eastAsia" w:ascii="Times New Roman" w:hAnsi="Times New Roman" w:eastAsia="仿宋_GB2312" w:cs="Times New Roman"/>
          <w:color w:val="auto"/>
          <w:sz w:val="32"/>
          <w:szCs w:val="32"/>
          <w:lang w:val="en-US" w:eastAsia="zh-CN"/>
        </w:rPr>
        <w:t>做好会计核算，</w:t>
      </w:r>
      <w:r>
        <w:rPr>
          <w:rFonts w:hint="default" w:ascii="Times New Roman" w:hAnsi="Times New Roman" w:eastAsia="仿宋_GB2312" w:cs="Times New Roman"/>
          <w:color w:val="auto"/>
          <w:sz w:val="32"/>
          <w:szCs w:val="32"/>
          <w:lang w:val="en-US" w:eastAsia="zh-CN"/>
        </w:rPr>
        <w:t>严格按照委相关财务管理制度执行，并按要求完善记录，确保专款专用。</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（三）项目组织实施情况。</w:t>
      </w:r>
    </w:p>
    <w:p>
      <w:pPr>
        <w:pStyle w:val="2"/>
        <w:ind w:firstLine="640" w:firstLineChars="200"/>
        <w:rPr>
          <w:rFonts w:hint="default" w:eastAsia="仿宋_GB2312"/>
          <w:lang w:val="en-US" w:eastAsia="zh-CN"/>
        </w:rPr>
      </w:pPr>
      <w:r>
        <w:rPr>
          <w:rFonts w:hint="eastAsia" w:ascii="仿宋_GB2312" w:hAnsi="宋体" w:eastAsia="仿宋_GB2312"/>
          <w:color w:val="auto"/>
          <w:sz w:val="32"/>
          <w:szCs w:val="32"/>
          <w:lang w:val="en-US" w:eastAsia="zh-CN"/>
        </w:rPr>
        <w:t>为保障专项资金安全、有效、合规的使用，院校维修项目均按照相关报批流程要求，进行具体报批实施。如2020年暑期维修改造工作，由学院院务会决议成立工作小组，确认小组各成员工作职责，并保证自始至终严格遵守中央八项规定和省委省政府十项规定，不谋求任何利益；由工作小组按资金使用范围拟定改造项目，对比三家公司资质和报价征集施工公司、商谈项目报价；由院务会讨论确定施工公司，并向民宗委及其党组会上报；根据委党组的批准组织施工方进场施工，安排专人跟踪监督维修改造项目；阶段性、整体性验收项目并结清款项；进行资金绩效评价，向民宗委提交工作汇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olor w:val="auto"/>
          <w:sz w:val="32"/>
          <w:szCs w:val="32"/>
          <w:lang w:val="zh-CN"/>
        </w:rPr>
      </w:pPr>
      <w:r>
        <w:rPr>
          <w:rFonts w:hint="eastAsia" w:ascii="黑体" w:hAnsi="宋体" w:eastAsia="黑体"/>
          <w:color w:val="auto"/>
          <w:sz w:val="32"/>
          <w:szCs w:val="32"/>
        </w:rPr>
        <w:t>三、项目绩效情况</w:t>
      </w:r>
      <w:r>
        <w:rPr>
          <w:rFonts w:hint="eastAsia" w:ascii="仿宋_GB2312" w:hAnsi="宋体" w:eastAsia="仿宋_GB2312"/>
          <w:color w:val="auto"/>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zh-CN"/>
        </w:rPr>
      </w:pPr>
      <w:r>
        <w:rPr>
          <w:rFonts w:hint="eastAsia" w:ascii="楷体_GB2312" w:hAnsi="宋体" w:eastAsia="楷体_GB2312"/>
          <w:b/>
          <w:color w:val="auto"/>
          <w:sz w:val="32"/>
          <w:szCs w:val="32"/>
          <w:lang w:val="zh-CN"/>
        </w:rPr>
        <w:t>（一）项目完成情况。</w:t>
      </w:r>
    </w:p>
    <w:p>
      <w:pPr>
        <w:pStyle w:val="2"/>
        <w:ind w:firstLine="640" w:firstLineChars="2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“院校维修费”保障了学院2020年暑期维修改造工程、厨房油烟排放系统改造工程、围墙排危改造工程等的按时按量完工。</w:t>
      </w:r>
      <w:r>
        <w:rPr>
          <w:rFonts w:hint="eastAsia" w:ascii="仿宋_GB2312" w:hAnsi="宋体" w:eastAsia="仿宋_GB2312"/>
          <w:color w:val="auto"/>
          <w:sz w:val="32"/>
          <w:szCs w:val="32"/>
          <w:lang w:val="en-US" w:eastAsia="zh-CN"/>
        </w:rPr>
        <w:t>对学校食堂洗碗台、碗柜进行改建，食堂厨房油烟排放系统改造，学生宿舍安装鞋柜及架子，规范整治消防设施，储藏室、洗衣棚、杂物房维修改造，会议室展柜、阅览室书柜，教室局部墙面装书柜书架，学校围墙修缮等有了实质性的改善和更新。</w:t>
      </w:r>
    </w:p>
    <w:p>
      <w:pPr>
        <w:pStyle w:val="2"/>
        <w:numPr>
          <w:ilvl w:val="0"/>
          <w:numId w:val="6"/>
        </w:numPr>
        <w:ind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项目效益情况。</w:t>
      </w:r>
    </w:p>
    <w:p>
      <w:pPr>
        <w:pStyle w:val="2"/>
        <w:numPr>
          <w:ilvl w:val="0"/>
          <w:numId w:val="0"/>
        </w:numPr>
        <w:ind w:firstLine="640" w:firstLineChars="200"/>
        <w:rPr>
          <w:rFonts w:hint="default" w:ascii="楷体_GB2312" w:hAnsi="宋体" w:eastAsia="楷体_GB2312"/>
          <w:b/>
          <w:color w:val="auto"/>
          <w:sz w:val="32"/>
          <w:szCs w:val="32"/>
          <w:lang w:val="en-US"/>
        </w:rPr>
      </w:pPr>
      <w:r>
        <w:rPr>
          <w:rFonts w:hint="eastAsia" w:ascii="仿宋_GB2312" w:hAnsi="宋体" w:eastAsia="仿宋_GB2312"/>
          <w:color w:val="auto"/>
          <w:sz w:val="32"/>
          <w:szCs w:val="32"/>
          <w:lang w:val="en-US" w:eastAsia="zh-CN"/>
        </w:rPr>
        <w:t>在合理控制</w:t>
      </w:r>
      <w:r>
        <w:rPr>
          <w:rFonts w:hint="eastAsia" w:ascii="Times New Roman" w:hAnsi="Times New Roman" w:eastAsia="仿宋_GB2312" w:cs="Times New Roman"/>
          <w:color w:val="auto"/>
          <w:sz w:val="32"/>
          <w:szCs w:val="32"/>
          <w:lang w:val="en-US" w:eastAsia="zh-CN"/>
        </w:rPr>
        <w:t>各项材料、人工</w:t>
      </w:r>
      <w:r>
        <w:rPr>
          <w:rFonts w:hint="eastAsia" w:ascii="仿宋_GB2312" w:hAnsi="宋体" w:eastAsia="仿宋_GB2312"/>
          <w:color w:val="auto"/>
          <w:sz w:val="32"/>
          <w:szCs w:val="32"/>
          <w:lang w:val="en-US" w:eastAsia="zh-CN"/>
        </w:rPr>
        <w:t>成本的同时，达到了预计的维修目的和效果，改善了学院的教学环境，规范和优化利用了场所空间，更新了老旧的设施，为学生创造了更良好的学习条件和安全的学习环境。学校办学几十年，各种设施破旧不堪，远远跟不上社会的发展，财政资金的投入表明了政府对我单位的支持，对宗教院校的关怀，改善了民生、满足了师生美好的诉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四、问题及建议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（一）存在的问题。</w:t>
      </w:r>
    </w:p>
    <w:p>
      <w:pPr>
        <w:pStyle w:val="2"/>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本次自评，仍然存在少数问题待解决。主要问题包括：</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绩效目标细化量化上尚不完善。</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对维修项目的预计不够全面，因场所限制部分项目在改造上受限导致二次维修的可能性。</w:t>
      </w:r>
    </w:p>
    <w:p>
      <w:pPr>
        <w:rPr>
          <w:rFonts w:hint="default" w:eastAsia="仿宋_GB2312"/>
          <w:lang w:val="en-US" w:eastAsia="zh-CN"/>
        </w:rPr>
      </w:pPr>
    </w:p>
    <w:p>
      <w:pPr>
        <w:numPr>
          <w:ilvl w:val="0"/>
          <w:numId w:val="6"/>
        </w:numPr>
        <w:adjustRightInd w:val="0"/>
        <w:snapToGrid w:val="0"/>
        <w:spacing w:line="600" w:lineRule="exact"/>
        <w:ind w:left="0" w:leftChars="0"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相关建议。</w:t>
      </w:r>
    </w:p>
    <w:p>
      <w:pPr>
        <w:pStyle w:val="2"/>
        <w:numPr>
          <w:ilvl w:val="0"/>
          <w:numId w:val="0"/>
        </w:numPr>
        <w:ind w:leftChars="200"/>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32"/>
          <w:szCs w:val="32"/>
          <w:lang w:val="en-US" w:eastAsia="zh-CN" w:bidi="ar-SA"/>
        </w:rPr>
        <w:t>根据学校实际情况和工作要求，</w:t>
      </w:r>
      <w:r>
        <w:rPr>
          <w:rFonts w:hint="default" w:ascii="Times New Roman" w:hAnsi="Times New Roman" w:eastAsia="仿宋_GB2312" w:cs="Times New Roman"/>
          <w:color w:val="auto"/>
          <w:sz w:val="32"/>
          <w:szCs w:val="32"/>
          <w:lang w:val="en-US" w:eastAsia="zh-CN"/>
        </w:rPr>
        <w:t>今后在项目立项和设置绩效目标上要更进一步细化和量化</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kern w:val="0"/>
          <w:sz w:val="32"/>
          <w:szCs w:val="32"/>
          <w:lang w:val="en-US" w:eastAsia="zh-CN" w:bidi="ar-SA"/>
        </w:rPr>
        <w:t>制定更详尽的预算计划，使资金使用更加规范。</w:t>
      </w:r>
      <w:r>
        <w:rPr>
          <w:rFonts w:hint="default" w:ascii="Times New Roman" w:hAnsi="Times New Roman" w:eastAsia="仿宋_GB2312" w:cs="Times New Roman"/>
          <w:color w:val="auto"/>
          <w:sz w:val="32"/>
          <w:szCs w:val="32"/>
          <w:lang w:val="en-US" w:eastAsia="zh-CN"/>
        </w:rPr>
        <w:t>确保项目完成的质量，进度</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kern w:val="0"/>
          <w:sz w:val="32"/>
          <w:szCs w:val="32"/>
          <w:lang w:val="en-US" w:eastAsia="zh-CN" w:bidi="ar-SA"/>
        </w:rPr>
        <w:t>让学院的面貌实现从局部到整体的改善，</w:t>
      </w:r>
      <w:r>
        <w:rPr>
          <w:rFonts w:hint="default" w:ascii="Times New Roman" w:hAnsi="Times New Roman" w:eastAsia="仿宋_GB2312" w:cs="Times New Roman"/>
          <w:color w:val="auto"/>
          <w:sz w:val="32"/>
          <w:szCs w:val="32"/>
          <w:lang w:val="en-US" w:eastAsia="zh-CN"/>
        </w:rPr>
        <w:t>收到良好的社会效益。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p>
    <w:p>
      <w:pPr>
        <w:pStyle w:val="2"/>
        <w:rPr>
          <w:rFonts w:hint="default" w:ascii="Times New Roman" w:hAnsi="Times New Roman" w:eastAsia="仿宋_GB2312" w:cs="Times New Roman"/>
          <w:color w:val="auto"/>
          <w:kern w:val="0"/>
          <w:sz w:val="32"/>
          <w:szCs w:val="32"/>
          <w:lang w:val="en-US" w:eastAsia="zh-CN" w:bidi="ar-SA"/>
        </w:rPr>
      </w:pPr>
    </w:p>
    <w:p>
      <w:pPr>
        <w:rPr>
          <w:rFonts w:hint="default" w:ascii="Times New Roman" w:hAnsi="Times New Roman" w:eastAsia="仿宋_GB2312" w:cs="Times New Roman"/>
          <w:color w:val="auto"/>
          <w:kern w:val="0"/>
          <w:sz w:val="32"/>
          <w:szCs w:val="32"/>
          <w:lang w:val="en-US" w:eastAsia="zh-CN" w:bidi="ar-SA"/>
        </w:rPr>
      </w:pPr>
    </w:p>
    <w:p>
      <w:pPr>
        <w:pStyle w:val="2"/>
        <w:rPr>
          <w:rFonts w:hint="default" w:ascii="Times New Roman" w:hAnsi="Times New Roman" w:eastAsia="仿宋_GB2312" w:cs="Times New Roman"/>
          <w:color w:val="auto"/>
          <w:kern w:val="0"/>
          <w:sz w:val="32"/>
          <w:szCs w:val="32"/>
          <w:lang w:val="en-US" w:eastAsia="zh-CN" w:bidi="ar-SA"/>
        </w:rPr>
      </w:pPr>
    </w:p>
    <w:p>
      <w:pPr>
        <w:rPr>
          <w:rFonts w:hint="default"/>
          <w:lang w:val="en-US" w:eastAsia="zh-CN"/>
        </w:rPr>
      </w:pPr>
    </w:p>
    <w:p>
      <w:pPr>
        <w:pStyle w:val="2"/>
      </w:pPr>
    </w:p>
    <w:p/>
    <w:p>
      <w:pPr>
        <w:pStyle w:val="2"/>
      </w:pPr>
    </w:p>
    <w:p/>
    <w:p>
      <w:pPr>
        <w:pStyle w:val="2"/>
      </w:pPr>
    </w:p>
    <w:p/>
    <w:p>
      <w:pPr>
        <w:pStyle w:val="2"/>
      </w:pPr>
    </w:p>
    <w:p>
      <w:pPr>
        <w:spacing w:line="600" w:lineRule="exact"/>
        <w:jc w:val="center"/>
        <w:outlineLvl w:val="0"/>
        <w:rPr>
          <w:rFonts w:hint="eastAsia" w:ascii="仿宋" w:hAnsi="仿宋" w:eastAsia="仿宋"/>
          <w:b w:val="0"/>
          <w:color w:val="000000"/>
        </w:rPr>
      </w:pPr>
      <w:bookmarkStart w:id="53"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3"/>
      <w:bookmarkStart w:id="54" w:name="_Toc15396619"/>
    </w:p>
    <w:p>
      <w:pPr>
        <w:pStyle w:val="4"/>
        <w:rPr>
          <w:rFonts w:ascii="仿宋" w:hAnsi="仿宋" w:eastAsia="仿宋"/>
          <w:color w:val="000000"/>
        </w:rPr>
      </w:pPr>
      <w:r>
        <w:rPr>
          <w:rFonts w:hint="eastAsia" w:ascii="仿宋" w:hAnsi="仿宋" w:eastAsia="仿宋"/>
          <w:b w:val="0"/>
          <w:color w:val="000000"/>
        </w:rPr>
        <w:t>一、收</w:t>
      </w:r>
      <w:r>
        <w:rPr>
          <w:rStyle w:val="27"/>
          <w:rFonts w:hint="eastAsia" w:ascii="仿宋" w:hAnsi="仿宋" w:eastAsia="仿宋"/>
          <w:b w:val="0"/>
          <w:bCs w:val="0"/>
        </w:rPr>
        <w:t>入支出决算总表</w:t>
      </w:r>
      <w:bookmarkEnd w:id="54"/>
    </w:p>
    <w:p>
      <w:pPr>
        <w:pStyle w:val="4"/>
        <w:rPr>
          <w:rFonts w:ascii="仿宋" w:hAnsi="仿宋" w:eastAsia="仿宋"/>
          <w:color w:val="000000"/>
        </w:rPr>
      </w:pPr>
      <w:bookmarkStart w:id="55"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55"/>
    </w:p>
    <w:p>
      <w:pPr>
        <w:pStyle w:val="4"/>
        <w:rPr>
          <w:rFonts w:ascii="仿宋" w:hAnsi="仿宋" w:eastAsia="仿宋"/>
          <w:color w:val="000000"/>
        </w:rPr>
      </w:pPr>
      <w:bookmarkStart w:id="56"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56"/>
    </w:p>
    <w:p>
      <w:pPr>
        <w:pStyle w:val="4"/>
        <w:rPr>
          <w:rFonts w:ascii="仿宋" w:hAnsi="仿宋" w:eastAsia="仿宋"/>
          <w:b w:val="0"/>
          <w:color w:val="000000"/>
        </w:rPr>
      </w:pPr>
      <w:bookmarkStart w:id="57"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57"/>
    </w:p>
    <w:p>
      <w:pPr>
        <w:pStyle w:val="4"/>
        <w:rPr>
          <w:rStyle w:val="27"/>
          <w:rFonts w:ascii="仿宋" w:hAnsi="仿宋" w:eastAsia="仿宋"/>
          <w:b w:val="0"/>
          <w:bCs w:val="0"/>
        </w:rPr>
      </w:pPr>
      <w:bookmarkStart w:id="58"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58"/>
      <w:bookmarkStart w:id="59" w:name="_Toc15396624"/>
    </w:p>
    <w:p>
      <w:pPr>
        <w:pStyle w:val="4"/>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59"/>
    </w:p>
    <w:p>
      <w:pPr>
        <w:pStyle w:val="4"/>
        <w:rPr>
          <w:rFonts w:ascii="仿宋" w:hAnsi="仿宋" w:eastAsia="仿宋"/>
          <w:color w:val="000000"/>
        </w:rPr>
      </w:pPr>
      <w:bookmarkStart w:id="60"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0"/>
    </w:p>
    <w:p>
      <w:pPr>
        <w:pStyle w:val="4"/>
        <w:rPr>
          <w:rFonts w:ascii="仿宋" w:hAnsi="仿宋" w:eastAsia="仿宋"/>
          <w:color w:val="000000"/>
        </w:rPr>
      </w:pPr>
      <w:bookmarkStart w:id="61"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1"/>
    </w:p>
    <w:p>
      <w:pPr>
        <w:pStyle w:val="4"/>
        <w:rPr>
          <w:rFonts w:ascii="仿宋" w:hAnsi="仿宋" w:eastAsia="仿宋"/>
          <w:color w:val="000000"/>
        </w:rPr>
      </w:pPr>
      <w:bookmarkStart w:id="62"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2"/>
    </w:p>
    <w:p>
      <w:pPr>
        <w:pStyle w:val="4"/>
        <w:rPr>
          <w:rFonts w:ascii="仿宋" w:hAnsi="仿宋" w:eastAsia="仿宋"/>
          <w:color w:val="000000"/>
        </w:rPr>
      </w:pPr>
      <w:bookmarkStart w:id="63"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3"/>
    </w:p>
    <w:p>
      <w:pPr>
        <w:pStyle w:val="4"/>
        <w:rPr>
          <w:rFonts w:ascii="仿宋" w:hAnsi="仿宋" w:eastAsia="仿宋"/>
          <w:color w:val="000000"/>
        </w:rPr>
      </w:pPr>
      <w:bookmarkStart w:id="64"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64"/>
    </w:p>
    <w:p>
      <w:pPr>
        <w:pStyle w:val="4"/>
        <w:rPr>
          <w:rFonts w:ascii="仿宋" w:hAnsi="仿宋" w:eastAsia="仿宋"/>
          <w:color w:val="000000"/>
        </w:rPr>
      </w:pPr>
      <w:bookmarkStart w:id="65"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65"/>
    </w:p>
    <w:p>
      <w:pPr>
        <w:pStyle w:val="4"/>
        <w:rPr>
          <w:rStyle w:val="27"/>
          <w:rFonts w:hint="eastAsia" w:ascii="仿宋" w:hAnsi="仿宋" w:eastAsia="仿宋"/>
          <w:b w:val="0"/>
          <w:bCs w:val="0"/>
        </w:rPr>
      </w:pPr>
      <w:bookmarkStart w:id="66"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w:t>
      </w:r>
      <w:r>
        <w:rPr>
          <w:rStyle w:val="27"/>
          <w:rFonts w:hint="eastAsia" w:ascii="仿宋" w:hAnsi="仿宋" w:eastAsia="仿宋"/>
          <w:b w:val="0"/>
          <w:bCs w:val="0"/>
          <w:lang w:eastAsia="zh-CN"/>
        </w:rPr>
        <w:t>财政拨款收入</w:t>
      </w:r>
      <w:r>
        <w:rPr>
          <w:rStyle w:val="27"/>
          <w:rFonts w:hint="eastAsia" w:ascii="仿宋" w:hAnsi="仿宋" w:eastAsia="仿宋"/>
          <w:b w:val="0"/>
          <w:bCs w:val="0"/>
        </w:rPr>
        <w:t>支出决算表</w:t>
      </w:r>
      <w:bookmarkEnd w:id="66"/>
    </w:p>
    <w:p>
      <w:pPr>
        <w:rPr>
          <w:rFonts w:hint="eastAsia" w:eastAsia="仿宋"/>
          <w:lang w:eastAsia="zh-CN"/>
        </w:rPr>
      </w:pPr>
      <w:r>
        <w:rPr>
          <w:rStyle w:val="27"/>
          <w:rFonts w:hint="eastAsia" w:ascii="仿宋" w:hAnsi="仿宋" w:eastAsia="仿宋"/>
          <w:b w:val="0"/>
          <w:bCs w:val="0"/>
          <w:lang w:eastAsia="zh-CN"/>
        </w:rPr>
        <w:t>十四、国有资本经营预算财政拨款支出决算表</w:t>
      </w:r>
    </w:p>
    <w:p>
      <w:pPr>
        <w:rPr>
          <w:rFonts w:hint="eastAsia" w:eastAsia="仿宋"/>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ACF1D3-C652-4D7D-A5EC-FD4C8360D3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5772D2B-22E0-4A4E-9824-2D7104353A4E}"/>
  </w:font>
  <w:font w:name="Cambria">
    <w:panose1 w:val="02040503050406030204"/>
    <w:charset w:val="00"/>
    <w:family w:val="roman"/>
    <w:pitch w:val="default"/>
    <w:sig w:usb0="E00006FF" w:usb1="420024FF" w:usb2="02000000" w:usb3="00000000" w:csb0="2000019F" w:csb1="00000000"/>
    <w:embedRegular r:id="rId3" w:fontKey="{1F7F1374-4B85-4888-865C-DE1A8C40246C}"/>
  </w:font>
  <w:font w:name="仿宋_GB2312">
    <w:altName w:val="仿宋"/>
    <w:panose1 w:val="02010609030101010101"/>
    <w:charset w:val="86"/>
    <w:family w:val="modern"/>
    <w:pitch w:val="default"/>
    <w:sig w:usb0="00000000" w:usb1="00000000" w:usb2="00000000" w:usb3="00000000" w:csb0="00040000" w:csb1="00000000"/>
    <w:embedRegular r:id="rId4" w:fontKey="{3EE5F928-A17A-49C6-B2CC-B15C41FA41E5}"/>
  </w:font>
  <w:font w:name="仿宋">
    <w:panose1 w:val="02010609060101010101"/>
    <w:charset w:val="86"/>
    <w:family w:val="auto"/>
    <w:pitch w:val="default"/>
    <w:sig w:usb0="800002BF" w:usb1="38CF7CFA" w:usb2="00000016" w:usb3="00000000" w:csb0="00040001" w:csb1="00000000"/>
    <w:embedRegular r:id="rId5" w:fontKey="{D38E4642-7C65-4CAC-BE7B-617B0264B4E5}"/>
  </w:font>
  <w:font w:name="方正小标宋简体">
    <w:panose1 w:val="02000000000000000000"/>
    <w:charset w:val="86"/>
    <w:family w:val="script"/>
    <w:pitch w:val="default"/>
    <w:sig w:usb0="00000001" w:usb1="08000000" w:usb2="00000000" w:usb3="00000000" w:csb0="00040000" w:csb1="00000000"/>
    <w:embedRegular r:id="rId6" w:fontKey="{8CE9B121-E6CE-4363-B5BD-8E7824514758}"/>
  </w:font>
  <w:font w:name="楷体_GB2312">
    <w:altName w:val="楷体"/>
    <w:panose1 w:val="02010609030101010101"/>
    <w:charset w:val="86"/>
    <w:family w:val="auto"/>
    <w:pitch w:val="default"/>
    <w:sig w:usb0="00000000" w:usb1="00000000" w:usb2="00000000" w:usb3="00000000" w:csb0="00040000" w:csb1="00000000"/>
    <w:embedRegular r:id="rId7" w:fontKey="{F9E143B5-A32F-4D3F-9ADF-1F00792DBC7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29E0C"/>
    <w:multiLevelType w:val="singleLevel"/>
    <w:tmpl w:val="97029E0C"/>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A4A258"/>
    <w:multiLevelType w:val="singleLevel"/>
    <w:tmpl w:val="DEA4A258"/>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038D4268"/>
    <w:multiLevelType w:val="singleLevel"/>
    <w:tmpl w:val="038D4268"/>
    <w:lvl w:ilvl="0" w:tentative="0">
      <w:start w:val="2"/>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B05CF7A"/>
    <w:multiLevelType w:val="singleLevel"/>
    <w:tmpl w:val="5B05CF7A"/>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TBmMjM5MmNlODdiNDM5ZjZmOGY0MzY3YjQyZm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690A"/>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184BD8"/>
    <w:rsid w:val="07C16D0D"/>
    <w:rsid w:val="0A2032A3"/>
    <w:rsid w:val="10C055FF"/>
    <w:rsid w:val="118107EC"/>
    <w:rsid w:val="14ED284B"/>
    <w:rsid w:val="161A3369"/>
    <w:rsid w:val="1650549C"/>
    <w:rsid w:val="16BB723D"/>
    <w:rsid w:val="18015F3F"/>
    <w:rsid w:val="1A063BBA"/>
    <w:rsid w:val="1B9025F7"/>
    <w:rsid w:val="1BE8440E"/>
    <w:rsid w:val="1D155CEE"/>
    <w:rsid w:val="1FC744F5"/>
    <w:rsid w:val="20F57F95"/>
    <w:rsid w:val="21984127"/>
    <w:rsid w:val="240371BF"/>
    <w:rsid w:val="292B1A49"/>
    <w:rsid w:val="293B6E2D"/>
    <w:rsid w:val="29FD04D3"/>
    <w:rsid w:val="2ABE7A3E"/>
    <w:rsid w:val="2AC028CD"/>
    <w:rsid w:val="2C1008FB"/>
    <w:rsid w:val="2CC53E60"/>
    <w:rsid w:val="2E1C6FAC"/>
    <w:rsid w:val="319F7F4E"/>
    <w:rsid w:val="332C79ED"/>
    <w:rsid w:val="3B2F2AB6"/>
    <w:rsid w:val="3D922A2C"/>
    <w:rsid w:val="3F6D22DA"/>
    <w:rsid w:val="47471940"/>
    <w:rsid w:val="496F39ED"/>
    <w:rsid w:val="4BE068DB"/>
    <w:rsid w:val="4CEA71EE"/>
    <w:rsid w:val="4E547C23"/>
    <w:rsid w:val="4ECE2238"/>
    <w:rsid w:val="4FDA67EA"/>
    <w:rsid w:val="5BC23DA6"/>
    <w:rsid w:val="5C6240E0"/>
    <w:rsid w:val="5F3016CE"/>
    <w:rsid w:val="603A2D04"/>
    <w:rsid w:val="66672E76"/>
    <w:rsid w:val="67BB562B"/>
    <w:rsid w:val="697707C4"/>
    <w:rsid w:val="6B874308"/>
    <w:rsid w:val="6C4A05C8"/>
    <w:rsid w:val="6DF16101"/>
    <w:rsid w:val="6FAE648B"/>
    <w:rsid w:val="71FF25ED"/>
    <w:rsid w:val="72734D90"/>
    <w:rsid w:val="74E4007D"/>
    <w:rsid w:val="797C1055"/>
    <w:rsid w:val="79BC1BD2"/>
    <w:rsid w:val="79C12FA8"/>
    <w:rsid w:val="7C7875AF"/>
    <w:rsid w:val="7DA46D70"/>
    <w:rsid w:val="7F1A4B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jc w:val="left"/>
    </w:pPr>
    <w:rPr>
      <w:rFonts w:ascii="Calibri" w:hAnsi="Calibri"/>
      <w:kern w:val="0"/>
      <w:szCs w:val="21"/>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manualLayout>
          <c:layoutTarget val="inner"/>
          <c:xMode val="edge"/>
          <c:yMode val="edge"/>
          <c:x val="0.250348283025785"/>
          <c:y val="0.205774617539323"/>
          <c:w val="0.745985579860687"/>
          <c:h val="0.731394096099979"/>
        </c:manualLayout>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469.38</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427.99</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Sheet1!$D$2:$D$3</c:f>
              <c:numCache>
                <c:formatCode>General</c:formatCode>
                <c:ptCount val="2"/>
              </c:numCache>
            </c:numRef>
          </c:val>
        </c:ser>
        <c:dLbls>
          <c:showLegendKey val="0"/>
          <c:showVal val="1"/>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446006191950464"/>
          <c:y val="0.0217255065803217"/>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其他收入</c:v>
                </c:pt>
                <c:pt idx="2">
                  <c:v>上级补助收入</c:v>
                </c:pt>
              </c:strCache>
            </c:strRef>
          </c:cat>
          <c:val>
            <c:numRef>
              <c:f>Sheet1!$B$2:$B$4</c:f>
              <c:numCache>
                <c:formatCode>General</c:formatCode>
                <c:ptCount val="3"/>
                <c:pt idx="0">
                  <c:v>209.99</c:v>
                </c:pt>
                <c:pt idx="1">
                  <c:v>74.01</c:v>
                </c:pt>
                <c:pt idx="2">
                  <c:v>64.74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：支出决算结构</a:t>
            </a:r>
            <a:r>
              <a:t>图</a:t>
            </a:r>
          </a:p>
        </c:rich>
      </c:tx>
      <c:layout>
        <c:manualLayout>
          <c:xMode val="edge"/>
          <c:yMode val="edge"/>
          <c:x val="0.446006191950464"/>
          <c:y val="0.0217255065803217"/>
        </c:manualLayout>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136.46</c:v>
                </c:pt>
                <c:pt idx="1">
                  <c:v>214.96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：财政拨款收、支总计变动情况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Sheet1!$B$2</c:f>
              <c:numCache>
                <c:formatCode>General</c:formatCode>
                <c:ptCount val="1"/>
                <c:pt idx="0">
                  <c:v>254.31</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Sheet1!$C$2</c:f>
              <c:numCache>
                <c:formatCode>General</c:formatCode>
                <c:ptCount val="1"/>
                <c:pt idx="0">
                  <c:v>209.99</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254.31</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209.99</c:v>
                </c:pt>
              </c:numCache>
            </c:numRef>
          </c:val>
        </c:ser>
        <c:dLbls>
          <c:showLegendKey val="0"/>
          <c:showVal val="0"/>
          <c:showCatName val="0"/>
          <c:showSerName val="0"/>
          <c:showPercent val="0"/>
          <c:showBubbleSize val="0"/>
        </c:dLbls>
        <c:gapWidth val="150"/>
        <c:overlap val="0"/>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t>：一般公共预算财政拨款支出决算结构</a:t>
            </a:r>
          </a:p>
        </c:rich>
      </c:tx>
      <c:layout>
        <c:manualLayout>
          <c:xMode val="edge"/>
          <c:yMode val="edge"/>
          <c:x val="0.0816063764561619"/>
          <c:y val="0.0342757067800851"/>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c:v>
                </c:pt>
                <c:pt idx="2">
                  <c:v>医疗卫生支出</c:v>
                </c:pt>
                <c:pt idx="3">
                  <c:v>住房保障支出</c:v>
                </c:pt>
              </c:strCache>
            </c:strRef>
          </c:cat>
          <c:val>
            <c:numRef>
              <c:f>Sheet1!$B$2:$B$5</c:f>
              <c:numCache>
                <c:formatCode>General</c:formatCode>
                <c:ptCount val="4"/>
                <c:pt idx="0">
                  <c:v>175.42</c:v>
                </c:pt>
                <c:pt idx="1">
                  <c:v>14.46</c:v>
                </c:pt>
                <c:pt idx="2">
                  <c:v>4.33</c:v>
                </c:pt>
                <c:pt idx="3">
                  <c:v>15.78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3626651861799"/>
                  <c:y val="0.05307888473245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100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8010</Words>
  <Characters>10643</Characters>
  <Lines>61</Lines>
  <Paragraphs>17</Paragraphs>
  <TotalTime>2</TotalTime>
  <ScaleCrop>false</ScaleCrop>
  <LinksUpToDate>false</LinksUpToDate>
  <CharactersWithSpaces>10681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Iris</cp:lastModifiedBy>
  <cp:lastPrinted>2021-07-29T03:56:00Z</cp:lastPrinted>
  <dcterms:modified xsi:type="dcterms:W3CDTF">2022-11-14T07:20:00Z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D80AA73018B74539AE1BDE3728DDC7E5</vt:lpwstr>
  </property>
</Properties>
</file>