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color w:val="000000"/>
          <w:sz w:val="30"/>
          <w:szCs w:val="30"/>
          <w:lang w:val="en-US" w:eastAsia="zh-CN"/>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52"/>
          <w:szCs w:val="52"/>
        </w:rPr>
      </w:pPr>
    </w:p>
    <w:p>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8441"/>
      <w:bookmarkStart w:id="2" w:name="_Toc15377193"/>
      <w:bookmarkStart w:id="3" w:name="_Toc15396475"/>
      <w:bookmarkStart w:id="4" w:name="_Toc15377425"/>
      <w:bookmarkStart w:id="5" w:name="_Toc15396597"/>
      <w:r>
        <w:rPr>
          <w:rFonts w:ascii="黑体" w:hAnsi="黑体" w:eastAsia="黑体"/>
          <w:color w:val="000000"/>
          <w:sz w:val="52"/>
          <w:szCs w:val="52"/>
        </w:rPr>
        <w:t>20</w:t>
      </w:r>
      <w:r>
        <w:rPr>
          <w:rFonts w:hint="eastAsia" w:ascii="黑体" w:hAnsi="黑体" w:eastAsia="黑体"/>
          <w:color w:val="000000"/>
          <w:sz w:val="52"/>
          <w:szCs w:val="52"/>
          <w:lang w:val="en-US" w:eastAsia="zh-CN"/>
        </w:rPr>
        <w:t>20</w:t>
      </w:r>
      <w:r>
        <w:rPr>
          <w:rFonts w:hint="eastAsia" w:ascii="方正小标宋简体" w:hAnsi="宋体" w:eastAsia="方正小标宋简体"/>
          <w:color w:val="000000"/>
          <w:sz w:val="52"/>
          <w:szCs w:val="5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52"/>
          <w:szCs w:val="52"/>
          <w:lang w:val="en-US" w:eastAsia="zh-CN"/>
        </w:rPr>
      </w:pPr>
      <w:bookmarkStart w:id="6" w:name="_Toc15378442"/>
      <w:bookmarkStart w:id="7" w:name="_Toc15396476"/>
      <w:bookmarkStart w:id="8" w:name="_Toc15377194"/>
      <w:bookmarkStart w:id="9" w:name="_Toc15377426"/>
      <w:bookmarkStart w:id="10" w:name="_Toc15396598"/>
      <w:r>
        <w:rPr>
          <w:rFonts w:hint="eastAsia" w:ascii="方正小标宋简体" w:hAnsi="宋体" w:eastAsia="方正小标宋简体"/>
          <w:color w:val="000000"/>
          <w:sz w:val="52"/>
          <w:szCs w:val="52"/>
        </w:rPr>
        <w:t>四川省</w:t>
      </w:r>
      <w:bookmarkEnd w:id="0"/>
      <w:bookmarkStart w:id="11" w:name="_Toc15306268"/>
      <w:r>
        <w:rPr>
          <w:rFonts w:hint="eastAsia" w:ascii="方正小标宋简体" w:hAnsi="宋体" w:eastAsia="方正小标宋简体"/>
          <w:color w:val="000000"/>
          <w:sz w:val="52"/>
          <w:szCs w:val="52"/>
          <w:lang w:val="en-US" w:eastAsia="zh-CN"/>
        </w:rPr>
        <w:t>少数民族古籍整理办公室</w:t>
      </w:r>
    </w:p>
    <w:p>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lang w:val="en-US" w:eastAsia="zh-CN"/>
        </w:rPr>
        <w:t>单位</w:t>
      </w:r>
      <w:r>
        <w:rPr>
          <w:rFonts w:hint="eastAsia" w:ascii="方正小标宋简体" w:hAnsi="宋体" w:eastAsia="方正小标宋简体"/>
          <w:color w:val="000000"/>
          <w:sz w:val="52"/>
          <w:szCs w:val="52"/>
        </w:rPr>
        <w:t>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p>
    <w:p/>
    <w:sdt>
      <w:sdtPr>
        <w:rPr>
          <w:rFonts w:ascii="宋体" w:hAnsi="宋体" w:eastAsia="宋体"/>
          <w:sz w:val="21"/>
        </w:rPr>
        <w:id w:val="147479234"/>
        <w:docPartObj>
          <w:docPartGallery w:val="Table of Contents"/>
          <w:docPartUnique/>
        </w:docPartObj>
      </w:sdtPr>
      <w:sdtEndPr>
        <w:rPr>
          <w:rFonts w:ascii="宋体" w:hAnsi="宋体" w:eastAsia="宋体"/>
          <w:sz w:val="20"/>
          <w:szCs w:val="20"/>
        </w:rPr>
      </w:sdtEndPr>
      <w:sdtContent>
        <w:p>
          <w:pPr>
            <w:jc w:val="center"/>
          </w:pPr>
          <w:bookmarkStart w:id="12" w:name="_Toc15396599"/>
          <w:bookmarkStart w:id="13" w:name="_Toc15377196"/>
          <w:bookmarkStart w:id="14" w:name="_Toc12958"/>
        </w:p>
        <w:p>
          <w:pPr>
            <w:pStyle w:val="31"/>
            <w:tabs>
              <w:tab w:val="right" w:leader="dot" w:pos="8306"/>
            </w:tabs>
          </w:pPr>
          <w:r>
            <w:rPr>
              <w:b/>
              <w:bCs/>
            </w:rPr>
            <w:fldChar w:fldCharType="begin"/>
          </w:r>
          <w:r>
            <w:instrText xml:space="preserve"> HYPERLINK \l _Toc21452 </w:instrText>
          </w:r>
          <w:r>
            <w:rPr>
              <w:b/>
              <w:bCs/>
            </w:rPr>
            <w:fldChar w:fldCharType="separate"/>
          </w:r>
          <w:sdt>
            <w:sdtPr>
              <w:rPr>
                <w:rFonts w:ascii="Times New Roman" w:hAnsi="Times New Roman" w:eastAsia="宋体" w:cs="Times New Roman"/>
                <w:b/>
                <w:bCs/>
                <w:kern w:val="44"/>
                <w:sz w:val="44"/>
                <w:szCs w:val="44"/>
                <w:lang w:val="en-US" w:eastAsia="zh-CN" w:bidi="ar-SA"/>
              </w:rPr>
              <w:id w:val="147479237"/>
              <w:placeholder>
                <w:docPart w:val="{5fbe7945-02a4-4afc-9b03-f69c1c9ef3f7}"/>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imes New Roman"/>
                  <w:b/>
                  <w:bCs/>
                </w:rPr>
                <w:t>第一部分 单位概况</w:t>
              </w:r>
            </w:sdtContent>
          </w:sdt>
          <w:r>
            <w:rPr>
              <w:b/>
              <w:bCs/>
            </w:rPr>
            <w:tab/>
          </w:r>
          <w:r>
            <w:rPr>
              <w:b/>
              <w:bCs/>
            </w:rPr>
            <w:t>4</w:t>
          </w:r>
          <w:r>
            <w:rPr>
              <w:b/>
              <w:bCs/>
            </w:rPr>
            <w:fldChar w:fldCharType="end"/>
          </w:r>
        </w:p>
        <w:p>
          <w:pPr>
            <w:pStyle w:val="32"/>
            <w:tabs>
              <w:tab w:val="right" w:leader="dot" w:pos="8306"/>
            </w:tabs>
          </w:pPr>
          <w:r>
            <w:fldChar w:fldCharType="begin"/>
          </w:r>
          <w:r>
            <w:instrText xml:space="preserve"> HYPERLINK \l _Toc31223 </w:instrText>
          </w:r>
          <w:r>
            <w:fldChar w:fldCharType="separate"/>
          </w:r>
          <w:sdt>
            <w:sdtPr>
              <w:rPr>
                <w:rFonts w:ascii="Times New Roman" w:hAnsi="Times New Roman" w:eastAsia="宋体" w:cs="Times New Roman"/>
                <w:b/>
                <w:bCs/>
                <w:kern w:val="44"/>
                <w:sz w:val="44"/>
                <w:szCs w:val="44"/>
                <w:lang w:val="en-US" w:eastAsia="zh-CN" w:bidi="ar-SA"/>
              </w:rPr>
              <w:id w:val="147479237"/>
              <w:placeholder>
                <w:docPart w:val="{4747ac12-6bc7-4850-bcd0-9d129f1b2a8f}"/>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heme="majorBidi"/>
                </w:rPr>
                <w:t>一、职能简介</w:t>
              </w:r>
            </w:sdtContent>
          </w:sdt>
          <w:r>
            <w:tab/>
          </w:r>
          <w:r>
            <w:t>4</w:t>
          </w:r>
          <w:r>
            <w:fldChar w:fldCharType="end"/>
          </w:r>
        </w:p>
        <w:p>
          <w:pPr>
            <w:pStyle w:val="32"/>
            <w:tabs>
              <w:tab w:val="right" w:leader="dot" w:pos="8306"/>
            </w:tabs>
          </w:pPr>
          <w:r>
            <w:fldChar w:fldCharType="begin"/>
          </w:r>
          <w:r>
            <w:instrText xml:space="preserve"> HYPERLINK \l _Toc19639 </w:instrText>
          </w:r>
          <w:r>
            <w:fldChar w:fldCharType="separate"/>
          </w:r>
          <w:sdt>
            <w:sdtPr>
              <w:rPr>
                <w:rFonts w:ascii="Times New Roman" w:hAnsi="Times New Roman" w:eastAsia="宋体" w:cs="Times New Roman"/>
                <w:b/>
                <w:bCs/>
                <w:kern w:val="44"/>
                <w:sz w:val="44"/>
                <w:szCs w:val="44"/>
                <w:lang w:val="en-US" w:eastAsia="zh-CN" w:bidi="ar-SA"/>
              </w:rPr>
              <w:id w:val="147479237"/>
              <w:placeholder>
                <w:docPart w:val="{4804a689-a61a-4198-8222-1837c96f656e}"/>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heme="majorBidi"/>
                </w:rPr>
                <w:t>二、2020年重点工作完成情况</w:t>
              </w:r>
            </w:sdtContent>
          </w:sdt>
          <w:r>
            <w:tab/>
          </w:r>
          <w:r>
            <w:t>4</w:t>
          </w:r>
          <w:r>
            <w:fldChar w:fldCharType="end"/>
          </w:r>
        </w:p>
        <w:p>
          <w:pPr>
            <w:pStyle w:val="31"/>
            <w:tabs>
              <w:tab w:val="right" w:leader="dot" w:pos="8306"/>
            </w:tabs>
          </w:pPr>
          <w:r>
            <w:rPr>
              <w:b/>
              <w:bCs/>
            </w:rPr>
            <w:fldChar w:fldCharType="begin"/>
          </w:r>
          <w:r>
            <w:instrText xml:space="preserve"> HYPERLINK \l _Toc1470 </w:instrText>
          </w:r>
          <w:r>
            <w:rPr>
              <w:b/>
              <w:bCs/>
            </w:rPr>
            <w:fldChar w:fldCharType="separate"/>
          </w:r>
          <w:sdt>
            <w:sdtPr>
              <w:rPr>
                <w:rFonts w:ascii="Times New Roman" w:hAnsi="Times New Roman" w:eastAsia="宋体" w:cs="Times New Roman"/>
                <w:b/>
                <w:bCs/>
                <w:kern w:val="44"/>
                <w:sz w:val="44"/>
                <w:szCs w:val="44"/>
                <w:lang w:val="en-US" w:eastAsia="zh-CN" w:bidi="ar-SA"/>
              </w:rPr>
              <w:id w:val="147479237"/>
              <w:placeholder>
                <w:docPart w:val="{5953c8e1-f1b8-44e3-803e-bc1ef5ba53ab}"/>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imes New Roman"/>
                  <w:b/>
                  <w:bCs/>
                </w:rPr>
                <w:t>第二部分 2020年度</w:t>
              </w:r>
              <w:r>
                <w:rPr>
                  <w:rFonts w:hint="eastAsia" w:ascii="黑体" w:hAnsi="黑体" w:eastAsia="黑体" w:cs="Times New Roman"/>
                  <w:b/>
                  <w:bCs/>
                  <w:lang w:eastAsia="zh-CN"/>
                </w:rPr>
                <w:t>单位决算</w:t>
              </w:r>
              <w:r>
                <w:rPr>
                  <w:rFonts w:hint="eastAsia" w:ascii="黑体" w:hAnsi="黑体" w:eastAsia="黑体" w:cs="Times New Roman"/>
                  <w:b/>
                  <w:bCs/>
                </w:rPr>
                <w:t>情况说明</w:t>
              </w:r>
            </w:sdtContent>
          </w:sdt>
          <w:r>
            <w:rPr>
              <w:b/>
              <w:bCs/>
            </w:rPr>
            <w:tab/>
          </w:r>
          <w:r>
            <w:rPr>
              <w:b/>
              <w:bCs/>
            </w:rPr>
            <w:t>6</w:t>
          </w:r>
          <w:r>
            <w:rPr>
              <w:b/>
              <w:bCs/>
            </w:rPr>
            <w:fldChar w:fldCharType="end"/>
          </w:r>
        </w:p>
        <w:p>
          <w:pPr>
            <w:pStyle w:val="32"/>
            <w:tabs>
              <w:tab w:val="right" w:leader="dot" w:pos="8306"/>
            </w:tabs>
          </w:pPr>
          <w:r>
            <w:fldChar w:fldCharType="begin"/>
          </w:r>
          <w:r>
            <w:instrText xml:space="preserve"> HYPERLINK \l _Toc32324 </w:instrText>
          </w:r>
          <w:r>
            <w:fldChar w:fldCharType="separate"/>
          </w:r>
          <w:sdt>
            <w:sdtPr>
              <w:rPr>
                <w:rFonts w:ascii="Times New Roman" w:hAnsi="Times New Roman" w:eastAsia="宋体" w:cs="Times New Roman"/>
                <w:b/>
                <w:bCs/>
                <w:kern w:val="44"/>
                <w:sz w:val="44"/>
                <w:szCs w:val="44"/>
                <w:lang w:val="en-US" w:eastAsia="zh-CN" w:bidi="ar-SA"/>
              </w:rPr>
              <w:id w:val="147479237"/>
              <w:placeholder>
                <w:docPart w:val="{cc65de0f-12fb-4a59-8d73-a3aba956da93}"/>
              </w:placeholder>
            </w:sdtPr>
            <w:sdtEndPr>
              <w:rPr>
                <w:rFonts w:ascii="Times New Roman" w:hAnsi="Times New Roman" w:eastAsia="宋体" w:cs="Times New Roman"/>
                <w:b/>
                <w:bCs/>
                <w:kern w:val="44"/>
                <w:sz w:val="44"/>
                <w:szCs w:val="44"/>
                <w:lang w:val="en-US" w:eastAsia="zh-CN" w:bidi="ar-SA"/>
              </w:rPr>
            </w:sdtEndPr>
            <w:sdtContent>
              <w:r>
                <w:rPr>
                  <w:rFonts w:hint="default" w:ascii="黑体" w:hAnsi="黑体" w:eastAsia="黑体" w:cstheme="majorBidi"/>
                </w:rPr>
                <w:t xml:space="preserve">一、 </w:t>
              </w:r>
              <w:r>
                <w:rPr>
                  <w:rFonts w:hint="eastAsia" w:ascii="黑体" w:hAnsi="黑体" w:eastAsia="黑体" w:cs="Times New Roman"/>
                </w:rPr>
                <w:t>收</w:t>
              </w:r>
              <w:r>
                <w:rPr>
                  <w:rFonts w:hint="eastAsia" w:ascii="黑体" w:hAnsi="黑体" w:eastAsia="黑体" w:cstheme="majorBidi"/>
                </w:rPr>
                <w:t>入支出决算总体情况说明</w:t>
              </w:r>
            </w:sdtContent>
          </w:sdt>
          <w:r>
            <w:tab/>
          </w:r>
          <w:r>
            <w:t>6</w:t>
          </w:r>
          <w:r>
            <w:fldChar w:fldCharType="end"/>
          </w:r>
        </w:p>
        <w:p>
          <w:pPr>
            <w:pStyle w:val="32"/>
            <w:tabs>
              <w:tab w:val="right" w:leader="dot" w:pos="8306"/>
            </w:tabs>
          </w:pPr>
          <w:r>
            <w:fldChar w:fldCharType="begin"/>
          </w:r>
          <w:r>
            <w:instrText xml:space="preserve"> HYPERLINK \l _Toc17298 </w:instrText>
          </w:r>
          <w:r>
            <w:fldChar w:fldCharType="separate"/>
          </w:r>
          <w:sdt>
            <w:sdtPr>
              <w:rPr>
                <w:rFonts w:ascii="Times New Roman" w:hAnsi="Times New Roman" w:eastAsia="宋体" w:cs="Times New Roman"/>
                <w:b/>
                <w:bCs/>
                <w:kern w:val="44"/>
                <w:sz w:val="44"/>
                <w:szCs w:val="44"/>
                <w:lang w:val="en-US" w:eastAsia="zh-CN" w:bidi="ar-SA"/>
              </w:rPr>
              <w:id w:val="147479237"/>
              <w:placeholder>
                <w:docPart w:val="{64ea0b77-01a1-480a-8972-8fcc96311de4}"/>
              </w:placeholder>
            </w:sdtPr>
            <w:sdtEndPr>
              <w:rPr>
                <w:rFonts w:ascii="Times New Roman" w:hAnsi="Times New Roman" w:eastAsia="宋体" w:cs="Times New Roman"/>
                <w:b/>
                <w:bCs/>
                <w:kern w:val="44"/>
                <w:sz w:val="44"/>
                <w:szCs w:val="44"/>
                <w:lang w:val="en-US" w:eastAsia="zh-CN" w:bidi="ar-SA"/>
              </w:rPr>
            </w:sdtEndPr>
            <w:sdtContent>
              <w:r>
                <w:rPr>
                  <w:rFonts w:hint="default" w:ascii="黑体" w:hAnsi="黑体" w:eastAsia="黑体" w:cstheme="majorBidi"/>
                </w:rPr>
                <w:t xml:space="preserve">二、 </w:t>
              </w:r>
              <w:r>
                <w:rPr>
                  <w:rFonts w:hint="eastAsia" w:ascii="黑体" w:hAnsi="黑体" w:eastAsia="黑体" w:cs="Times New Roman"/>
                </w:rPr>
                <w:t>收</w:t>
              </w:r>
              <w:r>
                <w:rPr>
                  <w:rFonts w:hint="eastAsia" w:ascii="黑体" w:hAnsi="黑体" w:eastAsia="黑体" w:cstheme="majorBidi"/>
                </w:rPr>
                <w:t>入决算情况说明</w:t>
              </w:r>
            </w:sdtContent>
          </w:sdt>
          <w:r>
            <w:tab/>
          </w:r>
          <w:r>
            <w:t>6</w:t>
          </w:r>
          <w:r>
            <w:fldChar w:fldCharType="end"/>
          </w:r>
        </w:p>
        <w:p>
          <w:pPr>
            <w:pStyle w:val="32"/>
            <w:tabs>
              <w:tab w:val="right" w:leader="dot" w:pos="8306"/>
            </w:tabs>
          </w:pPr>
          <w:r>
            <w:fldChar w:fldCharType="begin"/>
          </w:r>
          <w:r>
            <w:instrText xml:space="preserve"> HYPERLINK \l _Toc23031 </w:instrText>
          </w:r>
          <w:r>
            <w:fldChar w:fldCharType="separate"/>
          </w:r>
          <w:sdt>
            <w:sdtPr>
              <w:rPr>
                <w:rFonts w:ascii="Times New Roman" w:hAnsi="Times New Roman" w:eastAsia="宋体" w:cs="Times New Roman"/>
                <w:b/>
                <w:bCs/>
                <w:kern w:val="44"/>
                <w:sz w:val="44"/>
                <w:szCs w:val="44"/>
                <w:lang w:val="en-US" w:eastAsia="zh-CN" w:bidi="ar-SA"/>
              </w:rPr>
              <w:id w:val="147479237"/>
              <w:placeholder>
                <w:docPart w:val="{12f68e46-def9-4cd0-8961-adb3082734f9}"/>
              </w:placeholder>
            </w:sdtPr>
            <w:sdtEndPr>
              <w:rPr>
                <w:rFonts w:ascii="Times New Roman" w:hAnsi="Times New Roman" w:eastAsia="宋体" w:cs="Times New Roman"/>
                <w:b/>
                <w:bCs/>
                <w:kern w:val="44"/>
                <w:sz w:val="44"/>
                <w:szCs w:val="44"/>
                <w:lang w:val="en-US" w:eastAsia="zh-CN" w:bidi="ar-SA"/>
              </w:rPr>
            </w:sdtEndPr>
            <w:sdtContent>
              <w:r>
                <w:rPr>
                  <w:rFonts w:hint="default" w:ascii="黑体" w:hAnsi="黑体" w:eastAsia="黑体" w:cstheme="majorBidi"/>
                </w:rPr>
                <w:t xml:space="preserve">三、 </w:t>
              </w:r>
              <w:r>
                <w:rPr>
                  <w:rFonts w:hint="eastAsia" w:ascii="黑体" w:hAnsi="黑体" w:eastAsia="黑体" w:cs="Times New Roman"/>
                </w:rPr>
                <w:t>支</w:t>
              </w:r>
              <w:r>
                <w:rPr>
                  <w:rFonts w:hint="eastAsia" w:ascii="黑体" w:hAnsi="黑体" w:eastAsia="黑体" w:cstheme="majorBidi"/>
                </w:rPr>
                <w:t>出决算情况说明</w:t>
              </w:r>
            </w:sdtContent>
          </w:sdt>
          <w:r>
            <w:tab/>
          </w:r>
          <w:r>
            <w:t>7</w:t>
          </w:r>
          <w:r>
            <w:fldChar w:fldCharType="end"/>
          </w:r>
        </w:p>
        <w:p>
          <w:pPr>
            <w:pStyle w:val="32"/>
            <w:tabs>
              <w:tab w:val="right" w:leader="dot" w:pos="8306"/>
            </w:tabs>
          </w:pPr>
          <w:r>
            <w:fldChar w:fldCharType="begin"/>
          </w:r>
          <w:r>
            <w:instrText xml:space="preserve"> HYPERLINK \l _Toc19208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e466c11a-5008-4331-b17b-1a2ef8e2bb4e}"/>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imes New Roman"/>
                </w:rPr>
                <w:t>四、财</w:t>
              </w:r>
              <w:r>
                <w:rPr>
                  <w:rFonts w:hint="eastAsia" w:ascii="黑体" w:hAnsi="黑体" w:eastAsia="黑体" w:cstheme="majorBidi"/>
                </w:rPr>
                <w:t>政拨款收入支出决算总体情况说明</w:t>
              </w:r>
            </w:sdtContent>
          </w:sdt>
          <w:r>
            <w:tab/>
          </w:r>
          <w:r>
            <w:t>7</w:t>
          </w:r>
          <w:r>
            <w:fldChar w:fldCharType="end"/>
          </w:r>
        </w:p>
        <w:p>
          <w:pPr>
            <w:pStyle w:val="32"/>
            <w:tabs>
              <w:tab w:val="right" w:leader="dot" w:pos="8306"/>
            </w:tabs>
          </w:pPr>
          <w:r>
            <w:fldChar w:fldCharType="begin"/>
          </w:r>
          <w:r>
            <w:instrText xml:space="preserve"> HYPERLINK \l _Toc9203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128893f9-dc5b-4d1e-9b18-c864c54978f8}"/>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imes New Roman"/>
                </w:rPr>
                <w:t>五、一</w:t>
              </w:r>
              <w:r>
                <w:rPr>
                  <w:rFonts w:hint="eastAsia" w:ascii="黑体" w:hAnsi="黑体" w:eastAsia="黑体" w:cstheme="majorBidi"/>
                </w:rPr>
                <w:t>般公共预算财政拨款支出决算情况说明</w:t>
              </w:r>
            </w:sdtContent>
          </w:sdt>
          <w:r>
            <w:tab/>
          </w:r>
          <w:r>
            <w:t>8</w:t>
          </w:r>
          <w:r>
            <w:fldChar w:fldCharType="end"/>
          </w:r>
        </w:p>
        <w:p>
          <w:pPr>
            <w:pStyle w:val="32"/>
            <w:tabs>
              <w:tab w:val="right" w:leader="dot" w:pos="8306"/>
            </w:tabs>
          </w:pPr>
          <w:r>
            <w:fldChar w:fldCharType="begin"/>
          </w:r>
          <w:r>
            <w:instrText xml:space="preserve"> HYPERLINK \l _Toc4735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39bf75df-d8e8-405a-becb-f731b0d10e02}"/>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Times New Roman" w:eastAsia="黑体" w:cs="Times New Roman"/>
                </w:rPr>
                <w:t>六、</w:t>
              </w:r>
              <w:r>
                <w:rPr>
                  <w:rFonts w:hint="eastAsia" w:ascii="黑体" w:hAnsi="黑体" w:eastAsia="黑体" w:cs="Times New Roman"/>
                </w:rPr>
                <w:t>一</w:t>
              </w:r>
              <w:r>
                <w:rPr>
                  <w:rFonts w:hint="eastAsia" w:ascii="黑体" w:hAnsi="黑体" w:eastAsia="黑体" w:cstheme="majorBidi"/>
                </w:rPr>
                <w:t>般公共预算财政拨款基本支出决算情况说明</w:t>
              </w:r>
            </w:sdtContent>
          </w:sdt>
          <w:r>
            <w:tab/>
          </w:r>
          <w:r>
            <w:t>10</w:t>
          </w:r>
          <w:r>
            <w:fldChar w:fldCharType="end"/>
          </w:r>
        </w:p>
        <w:p>
          <w:pPr>
            <w:pStyle w:val="32"/>
            <w:tabs>
              <w:tab w:val="right" w:leader="dot" w:pos="8306"/>
            </w:tabs>
          </w:pPr>
          <w:r>
            <w:fldChar w:fldCharType="begin"/>
          </w:r>
          <w:r>
            <w:instrText xml:space="preserve"> HYPERLINK \l _Toc25533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71372029-dfac-4ddd-837a-844547f927e9}"/>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Times New Roman" w:eastAsia="黑体" w:cs="Times New Roman"/>
                </w:rPr>
                <w:t>七、</w:t>
              </w:r>
              <w:r>
                <w:rPr>
                  <w:rFonts w:hint="eastAsia" w:ascii="黑体" w:hAnsi="黑体" w:eastAsia="黑体" w:cstheme="majorBidi"/>
                </w:rPr>
                <w:t>“三公”经费财政拨款支出决算情况说明</w:t>
              </w:r>
            </w:sdtContent>
          </w:sdt>
          <w:r>
            <w:tab/>
          </w:r>
          <w:r>
            <w:t>11</w:t>
          </w:r>
          <w:r>
            <w:fldChar w:fldCharType="end"/>
          </w:r>
        </w:p>
        <w:p>
          <w:pPr>
            <w:pStyle w:val="32"/>
            <w:tabs>
              <w:tab w:val="right" w:leader="dot" w:pos="8306"/>
            </w:tabs>
          </w:pPr>
          <w:r>
            <w:fldChar w:fldCharType="begin"/>
          </w:r>
          <w:r>
            <w:instrText xml:space="preserve"> HYPERLINK \l _Toc9870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39a6a35b-4738-4c38-a32c-f8c02aa21584}"/>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Times New Roman" w:eastAsia="黑体" w:cs="Times New Roman"/>
                </w:rPr>
                <w:t>八、</w:t>
              </w:r>
              <w:r>
                <w:rPr>
                  <w:rFonts w:hint="eastAsia" w:ascii="黑体" w:hAnsi="黑体" w:eastAsia="黑体" w:cstheme="majorBidi"/>
                </w:rPr>
                <w:t>政府性基金预算支出决算情况说明</w:t>
              </w:r>
            </w:sdtContent>
          </w:sdt>
          <w:r>
            <w:tab/>
          </w:r>
          <w:r>
            <w:t>12</w:t>
          </w:r>
          <w:r>
            <w:fldChar w:fldCharType="end"/>
          </w:r>
        </w:p>
        <w:p>
          <w:pPr>
            <w:pStyle w:val="32"/>
            <w:tabs>
              <w:tab w:val="right" w:leader="dot" w:pos="8306"/>
            </w:tabs>
          </w:pPr>
          <w:r>
            <w:fldChar w:fldCharType="begin"/>
          </w:r>
          <w:r>
            <w:instrText xml:space="preserve"> HYPERLINK \l _Toc21225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82ec7189-81fe-46be-9845-120a45d0dd6a}"/>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heme="majorBidi"/>
                </w:rPr>
                <w:t>九、 国有资本经营预算支出决算情况说明</w:t>
              </w:r>
            </w:sdtContent>
          </w:sdt>
          <w:r>
            <w:tab/>
          </w:r>
          <w:r>
            <w:t>12</w:t>
          </w:r>
          <w:r>
            <w:fldChar w:fldCharType="end"/>
          </w:r>
        </w:p>
        <w:p>
          <w:pPr>
            <w:pStyle w:val="32"/>
            <w:tabs>
              <w:tab w:val="right" w:leader="dot" w:pos="8306"/>
            </w:tabs>
          </w:pPr>
          <w:r>
            <w:fldChar w:fldCharType="begin"/>
          </w:r>
          <w:r>
            <w:instrText xml:space="preserve"> HYPERLINK \l _Toc26144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2326c559-18a7-4ac8-8154-57adf4736b4f}"/>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heme="majorBidi"/>
                </w:rPr>
                <w:t>十、 其他重要事项的情况说明</w:t>
              </w:r>
            </w:sdtContent>
          </w:sdt>
          <w:r>
            <w:tab/>
          </w:r>
          <w:r>
            <w:t>12</w:t>
          </w:r>
          <w:r>
            <w:fldChar w:fldCharType="end"/>
          </w:r>
        </w:p>
        <w:p>
          <w:pPr>
            <w:pStyle w:val="31"/>
            <w:tabs>
              <w:tab w:val="right" w:leader="dot" w:pos="8306"/>
            </w:tabs>
          </w:pPr>
          <w:r>
            <w:rPr>
              <w:b/>
              <w:bCs/>
            </w:rPr>
            <w:fldChar w:fldCharType="begin"/>
          </w:r>
          <w:r>
            <w:instrText xml:space="preserve"> HYPERLINK \l _Toc16281 </w:instrText>
          </w:r>
          <w:r>
            <w:rPr>
              <w:b/>
              <w:bCs/>
            </w:rPr>
            <w:fldChar w:fldCharType="separate"/>
          </w:r>
          <w:sdt>
            <w:sdtPr>
              <w:rPr>
                <w:rFonts w:ascii="Times New Roman" w:hAnsi="Times New Roman" w:eastAsia="宋体" w:cs="Times New Roman"/>
                <w:b/>
                <w:bCs/>
                <w:kern w:val="44"/>
                <w:sz w:val="44"/>
                <w:szCs w:val="44"/>
                <w:lang w:val="en-US" w:eastAsia="zh-CN" w:bidi="ar-SA"/>
              </w:rPr>
              <w:id w:val="147479234"/>
              <w:placeholder>
                <w:docPart w:val="{3dffa96b-e1f6-40bb-8ada-895d5b8d187c}"/>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黑体"/>
                  <w:b/>
                  <w:bCs/>
                </w:rPr>
                <w:t xml:space="preserve">第三部分 </w:t>
              </w:r>
              <w:r>
                <w:rPr>
                  <w:rFonts w:hint="eastAsia" w:ascii="黑体" w:hAnsi="黑体" w:eastAsia="黑体" w:cs="Times New Roman"/>
                  <w:b/>
                  <w:bCs/>
                </w:rPr>
                <w:t>名词解释</w:t>
              </w:r>
            </w:sdtContent>
          </w:sdt>
          <w:r>
            <w:rPr>
              <w:b/>
              <w:bCs/>
            </w:rPr>
            <w:tab/>
          </w:r>
          <w:r>
            <w:rPr>
              <w:b/>
              <w:bCs/>
            </w:rPr>
            <w:t>17</w:t>
          </w:r>
          <w:r>
            <w:rPr>
              <w:b/>
              <w:bCs/>
            </w:rPr>
            <w:fldChar w:fldCharType="end"/>
          </w:r>
        </w:p>
        <w:p>
          <w:pPr>
            <w:pStyle w:val="31"/>
            <w:tabs>
              <w:tab w:val="right" w:leader="dot" w:pos="8306"/>
            </w:tabs>
          </w:pPr>
          <w:r>
            <w:rPr>
              <w:b/>
              <w:bCs/>
            </w:rPr>
            <w:fldChar w:fldCharType="begin"/>
          </w:r>
          <w:r>
            <w:instrText xml:space="preserve"> HYPERLINK \l _Toc9733 </w:instrText>
          </w:r>
          <w:r>
            <w:rPr>
              <w:b/>
              <w:bCs/>
            </w:rPr>
            <w:fldChar w:fldCharType="separate"/>
          </w:r>
          <w:sdt>
            <w:sdtPr>
              <w:rPr>
                <w:rFonts w:ascii="Times New Roman" w:hAnsi="Times New Roman" w:eastAsia="宋体" w:cs="Times New Roman"/>
                <w:b/>
                <w:bCs/>
                <w:kern w:val="44"/>
                <w:sz w:val="44"/>
                <w:szCs w:val="44"/>
                <w:lang w:val="en-US" w:eastAsia="zh-CN" w:bidi="ar-SA"/>
              </w:rPr>
              <w:id w:val="147479234"/>
              <w:placeholder>
                <w:docPart w:val="{23a4be5c-38ea-4932-9d0f-1893c42dae72}"/>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黑体"/>
                  <w:b/>
                  <w:bCs/>
                </w:rPr>
                <w:t xml:space="preserve">第四部分 </w:t>
              </w:r>
              <w:r>
                <w:rPr>
                  <w:rFonts w:hint="eastAsia" w:ascii="黑体" w:hAnsi="黑体" w:eastAsia="黑体" w:cs="Times New Roman"/>
                  <w:b/>
                  <w:bCs/>
                </w:rPr>
                <w:t>附件</w:t>
              </w:r>
            </w:sdtContent>
          </w:sdt>
          <w:r>
            <w:rPr>
              <w:b/>
              <w:bCs/>
            </w:rPr>
            <w:tab/>
          </w:r>
          <w:r>
            <w:rPr>
              <w:b/>
              <w:bCs/>
            </w:rPr>
            <w:t>20</w:t>
          </w:r>
          <w:r>
            <w:rPr>
              <w:b/>
              <w:bCs/>
            </w:rPr>
            <w:fldChar w:fldCharType="end"/>
          </w:r>
        </w:p>
        <w:p>
          <w:pPr>
            <w:pStyle w:val="32"/>
            <w:tabs>
              <w:tab w:val="right" w:leader="dot" w:pos="8306"/>
            </w:tabs>
          </w:pPr>
          <w:r>
            <w:fldChar w:fldCharType="begin"/>
          </w:r>
          <w:r>
            <w:instrText xml:space="preserve"> HYPERLINK \l _Toc21928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e7a59a56-745e-40dc-b7f9-505a42e1c159}"/>
              </w:placeholder>
            </w:sdtPr>
            <w:sdtEndPr>
              <w:rPr>
                <w:rFonts w:ascii="Times New Roman" w:hAnsi="Times New Roman" w:eastAsia="宋体" w:cs="Times New Roman"/>
                <w:b/>
                <w:bCs/>
                <w:kern w:val="44"/>
                <w:sz w:val="44"/>
                <w:szCs w:val="44"/>
                <w:lang w:val="en-US" w:eastAsia="zh-CN" w:bidi="ar-SA"/>
              </w:rPr>
            </w:sdtEndPr>
            <w:sdtContent>
              <w:r>
                <w:rPr>
                  <w:rFonts w:hint="eastAsia" w:ascii="Times New Roman" w:hAnsi="Times New Roman" w:eastAsia="方正小标宋简体" w:cs="Times New Roman"/>
                </w:rPr>
                <w:t>2020年</w:t>
              </w:r>
              <w:r>
                <w:rPr>
                  <w:rFonts w:hint="default" w:ascii="Times New Roman" w:hAnsi="Times New Roman" w:eastAsia="方正小标宋简体" w:cs="Times New Roman"/>
                </w:rPr>
                <w:t>古籍出版经费项目支出绩效自评报告</w:t>
              </w:r>
            </w:sdtContent>
          </w:sdt>
          <w:r>
            <w:tab/>
          </w:r>
          <w:r>
            <w:t>20</w:t>
          </w:r>
          <w:r>
            <w:fldChar w:fldCharType="end"/>
          </w:r>
        </w:p>
        <w:p>
          <w:pPr>
            <w:pStyle w:val="32"/>
            <w:tabs>
              <w:tab w:val="right" w:leader="dot" w:pos="8306"/>
            </w:tabs>
          </w:pPr>
          <w:r>
            <w:fldChar w:fldCharType="begin"/>
          </w:r>
          <w:r>
            <w:instrText xml:space="preserve"> HYPERLINK \l _Toc11193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65dbad01-3cf6-4760-83d0-40acc65cfa3b}"/>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一、基本情况</w:t>
              </w:r>
            </w:sdtContent>
          </w:sdt>
          <w:r>
            <w:tab/>
          </w:r>
          <w:r>
            <w:t>20</w:t>
          </w:r>
          <w:r>
            <w:fldChar w:fldCharType="end"/>
          </w:r>
        </w:p>
        <w:p>
          <w:pPr>
            <w:pStyle w:val="32"/>
            <w:tabs>
              <w:tab w:val="right" w:leader="dot" w:pos="8306"/>
            </w:tabs>
          </w:pPr>
          <w:r>
            <w:fldChar w:fldCharType="begin"/>
          </w:r>
          <w:r>
            <w:instrText xml:space="preserve"> HYPERLINK \l _Toc4490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7f2a909f-ddc5-4ba4-a7f3-14f9bbb260ad}"/>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二、评价工作开展情况</w:t>
              </w:r>
            </w:sdtContent>
          </w:sdt>
          <w:r>
            <w:tab/>
          </w:r>
          <w:r>
            <w:t>23</w:t>
          </w:r>
          <w:r>
            <w:fldChar w:fldCharType="end"/>
          </w:r>
        </w:p>
        <w:p>
          <w:pPr>
            <w:pStyle w:val="32"/>
            <w:tabs>
              <w:tab w:val="right" w:leader="dot" w:pos="8306"/>
            </w:tabs>
          </w:pPr>
          <w:r>
            <w:fldChar w:fldCharType="begin"/>
          </w:r>
          <w:r>
            <w:instrText xml:space="preserve"> HYPERLINK \l _Toc9015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2bc1911b-6385-4867-af96-bd6e77d5b76d}"/>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三、综合评价结论（附评分表）</w:t>
              </w:r>
            </w:sdtContent>
          </w:sdt>
          <w:r>
            <w:tab/>
          </w:r>
          <w:r>
            <w:t>24</w:t>
          </w:r>
          <w:r>
            <w:fldChar w:fldCharType="end"/>
          </w:r>
        </w:p>
        <w:p>
          <w:pPr>
            <w:pStyle w:val="32"/>
            <w:tabs>
              <w:tab w:val="right" w:leader="dot" w:pos="8306"/>
            </w:tabs>
          </w:pPr>
          <w:r>
            <w:fldChar w:fldCharType="begin"/>
          </w:r>
          <w:r>
            <w:instrText xml:space="preserve"> HYPERLINK \l _Toc29501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c1c80db8-be26-4e08-a0dd-47f37cca329d}"/>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四、绩效评价分析</w:t>
              </w:r>
            </w:sdtContent>
          </w:sdt>
          <w:r>
            <w:tab/>
          </w:r>
          <w:r>
            <w:t>24</w:t>
          </w:r>
          <w:r>
            <w:fldChar w:fldCharType="end"/>
          </w:r>
        </w:p>
        <w:p>
          <w:pPr>
            <w:pStyle w:val="32"/>
            <w:tabs>
              <w:tab w:val="right" w:leader="dot" w:pos="8306"/>
            </w:tabs>
          </w:pPr>
          <w:r>
            <w:fldChar w:fldCharType="begin"/>
          </w:r>
          <w:r>
            <w:instrText xml:space="preserve"> HYPERLINK \l _Toc18611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93fd4f8f-3ab5-423d-b398-8d3250a73699}"/>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五、存在主要问题</w:t>
              </w:r>
            </w:sdtContent>
          </w:sdt>
          <w:r>
            <w:tab/>
          </w:r>
          <w:r>
            <w:t>27</w:t>
          </w:r>
          <w:r>
            <w:fldChar w:fldCharType="end"/>
          </w:r>
        </w:p>
        <w:p>
          <w:pPr>
            <w:pStyle w:val="32"/>
            <w:tabs>
              <w:tab w:val="right" w:leader="dot" w:pos="8306"/>
            </w:tabs>
          </w:pPr>
          <w:r>
            <w:fldChar w:fldCharType="begin"/>
          </w:r>
          <w:r>
            <w:instrText xml:space="preserve"> HYPERLINK \l _Toc14762 </w:instrText>
          </w:r>
          <w:r>
            <w:fldChar w:fldCharType="separate"/>
          </w:r>
          <w:sdt>
            <w:sdtPr>
              <w:rPr>
                <w:rFonts w:ascii="Times New Roman" w:hAnsi="Times New Roman" w:eastAsia="宋体" w:cs="Times New Roman"/>
                <w:b/>
                <w:bCs/>
                <w:kern w:val="44"/>
                <w:sz w:val="44"/>
                <w:szCs w:val="44"/>
                <w:lang w:val="en-US" w:eastAsia="zh-CN" w:bidi="ar-SA"/>
              </w:rPr>
              <w:id w:val="147479234"/>
              <w:placeholder>
                <w:docPart w:val="{5f84dc24-9c9e-4924-b13f-78c3df8d496f}"/>
              </w:placeholder>
            </w:sdtPr>
            <w:sdtEndPr>
              <w:rPr>
                <w:rFonts w:ascii="Times New Roman" w:hAnsi="Times New Roman" w:eastAsia="宋体" w:cs="Times New Roman"/>
                <w:b/>
                <w:bCs/>
                <w:kern w:val="44"/>
                <w:sz w:val="44"/>
                <w:szCs w:val="44"/>
                <w:lang w:val="en-US" w:eastAsia="zh-CN" w:bidi="ar-SA"/>
              </w:rPr>
            </w:sdtEndPr>
            <w:sdtContent>
              <w:r>
                <w:rPr>
                  <w:rFonts w:hint="default" w:ascii="Times New Roman" w:hAnsi="Times New Roman" w:eastAsia="黑体" w:cs="Times New Roman"/>
                </w:rPr>
                <w:t>六、相关措施建议</w:t>
              </w:r>
            </w:sdtContent>
          </w:sdt>
          <w:r>
            <w:tab/>
          </w:r>
          <w:r>
            <w:t>27</w:t>
          </w:r>
          <w:r>
            <w:fldChar w:fldCharType="end"/>
          </w:r>
        </w:p>
        <w:p>
          <w:pPr>
            <w:pStyle w:val="31"/>
            <w:tabs>
              <w:tab w:val="right" w:leader="dot" w:pos="8306"/>
            </w:tabs>
          </w:pPr>
          <w:r>
            <w:rPr>
              <w:b/>
              <w:bCs/>
            </w:rPr>
            <w:fldChar w:fldCharType="begin"/>
          </w:r>
          <w:r>
            <w:instrText xml:space="preserve"> HYPERLINK \l _Toc3308 </w:instrText>
          </w:r>
          <w:r>
            <w:rPr>
              <w:b/>
              <w:bCs/>
            </w:rPr>
            <w:fldChar w:fldCharType="separate"/>
          </w:r>
          <w:sdt>
            <w:sdtPr>
              <w:rPr>
                <w:rFonts w:ascii="Times New Roman" w:hAnsi="Times New Roman" w:eastAsia="宋体" w:cs="Times New Roman"/>
                <w:b/>
                <w:bCs/>
                <w:kern w:val="44"/>
                <w:sz w:val="44"/>
                <w:szCs w:val="44"/>
                <w:lang w:val="en-US" w:eastAsia="zh-CN" w:bidi="ar-SA"/>
              </w:rPr>
              <w:id w:val="147479234"/>
              <w:placeholder>
                <w:docPart w:val="{cd05f097-9065-4550-8c48-cd9de6c189c6}"/>
              </w:placeholder>
            </w:sdtPr>
            <w:sdtEndPr>
              <w:rPr>
                <w:rFonts w:ascii="Times New Roman" w:hAnsi="Times New Roman" w:eastAsia="宋体" w:cs="Times New Roman"/>
                <w:b/>
                <w:bCs/>
                <w:kern w:val="44"/>
                <w:sz w:val="44"/>
                <w:szCs w:val="44"/>
                <w:lang w:val="en-US" w:eastAsia="zh-CN" w:bidi="ar-SA"/>
              </w:rPr>
            </w:sdtEndPr>
            <w:sdtContent>
              <w:r>
                <w:rPr>
                  <w:rFonts w:hint="eastAsia" w:ascii="黑体" w:hAnsi="黑体" w:eastAsia="黑体" w:cs="Times New Roman"/>
                  <w:b/>
                  <w:bCs/>
                </w:rPr>
                <w:t>第五部分 附表</w:t>
              </w:r>
            </w:sdtContent>
          </w:sdt>
          <w:r>
            <w:rPr>
              <w:b/>
              <w:bCs/>
            </w:rPr>
            <w:tab/>
          </w:r>
          <w:r>
            <w:rPr>
              <w:b/>
              <w:bCs/>
            </w:rPr>
            <w:t>28</w:t>
          </w:r>
          <w:r>
            <w:rPr>
              <w:b/>
              <w:bCs/>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_Toc29222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6c81f3c1-b7c8-4d36-9820-127a379e2567}"/>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一、收入支出决算总表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_Toc28969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369a6668-af89-41a5-9743-5705e90a7086}"/>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二、收入决算表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_Toc17658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83487fe1-77b3-43bd-b35d-05fd7398c039}"/>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三、支出决算表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_Toc44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38df3650-e8de-4ded-a6e9-5d9c7ff30875}"/>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四、财政拨款收入支出决算总表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_Toc28434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7d2b8af4-cb69-47c6-8e66-051e74eaae92}"/>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五、财政拨款支出决算明细表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_Toc13209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53d17ee2-3aa4-48c0-9789-a52b51407e00}"/>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六、一般公共预算财政拨款支出决算表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_Toc6729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48e76943-3cae-4620-848a-0e7ae5160a94}"/>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七、一般公共预算财政拨款支出决算明细表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_Toc20893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3dc3f7e1-9144-4d1b-8d0e-247d45e35134}"/>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八、一般公共预算财政拨款基本支出决算表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_Toc4329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3e198581-28ae-4285-a4e0-c041a16de52e}"/>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九、一般公共预算财政拨款项目支出决算表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_Toc27872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47cf47d5-5d2a-4f12-943c-f653cd6a8b7e}"/>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十、一般公共预算财政拨款“三公”经费支出决算表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_Toc28248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15e5a5eb-a655-4461-834f-d534f8ccca74}"/>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十一、政府性基金预算财政拨款收入支出决算表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_Toc16652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176b93db-f650-44fb-a7f3-7e3e406ebfca}"/>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十二、政府性基金预算财政拨款“三公”经费支出决算表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_Toc15884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69cf3a13-c5b6-4502-b71d-3e001d750029}"/>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十三、国有资本经营预算财政拨款收入支出决算表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p>
          <w:pPr>
            <w:pStyle w:val="32"/>
            <w:tabs>
              <w:tab w:val="right" w:leader="dot" w:pos="8306"/>
            </w:tabs>
          </w:pPr>
          <w:r>
            <w:rPr>
              <w:rFonts w:hint="eastAsia" w:ascii="黑体" w:hAnsi="黑体" w:eastAsia="黑体" w:cs="黑体"/>
            </w:rPr>
            <w:fldChar w:fldCharType="begin"/>
          </w:r>
          <w:r>
            <w:rPr>
              <w:rFonts w:hint="eastAsia" w:ascii="黑体" w:hAnsi="黑体" w:eastAsia="黑体" w:cs="黑体"/>
            </w:rPr>
            <w:instrText xml:space="preserve"> HYPERLINK \l _Toc14437 </w:instrText>
          </w:r>
          <w:r>
            <w:rPr>
              <w:rFonts w:hint="eastAsia" w:ascii="黑体" w:hAnsi="黑体" w:eastAsia="黑体" w:cs="黑体"/>
            </w:rPr>
            <w:fldChar w:fldCharType="separate"/>
          </w:r>
          <w:sdt>
            <w:sdtPr>
              <w:rPr>
                <w:rFonts w:hint="eastAsia" w:ascii="黑体" w:hAnsi="黑体" w:eastAsia="黑体" w:cs="黑体"/>
                <w:b/>
                <w:bCs/>
                <w:kern w:val="44"/>
                <w:sz w:val="44"/>
                <w:szCs w:val="44"/>
                <w:lang w:val="en-US" w:eastAsia="zh-CN" w:bidi="ar-SA"/>
              </w:rPr>
              <w:id w:val="147479234"/>
              <w:placeholder>
                <w:docPart w:val="{a2b276bb-1a89-457d-954f-6ab8fbaa4ee5}"/>
              </w:placeholder>
            </w:sdtPr>
            <w:sdtEndPr>
              <w:rPr>
                <w:rFonts w:hint="eastAsia" w:ascii="黑体" w:hAnsi="黑体" w:eastAsia="黑体" w:cs="黑体"/>
                <w:b/>
                <w:bCs/>
                <w:kern w:val="44"/>
                <w:sz w:val="44"/>
                <w:szCs w:val="44"/>
                <w:lang w:val="en-US" w:eastAsia="zh-CN" w:bidi="ar-SA"/>
              </w:rPr>
            </w:sdtEndPr>
            <w:sdtContent>
              <w:r>
                <w:rPr>
                  <w:rFonts w:hint="eastAsia" w:ascii="黑体" w:hAnsi="黑体" w:eastAsia="黑体" w:cs="黑体"/>
                </w:rPr>
                <w:t>十四、国有资本经营预算财政拨款支出决算表</w:t>
              </w:r>
            </w:sdtContent>
          </w:sdt>
          <w:r>
            <w:rPr>
              <w:rFonts w:hint="eastAsia" w:ascii="黑体" w:hAnsi="黑体" w:eastAsia="黑体" w:cs="黑体"/>
            </w:rPr>
            <w:tab/>
          </w:r>
          <w:r>
            <w:rPr>
              <w:rFonts w:hint="eastAsia" w:ascii="黑体" w:hAnsi="黑体" w:eastAsia="黑体" w:cs="黑体"/>
            </w:rPr>
            <w:t>28</w:t>
          </w:r>
          <w:r>
            <w:rPr>
              <w:rFonts w:hint="eastAsia" w:ascii="黑体" w:hAnsi="黑体" w:eastAsia="黑体" w:cs="黑体"/>
            </w:rPr>
            <w:fldChar w:fldCharType="end"/>
          </w:r>
        </w:p>
      </w:sdtContent>
    </w:sdt>
    <w:p>
      <w:pPr>
        <w:pStyle w:val="3"/>
        <w:jc w:val="center"/>
        <w:rPr>
          <w:rStyle w:val="25"/>
          <w:rFonts w:ascii="黑体" w:hAnsi="黑体" w:eastAsia="黑体"/>
          <w:b/>
          <w:bCs w:val="0"/>
        </w:rPr>
      </w:pPr>
      <w:bookmarkStart w:id="15" w:name="_Toc21452"/>
      <w:r>
        <w:rPr>
          <w:rFonts w:hint="eastAsia" w:ascii="黑体" w:hAnsi="黑体" w:eastAsia="黑体"/>
          <w:b w:val="0"/>
        </w:rPr>
        <w:t xml:space="preserve">第一部分 </w:t>
      </w:r>
      <w:r>
        <w:rPr>
          <w:rFonts w:hint="eastAsia" w:ascii="黑体" w:hAnsi="黑体" w:eastAsia="黑体"/>
          <w:b w:val="0"/>
          <w:lang w:eastAsia="zh-CN"/>
        </w:rPr>
        <w:t>单位</w:t>
      </w:r>
      <w:r>
        <w:rPr>
          <w:rStyle w:val="25"/>
          <w:rFonts w:hint="eastAsia" w:ascii="黑体" w:hAnsi="黑体" w:eastAsia="黑体"/>
          <w:b w:val="0"/>
          <w:bCs w:val="0"/>
        </w:rPr>
        <w:t>概况</w:t>
      </w:r>
      <w:bookmarkEnd w:id="12"/>
      <w:bookmarkEnd w:id="13"/>
      <w:bookmarkEnd w:id="14"/>
      <w:bookmarkEnd w:id="15"/>
    </w:p>
    <w:p>
      <w:pPr>
        <w:widowControl/>
        <w:jc w:val="left"/>
        <w:rPr>
          <w:rFonts w:ascii="黑体" w:eastAsia="黑体"/>
          <w:color w:val="000000"/>
          <w:sz w:val="32"/>
          <w:szCs w:val="32"/>
        </w:rPr>
      </w:pPr>
    </w:p>
    <w:p>
      <w:pPr>
        <w:pStyle w:val="4"/>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color w:val="000000" w:themeColor="text1"/>
          <w14:textFill>
            <w14:solidFill>
              <w14:schemeClr w14:val="tx1"/>
            </w14:solidFill>
          </w14:textFill>
        </w:rPr>
      </w:pPr>
      <w:bookmarkStart w:id="16" w:name="_Toc8199"/>
      <w:bookmarkStart w:id="17" w:name="_Toc31223"/>
      <w:bookmarkStart w:id="18" w:name="_Toc15396600"/>
      <w:bookmarkStart w:id="19" w:name="_Toc15377197"/>
      <w:r>
        <w:rPr>
          <w:rStyle w:val="26"/>
          <w:rFonts w:hint="eastAsia" w:ascii="黑体" w:hAnsi="黑体" w:eastAsia="黑体"/>
          <w:b w:val="0"/>
          <w:bCs w:val="0"/>
          <w:color w:val="000000" w:themeColor="text1"/>
          <w:lang w:val="en-US" w:eastAsia="zh-CN"/>
          <w14:textFill>
            <w14:solidFill>
              <w14:schemeClr w14:val="tx1"/>
            </w14:solidFill>
          </w14:textFill>
        </w:rPr>
        <w:t>一、</w:t>
      </w:r>
      <w:r>
        <w:rPr>
          <w:rStyle w:val="26"/>
          <w:rFonts w:hint="eastAsia" w:ascii="黑体" w:hAnsi="黑体" w:eastAsia="黑体"/>
          <w:b w:val="0"/>
          <w:bCs w:val="0"/>
          <w:color w:val="000000" w:themeColor="text1"/>
          <w14:textFill>
            <w14:solidFill>
              <w14:schemeClr w14:val="tx1"/>
            </w14:solidFill>
          </w14:textFill>
        </w:rPr>
        <w:t>职能</w:t>
      </w:r>
      <w:r>
        <w:rPr>
          <w:rStyle w:val="26"/>
          <w:rFonts w:hint="eastAsia" w:ascii="黑体" w:hAnsi="黑体" w:eastAsia="黑体"/>
          <w:b w:val="0"/>
          <w:bCs w:val="0"/>
          <w:color w:val="000000" w:themeColor="text1"/>
          <w:lang w:eastAsia="zh-CN"/>
          <w14:textFill>
            <w14:solidFill>
              <w14:schemeClr w14:val="tx1"/>
            </w14:solidFill>
          </w14:textFill>
        </w:rPr>
        <w:t>简介</w:t>
      </w:r>
      <w:bookmarkEnd w:id="16"/>
      <w:bookmarkEnd w:id="17"/>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基本职能是组织、协调、指导全省少数民族古籍的抢救、搜集、整理、出版和研究工作。</w:t>
      </w:r>
    </w:p>
    <w:p>
      <w:pPr>
        <w:pStyle w:val="4"/>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26"/>
          <w:rFonts w:hint="eastAsia" w:ascii="黑体" w:hAnsi="黑体" w:eastAsia="黑体"/>
          <w:b w:val="0"/>
          <w:bCs w:val="0"/>
          <w:color w:val="000000" w:themeColor="text1"/>
          <w:lang w:val="en-US" w:eastAsia="zh-CN"/>
          <w14:textFill>
            <w14:solidFill>
              <w14:schemeClr w14:val="tx1"/>
            </w14:solidFill>
          </w14:textFill>
        </w:rPr>
      </w:pPr>
      <w:bookmarkStart w:id="20" w:name="_Toc2797"/>
      <w:bookmarkStart w:id="21" w:name="_Toc19639"/>
      <w:r>
        <w:rPr>
          <w:rStyle w:val="26"/>
          <w:rFonts w:hint="eastAsia" w:ascii="黑体" w:hAnsi="黑体" w:eastAsia="黑体"/>
          <w:b w:val="0"/>
          <w:bCs w:val="0"/>
          <w:color w:val="000000" w:themeColor="text1"/>
          <w:lang w:val="en-US" w:eastAsia="zh-CN"/>
          <w14:textFill>
            <w14:solidFill>
              <w14:schemeClr w14:val="tx1"/>
            </w14:solidFill>
          </w14:textFill>
        </w:rPr>
        <w:t>二、2020年重点</w:t>
      </w:r>
      <w:r>
        <w:rPr>
          <w:rStyle w:val="26"/>
          <w:rFonts w:hint="eastAsia" w:ascii="黑体" w:hAnsi="黑体" w:eastAsia="黑体"/>
          <w:b w:val="0"/>
          <w:bCs w:val="0"/>
          <w:color w:val="000000" w:themeColor="text1"/>
          <w14:textFill>
            <w14:solidFill>
              <w14:schemeClr w14:val="tx1"/>
            </w14:solidFill>
          </w14:textFill>
        </w:rPr>
        <w:t>工作</w:t>
      </w:r>
      <w:bookmarkEnd w:id="18"/>
      <w:bookmarkEnd w:id="19"/>
      <w:r>
        <w:rPr>
          <w:rStyle w:val="26"/>
          <w:rFonts w:hint="eastAsia" w:ascii="黑体" w:hAnsi="黑体" w:eastAsia="黑体"/>
          <w:b w:val="0"/>
          <w:bCs w:val="0"/>
          <w:color w:val="000000" w:themeColor="text1"/>
          <w:lang w:eastAsia="zh-CN"/>
          <w14:textFill>
            <w14:solidFill>
              <w14:schemeClr w14:val="tx1"/>
            </w14:solidFill>
          </w14:textFill>
        </w:rPr>
        <w:t>完成情况</w:t>
      </w:r>
      <w:bookmarkEnd w:id="20"/>
      <w:bookmarkEnd w:id="21"/>
    </w:p>
    <w:p>
      <w:pPr>
        <w:pStyle w:val="4"/>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一是扎实推进国家和省“十三五”少数民族古籍重点项目出版规划。完成全国少数民族古籍“十三五”重点项目《藏族古籍经典系列丛书》之《小五明文献分类集成》、省少数民族古籍“十三五”重点项目《</w:t>
      </w:r>
      <w:r>
        <w:rPr>
          <w:rFonts w:hint="eastAsia" w:ascii="仿宋_GB2312" w:hAnsi="仿宋_GB2312" w:eastAsia="仿宋_GB2312" w:cs="仿宋_GB2312"/>
          <w:b w:val="0"/>
          <w:bCs/>
          <w:sz w:val="32"/>
          <w:szCs w:val="32"/>
          <w:lang w:val="en-US" w:eastAsia="zh-CN"/>
        </w:rPr>
        <w:t>凉山州彝族古籍文献定级测试资料汇编</w:t>
      </w:r>
      <w:r>
        <w:rPr>
          <w:rFonts w:hint="eastAsia" w:ascii="仿宋_GB2312" w:hAnsi="仿宋_GB2312" w:eastAsia="仿宋_GB2312" w:cs="仿宋_GB2312"/>
          <w:b w:val="0"/>
          <w:bCs/>
          <w:color w:val="auto"/>
          <w:sz w:val="32"/>
          <w:szCs w:val="32"/>
          <w:lang w:val="en-US" w:eastAsia="zh-CN"/>
        </w:rPr>
        <w:t>》《四川珙县苗族蜡染图谱》出版工作。完成《凉山彝族古彝语词典》本年度搜集整理词条搜集、整理工作。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是继续推进少数民族古籍数字化建设。完成《俄堪钦巴登却兄传记》《彝历百科》《羌族萨朗》《四川珙县苗族蜡染图谱》等20种、12万页少数民族古籍图书数字化处理工作，导入“四川少数民族古籍文献中心”平台并完成调试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是开展“十四五”时期我省少数民族古籍重点项目出版规划前期工作。下发《四川省民族宗教事务委员会关于申报“十四五”时期全省少数民族古籍重点项目出版规划的通知》，年底前完成各市（州）申报项目的收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是开展送少数民族古籍图书到基层活动。主动联系甘孜、阿坝、凉山、绵阳、乐山、宜宾、陕西略阳、凤县、宁强等地民宗、民语、文化部门及相关院校，根据需要将部分少数民族古籍图书送到基层，取得了良好的社会效果，受到了广泛好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楷体_GB2312" w:hAnsi="楷体_GB2312" w:eastAsia="楷体_GB2312" w:cs="楷体_GB2312"/>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楷体_GB2312" w:hAnsi="楷体_GB2312" w:eastAsia="楷体_GB2312" w:cs="楷体_GB2312"/>
          <w:b w:val="0"/>
          <w:bCs/>
          <w:color w:val="auto"/>
          <w:sz w:val="32"/>
          <w:szCs w:val="32"/>
          <w:lang w:val="en-US" w:eastAsia="zh-CN"/>
        </w:rPr>
      </w:pPr>
    </w:p>
    <w:p>
      <w:pPr>
        <w:pageBreakBefore w:val="0"/>
        <w:kinsoku/>
        <w:wordWrap/>
        <w:overflowPunct/>
        <w:topLinePunct w:val="0"/>
        <w:autoSpaceDE/>
        <w:autoSpaceDN/>
        <w:bidi w:val="0"/>
        <w:adjustRightInd/>
        <w:snapToGrid/>
        <w:spacing w:line="600" w:lineRule="exact"/>
        <w:ind w:firstLine="420" w:firstLineChars="200"/>
        <w:textAlignment w:val="auto"/>
        <w:rPr>
          <w:rFonts w:hint="eastAsia"/>
          <w:lang w:val="en-US" w:eastAsia="zh-CN"/>
        </w:rPr>
      </w:pPr>
    </w:p>
    <w:p>
      <w:pPr>
        <w:pageBreakBefore w:val="0"/>
        <w:kinsoku/>
        <w:wordWrap/>
        <w:overflowPunct/>
        <w:topLinePunct w:val="0"/>
        <w:autoSpaceDE/>
        <w:autoSpaceDN/>
        <w:bidi w:val="0"/>
        <w:adjustRightInd/>
        <w:snapToGrid/>
        <w:spacing w:line="600" w:lineRule="exact"/>
        <w:ind w:firstLine="420" w:firstLineChars="200"/>
        <w:textAlignment w:val="auto"/>
        <w:rPr>
          <w:rFonts w:hint="eastAsia"/>
        </w:rPr>
      </w:pP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center"/>
        <w:rPr>
          <w:rStyle w:val="25"/>
          <w:rFonts w:ascii="黑体" w:hAnsi="黑体" w:eastAsia="黑体"/>
          <w:b w:val="0"/>
          <w:bCs/>
          <w:color w:val="auto"/>
        </w:rPr>
      </w:pPr>
      <w:bookmarkStart w:id="22" w:name="_Toc26342"/>
      <w:bookmarkStart w:id="23" w:name="_Toc1470"/>
      <w:bookmarkStart w:id="24" w:name="_Toc15396602"/>
      <w:bookmarkStart w:id="25" w:name="_Toc15377204"/>
      <w:r>
        <w:rPr>
          <w:rFonts w:hint="eastAsia" w:ascii="黑体" w:hAnsi="黑体" w:eastAsia="黑体"/>
          <w:b w:val="0"/>
          <w:bCs/>
          <w:color w:val="auto"/>
        </w:rPr>
        <w:t xml:space="preserve">第二部分 </w:t>
      </w:r>
      <w:r>
        <w:rPr>
          <w:rFonts w:hint="eastAsia" w:ascii="黑体" w:hAnsi="黑体" w:eastAsia="黑体"/>
          <w:b w:val="0"/>
          <w:bCs/>
          <w:color w:val="auto"/>
          <w:lang w:val="en-US" w:eastAsia="zh-CN"/>
        </w:rPr>
        <w:t>2020年度</w:t>
      </w:r>
      <w:r>
        <w:rPr>
          <w:rStyle w:val="25"/>
          <w:rFonts w:hint="eastAsia" w:ascii="黑体" w:hAnsi="黑体" w:eastAsia="黑体"/>
          <w:b w:val="0"/>
          <w:bCs/>
          <w:color w:val="auto"/>
          <w:lang w:eastAsia="zh-CN"/>
        </w:rPr>
        <w:t>单位决算</w:t>
      </w:r>
      <w:r>
        <w:rPr>
          <w:rStyle w:val="25"/>
          <w:rFonts w:hint="eastAsia" w:ascii="黑体" w:hAnsi="黑体" w:eastAsia="黑体"/>
          <w:b w:val="0"/>
          <w:bCs/>
          <w:color w:val="auto"/>
        </w:rPr>
        <w:t>情况说明</w:t>
      </w:r>
      <w:bookmarkEnd w:id="22"/>
      <w:bookmarkEnd w:id="23"/>
      <w:bookmarkEnd w:id="24"/>
      <w:bookmarkEnd w:id="25"/>
    </w:p>
    <w:p/>
    <w:p>
      <w:pPr>
        <w:pStyle w:val="24"/>
        <w:numPr>
          <w:ilvl w:val="0"/>
          <w:numId w:val="1"/>
        </w:numPr>
        <w:spacing w:line="600" w:lineRule="exact"/>
        <w:ind w:firstLineChars="0"/>
        <w:outlineLvl w:val="1"/>
        <w:rPr>
          <w:rStyle w:val="26"/>
          <w:rFonts w:ascii="黑体" w:hAnsi="黑体" w:eastAsia="黑体"/>
          <w:b w:val="0"/>
        </w:rPr>
      </w:pPr>
      <w:bookmarkStart w:id="26" w:name="_Toc15396603"/>
      <w:bookmarkStart w:id="27" w:name="_Toc15377205"/>
      <w:bookmarkStart w:id="28" w:name="_Toc32324"/>
      <w:bookmarkStart w:id="29" w:name="_Toc108"/>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年度收、支总计</w:t>
      </w:r>
      <w:r>
        <w:rPr>
          <w:rFonts w:hint="default" w:ascii="Times New Roman" w:hAnsi="Times New Roman" w:eastAsia="仿宋_GB2312" w:cs="Times New Roman"/>
          <w:color w:val="000000"/>
          <w:sz w:val="32"/>
          <w:szCs w:val="32"/>
          <w:lang w:val="en-US" w:eastAsia="zh-CN"/>
        </w:rPr>
        <w:t>280.01</w:t>
      </w:r>
      <w:r>
        <w:rPr>
          <w:rFonts w:hint="default" w:ascii="Times New Roman" w:hAnsi="Times New Roman" w:eastAsia="仿宋_GB2312" w:cs="Times New Roman"/>
          <w:color w:val="000000"/>
          <w:sz w:val="32"/>
          <w:szCs w:val="32"/>
        </w:rPr>
        <w:t>万元。与201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年相比，收、支总计各减少</w:t>
      </w:r>
      <w:r>
        <w:rPr>
          <w:rFonts w:hint="default" w:ascii="Times New Roman" w:hAnsi="Times New Roman" w:eastAsia="仿宋_GB2312" w:cs="Times New Roman"/>
          <w:color w:val="000000"/>
          <w:sz w:val="32"/>
          <w:szCs w:val="32"/>
          <w:lang w:val="en-US" w:eastAsia="zh-CN"/>
        </w:rPr>
        <w:t>26.5</w:t>
      </w:r>
      <w:r>
        <w:rPr>
          <w:rFonts w:hint="default" w:ascii="Times New Roman" w:hAnsi="Times New Roman" w:eastAsia="仿宋_GB2312" w:cs="Times New Roman"/>
          <w:color w:val="000000"/>
          <w:sz w:val="32"/>
          <w:szCs w:val="32"/>
        </w:rPr>
        <w:t>万元，下降</w:t>
      </w:r>
      <w:r>
        <w:rPr>
          <w:rFonts w:hint="default" w:ascii="Times New Roman" w:hAnsi="Times New Roman" w:eastAsia="仿宋_GB2312" w:cs="Times New Roman"/>
          <w:color w:val="000000"/>
          <w:sz w:val="32"/>
          <w:szCs w:val="32"/>
          <w:lang w:val="en-US" w:eastAsia="zh-CN"/>
        </w:rPr>
        <w:t>8.62</w:t>
      </w:r>
      <w:r>
        <w:rPr>
          <w:rFonts w:hint="default" w:ascii="Times New Roman" w:hAnsi="Times New Roman" w:eastAsia="仿宋_GB2312" w:cs="Times New Roman"/>
          <w:color w:val="000000"/>
          <w:sz w:val="32"/>
          <w:szCs w:val="32"/>
        </w:rPr>
        <w:t>%。主要变动原因是</w:t>
      </w:r>
      <w:r>
        <w:rPr>
          <w:rFonts w:hint="default" w:ascii="Times New Roman" w:hAnsi="Times New Roman" w:eastAsia="仿宋_GB2312" w:cs="Times New Roman"/>
          <w:color w:val="000000"/>
          <w:sz w:val="32"/>
          <w:szCs w:val="32"/>
          <w:lang w:val="en-US" w:eastAsia="zh-CN"/>
        </w:rPr>
        <w:t>受疫情影响，支出减少。</w:t>
      </w:r>
    </w:p>
    <w:p>
      <w:pPr>
        <w:spacing w:line="600" w:lineRule="exact"/>
        <w:ind w:firstLine="640" w:firstLineChars="200"/>
        <w:jc w:val="left"/>
        <w:rPr>
          <w:rFonts w:ascii="仿宋_GB2312" w:eastAsia="仿宋_GB2312"/>
          <w:color w:val="000000"/>
          <w:sz w:val="32"/>
          <w:szCs w:val="32"/>
        </w:rPr>
      </w:pPr>
      <w:r>
        <w:rPr>
          <w:rFonts w:hint="default" w:ascii="Times New Roman" w:hAnsi="Times New Roman" w:eastAsia="仿宋" w:cs="Times New Roman"/>
          <w:color w:val="auto"/>
          <w:sz w:val="32"/>
          <w:szCs w:val="32"/>
        </w:rPr>
        <w:drawing>
          <wp:anchor distT="0" distB="0" distL="114300" distR="114300" simplePos="0" relativeHeight="251659264" behindDoc="0" locked="0" layoutInCell="1" allowOverlap="1">
            <wp:simplePos x="0" y="0"/>
            <wp:positionH relativeFrom="column">
              <wp:posOffset>73025</wp:posOffset>
            </wp:positionH>
            <wp:positionV relativeFrom="paragraph">
              <wp:posOffset>40005</wp:posOffset>
            </wp:positionV>
            <wp:extent cx="4401185" cy="2705735"/>
            <wp:effectExtent l="4445" t="4445" r="13970"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4"/>
        <w:numPr>
          <w:ilvl w:val="0"/>
          <w:numId w:val="1"/>
        </w:numPr>
        <w:spacing w:line="600" w:lineRule="exact"/>
        <w:ind w:firstLineChars="0"/>
        <w:outlineLvl w:val="1"/>
        <w:rPr>
          <w:rStyle w:val="26"/>
          <w:rFonts w:ascii="黑体" w:hAnsi="黑体" w:eastAsia="黑体"/>
          <w:b w:val="0"/>
        </w:rPr>
      </w:pPr>
      <w:bookmarkStart w:id="30" w:name="_Toc15377206"/>
      <w:bookmarkStart w:id="31" w:name="_Toc17298"/>
      <w:bookmarkStart w:id="32" w:name="_Toc24887"/>
      <w:bookmarkStart w:id="33"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年本年收入合计</w:t>
      </w:r>
      <w:r>
        <w:rPr>
          <w:rFonts w:hint="default" w:ascii="Times New Roman" w:hAnsi="Times New Roman" w:eastAsia="仿宋_GB2312" w:cs="Times New Roman"/>
          <w:color w:val="000000"/>
          <w:sz w:val="32"/>
          <w:szCs w:val="32"/>
          <w:lang w:val="en-US" w:eastAsia="zh-CN"/>
        </w:rPr>
        <w:t>278.76</w:t>
      </w:r>
      <w:r>
        <w:rPr>
          <w:rFonts w:hint="default" w:ascii="Times New Roman" w:hAnsi="Times New Roman" w:eastAsia="仿宋_GB2312" w:cs="Times New Roman"/>
          <w:color w:val="000000"/>
          <w:sz w:val="32"/>
          <w:szCs w:val="32"/>
        </w:rPr>
        <w:t>万元，其中：一般公共预算财政拨款收入</w:t>
      </w:r>
      <w:r>
        <w:rPr>
          <w:rFonts w:hint="default" w:ascii="Times New Roman" w:hAnsi="Times New Roman" w:eastAsia="仿宋_GB2312" w:cs="Times New Roman"/>
          <w:color w:val="000000"/>
          <w:sz w:val="32"/>
          <w:szCs w:val="32"/>
          <w:lang w:val="en-US" w:eastAsia="zh-CN"/>
        </w:rPr>
        <w:t>278.67</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99.97</w:t>
      </w:r>
      <w:r>
        <w:rPr>
          <w:rFonts w:hint="default" w:ascii="Times New Roman" w:hAnsi="Times New Roman" w:eastAsia="仿宋_GB2312" w:cs="Times New Roman"/>
          <w:color w:val="000000"/>
          <w:sz w:val="32"/>
          <w:szCs w:val="32"/>
        </w:rPr>
        <w:t>%；政府性基金预算财政拨款收入</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上级补助收入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%；事业收入</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%；经营收入</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%；附属单位上缴收入</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%；其他收入</w:t>
      </w:r>
      <w:r>
        <w:rPr>
          <w:rFonts w:hint="default" w:ascii="Times New Roman" w:hAnsi="Times New Roman" w:eastAsia="仿宋_GB2312" w:cs="Times New Roman"/>
          <w:color w:val="000000"/>
          <w:sz w:val="32"/>
          <w:szCs w:val="32"/>
          <w:lang w:val="en-US" w:eastAsia="zh-CN"/>
        </w:rPr>
        <w:t>0.09</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0.03</w:t>
      </w:r>
      <w:r>
        <w:rPr>
          <w:rFonts w:hint="default" w:ascii="Times New Roman" w:hAnsi="Times New Roman" w:eastAsia="仿宋_GB2312" w:cs="Times New Roman"/>
          <w:color w:val="000000"/>
          <w:sz w:val="32"/>
          <w:szCs w:val="32"/>
        </w:rPr>
        <w:t>%。</w:t>
      </w:r>
    </w:p>
    <w:p>
      <w:pPr>
        <w:spacing w:line="600" w:lineRule="exact"/>
        <w:ind w:firstLine="640" w:firstLineChars="200"/>
        <w:outlineLvl w:val="1"/>
        <w:rPr>
          <w:rFonts w:ascii="仿宋_GB2312" w:eastAsia="仿宋_GB2312"/>
          <w:color w:val="FF0000"/>
          <w:sz w:val="32"/>
          <w:szCs w:val="32"/>
        </w:rPr>
      </w:pPr>
      <w:r>
        <w:rPr>
          <w:rFonts w:hint="default" w:ascii="Times New Roman" w:hAnsi="Times New Roman" w:eastAsia="仿宋" w:cs="Times New Roman"/>
          <w:color w:val="auto"/>
          <w:sz w:val="32"/>
          <w:szCs w:val="32"/>
          <w:lang w:eastAsia="zh-CN"/>
        </w:rPr>
        <w:drawing>
          <wp:anchor distT="0" distB="0" distL="114300" distR="114300" simplePos="0" relativeHeight="251664384" behindDoc="0" locked="0" layoutInCell="1" allowOverlap="1">
            <wp:simplePos x="0" y="0"/>
            <wp:positionH relativeFrom="column">
              <wp:posOffset>507365</wp:posOffset>
            </wp:positionH>
            <wp:positionV relativeFrom="paragraph">
              <wp:posOffset>-8710930</wp:posOffset>
            </wp:positionV>
            <wp:extent cx="4349115" cy="2573020"/>
            <wp:effectExtent l="4445" t="4445" r="8890" b="1333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4"/>
        <w:numPr>
          <w:ilvl w:val="0"/>
          <w:numId w:val="1"/>
        </w:numPr>
        <w:spacing w:line="600" w:lineRule="exact"/>
        <w:ind w:firstLineChars="0"/>
        <w:outlineLvl w:val="1"/>
        <w:rPr>
          <w:rStyle w:val="26"/>
          <w:rFonts w:ascii="黑体" w:hAnsi="黑体" w:eastAsia="黑体"/>
          <w:b w:val="0"/>
        </w:rPr>
      </w:pPr>
      <w:bookmarkStart w:id="34" w:name="_Toc15377207"/>
      <w:bookmarkStart w:id="35" w:name="_Toc21940"/>
      <w:bookmarkStart w:id="36" w:name="_Toc23031"/>
      <w:bookmarkStart w:id="37"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34"/>
      <w:bookmarkEnd w:id="35"/>
      <w:bookmarkEnd w:id="36"/>
      <w:bookmarkEnd w:id="37"/>
    </w:p>
    <w:p>
      <w:pPr>
        <w:spacing w:line="600" w:lineRule="exact"/>
        <w:ind w:firstLine="640" w:firstLineChars="200"/>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lang w:eastAsia="zh-CN"/>
        </w:rPr>
        <w:drawing>
          <wp:anchor distT="0" distB="0" distL="114300" distR="114300" simplePos="0" relativeHeight="251673600" behindDoc="0" locked="0" layoutInCell="1" allowOverlap="1">
            <wp:simplePos x="0" y="0"/>
            <wp:positionH relativeFrom="column">
              <wp:posOffset>30480</wp:posOffset>
            </wp:positionH>
            <wp:positionV relativeFrom="paragraph">
              <wp:posOffset>1803400</wp:posOffset>
            </wp:positionV>
            <wp:extent cx="5207000" cy="2856865"/>
            <wp:effectExtent l="4445" t="4445" r="8255" b="1524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年本年支出合计</w:t>
      </w:r>
      <w:r>
        <w:rPr>
          <w:rFonts w:hint="default" w:ascii="Times New Roman" w:hAnsi="Times New Roman" w:eastAsia="仿宋_GB2312" w:cs="Times New Roman"/>
          <w:color w:val="000000"/>
          <w:sz w:val="32"/>
          <w:szCs w:val="32"/>
          <w:lang w:val="en-US" w:eastAsia="zh-CN"/>
        </w:rPr>
        <w:t>281.01</w:t>
      </w:r>
      <w:r>
        <w:rPr>
          <w:rFonts w:hint="default" w:ascii="Times New Roman" w:hAnsi="Times New Roman" w:eastAsia="仿宋_GB2312" w:cs="Times New Roman"/>
          <w:color w:val="000000"/>
          <w:sz w:val="32"/>
          <w:szCs w:val="32"/>
        </w:rPr>
        <w:t>万元，其中：基本支出</w:t>
      </w:r>
      <w:r>
        <w:rPr>
          <w:rFonts w:hint="default" w:ascii="Times New Roman" w:hAnsi="Times New Roman" w:eastAsia="仿宋_GB2312" w:cs="Times New Roman"/>
          <w:color w:val="000000"/>
          <w:sz w:val="32"/>
          <w:szCs w:val="32"/>
          <w:lang w:val="en-US" w:eastAsia="zh-CN"/>
        </w:rPr>
        <w:t>160.67</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57.18</w:t>
      </w:r>
      <w:r>
        <w:rPr>
          <w:rFonts w:hint="default" w:ascii="Times New Roman" w:hAnsi="Times New Roman" w:eastAsia="仿宋_GB2312" w:cs="Times New Roman"/>
          <w:color w:val="000000"/>
          <w:sz w:val="32"/>
          <w:szCs w:val="32"/>
        </w:rPr>
        <w:t>%；项目支出</w:t>
      </w:r>
      <w:r>
        <w:rPr>
          <w:rFonts w:hint="default" w:ascii="Times New Roman" w:hAnsi="Times New Roman" w:eastAsia="仿宋_GB2312" w:cs="Times New Roman"/>
          <w:color w:val="000000"/>
          <w:sz w:val="32"/>
          <w:szCs w:val="32"/>
          <w:lang w:val="en-US" w:eastAsia="zh-CN"/>
        </w:rPr>
        <w:t>120.34</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42.82</w:t>
      </w:r>
      <w:r>
        <w:rPr>
          <w:rFonts w:hint="default" w:ascii="Times New Roman" w:hAnsi="Times New Roman" w:eastAsia="仿宋_GB2312" w:cs="Times New Roman"/>
          <w:color w:val="000000"/>
          <w:sz w:val="32"/>
          <w:szCs w:val="32"/>
        </w:rPr>
        <w:t>%；上缴上级支出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%；经营支出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%；对附属单位补助支出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w:t>
      </w:r>
    </w:p>
    <w:p>
      <w:pPr>
        <w:spacing w:line="600" w:lineRule="exact"/>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38" w:name="_Toc15377208"/>
      <w:bookmarkStart w:id="39" w:name="_Toc19208"/>
      <w:bookmarkStart w:id="40" w:name="_Toc15396606"/>
      <w:bookmarkStart w:id="41" w:name="_Toc5839"/>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年财政拨款收、支总计</w:t>
      </w:r>
      <w:r>
        <w:rPr>
          <w:rFonts w:hint="default" w:ascii="Times New Roman" w:hAnsi="Times New Roman" w:eastAsia="仿宋_GB2312" w:cs="Times New Roman"/>
          <w:color w:val="000000"/>
          <w:sz w:val="32"/>
          <w:szCs w:val="32"/>
          <w:lang w:val="en-US" w:eastAsia="zh-CN"/>
        </w:rPr>
        <w:t>278.67</w:t>
      </w:r>
      <w:r>
        <w:rPr>
          <w:rFonts w:hint="default" w:ascii="Times New Roman" w:hAnsi="Times New Roman" w:eastAsia="仿宋_GB2312" w:cs="Times New Roman"/>
          <w:color w:val="000000"/>
          <w:sz w:val="32"/>
          <w:szCs w:val="32"/>
        </w:rPr>
        <w:t>万元。与201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年相比，财政拨款收、支总计各增加</w:t>
      </w:r>
      <w:r>
        <w:rPr>
          <w:rFonts w:hint="default" w:ascii="Times New Roman" w:hAnsi="Times New Roman" w:eastAsia="仿宋_GB2312" w:cs="Times New Roman"/>
          <w:color w:val="000000"/>
          <w:sz w:val="32"/>
          <w:szCs w:val="32"/>
          <w:lang w:val="en-US" w:eastAsia="zh-CN"/>
        </w:rPr>
        <w:t>4.34</w:t>
      </w:r>
      <w:r>
        <w:rPr>
          <w:rFonts w:hint="default" w:ascii="Times New Roman" w:hAnsi="Times New Roman" w:eastAsia="仿宋_GB2312" w:cs="Times New Roman"/>
          <w:color w:val="000000"/>
          <w:sz w:val="32"/>
          <w:szCs w:val="32"/>
        </w:rPr>
        <w:t>万元，增长</w:t>
      </w:r>
      <w:r>
        <w:rPr>
          <w:rFonts w:hint="default" w:ascii="Times New Roman" w:hAnsi="Times New Roman" w:eastAsia="仿宋_GB2312" w:cs="Times New Roman"/>
          <w:color w:val="000000"/>
          <w:sz w:val="32"/>
          <w:szCs w:val="32"/>
          <w:lang w:val="en-US" w:eastAsia="zh-CN"/>
        </w:rPr>
        <w:t>1.58</w:t>
      </w:r>
      <w:r>
        <w:rPr>
          <w:rFonts w:hint="default" w:ascii="Times New Roman" w:hAnsi="Times New Roman" w:eastAsia="仿宋_GB2312" w:cs="Times New Roman"/>
          <w:color w:val="000000"/>
          <w:sz w:val="32"/>
          <w:szCs w:val="32"/>
        </w:rPr>
        <w:t>%。主要变动原因是</w:t>
      </w:r>
      <w:r>
        <w:rPr>
          <w:rFonts w:hint="default" w:ascii="Times New Roman" w:hAnsi="Times New Roman" w:eastAsia="仿宋_GB2312" w:cs="Times New Roman"/>
          <w:color w:val="000000"/>
          <w:sz w:val="32"/>
          <w:szCs w:val="32"/>
          <w:lang w:val="en-US" w:eastAsia="zh-CN"/>
        </w:rPr>
        <w:t>单位新进工作人员，人员经费增加。</w:t>
      </w:r>
    </w:p>
    <w:p>
      <w:pPr>
        <w:spacing w:line="600" w:lineRule="exact"/>
        <w:rPr>
          <w:rFonts w:ascii="仿宋" w:hAnsi="仿宋" w:eastAsia="仿宋"/>
          <w:b/>
          <w:color w:val="00B050"/>
          <w:sz w:val="32"/>
          <w:szCs w:val="32"/>
        </w:rPr>
      </w:pPr>
      <w:r>
        <w:rPr>
          <w:rFonts w:hint="default" w:ascii="Times New Roman" w:hAnsi="Times New Roman" w:eastAsia="仿宋_GB2312" w:cs="Times New Roman"/>
          <w:b/>
          <w:color w:val="auto"/>
          <w:sz w:val="32"/>
          <w:szCs w:val="32"/>
          <w:lang w:eastAsia="zh-CN"/>
        </w:rPr>
        <w:drawing>
          <wp:anchor distT="0" distB="0" distL="114300" distR="114300" simplePos="0" relativeHeight="251687936" behindDoc="0" locked="0" layoutInCell="1" allowOverlap="1">
            <wp:simplePos x="0" y="0"/>
            <wp:positionH relativeFrom="column">
              <wp:posOffset>584200</wp:posOffset>
            </wp:positionH>
            <wp:positionV relativeFrom="paragraph">
              <wp:posOffset>93980</wp:posOffset>
            </wp:positionV>
            <wp:extent cx="3923665" cy="2963545"/>
            <wp:effectExtent l="4445" t="4445" r="15240" b="2286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6"/>
          <w:rFonts w:ascii="黑体" w:hAnsi="黑体" w:eastAsia="黑体"/>
          <w:b w:val="0"/>
        </w:rPr>
      </w:pPr>
      <w:bookmarkStart w:id="42" w:name="_Toc15396607"/>
      <w:bookmarkStart w:id="43" w:name="_Toc15377209"/>
      <w:bookmarkStart w:id="44" w:name="_Toc3639"/>
      <w:bookmarkStart w:id="45" w:name="_Toc9203"/>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42"/>
      <w:bookmarkEnd w:id="43"/>
      <w:bookmarkEnd w:id="44"/>
      <w:bookmarkEnd w:id="45"/>
    </w:p>
    <w:p>
      <w:pPr>
        <w:spacing w:line="600" w:lineRule="exact"/>
        <w:ind w:firstLine="642" w:firstLineChars="200"/>
        <w:outlineLvl w:val="2"/>
        <w:rPr>
          <w:rFonts w:ascii="仿宋" w:hAnsi="仿宋" w:eastAsia="仿宋"/>
          <w:b/>
          <w:color w:val="000000"/>
          <w:sz w:val="32"/>
          <w:szCs w:val="32"/>
        </w:rPr>
      </w:pPr>
      <w:bookmarkStart w:id="46" w:name="_Toc15377210"/>
      <w:r>
        <w:rPr>
          <w:rFonts w:hint="eastAsia" w:ascii="仿宋" w:hAnsi="仿宋" w:eastAsia="仿宋"/>
          <w:b/>
          <w:color w:val="000000"/>
          <w:sz w:val="32"/>
          <w:szCs w:val="32"/>
        </w:rPr>
        <w:t>（一）一般公共预算财政拨款支出决算总体情况</w:t>
      </w:r>
      <w:bookmarkEnd w:id="4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default" w:ascii="Times New Roman" w:hAnsi="Times New Roman" w:eastAsia="仿宋_GB2312" w:cs="Times New Roman"/>
          <w:color w:val="auto"/>
          <w:sz w:val="32"/>
          <w:szCs w:val="32"/>
          <w:lang w:eastAsia="zh-CN"/>
        </w:rPr>
        <w:drawing>
          <wp:anchor distT="0" distB="0" distL="114300" distR="114300" simplePos="0" relativeHeight="251708416" behindDoc="0" locked="0" layoutInCell="1" allowOverlap="1">
            <wp:simplePos x="0" y="0"/>
            <wp:positionH relativeFrom="column">
              <wp:posOffset>869950</wp:posOffset>
            </wp:positionH>
            <wp:positionV relativeFrom="paragraph">
              <wp:posOffset>1555115</wp:posOffset>
            </wp:positionV>
            <wp:extent cx="3684270" cy="2312035"/>
            <wp:effectExtent l="4445" t="4445" r="6985" b="762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年一般公共预算财政拨款支出</w:t>
      </w:r>
      <w:r>
        <w:rPr>
          <w:rFonts w:hint="default" w:ascii="Times New Roman" w:hAnsi="Times New Roman" w:eastAsia="仿宋_GB2312" w:cs="Times New Roman"/>
          <w:color w:val="000000"/>
          <w:sz w:val="32"/>
          <w:szCs w:val="32"/>
          <w:lang w:val="en-US" w:eastAsia="zh-CN"/>
        </w:rPr>
        <w:t>278.67</w:t>
      </w:r>
      <w:r>
        <w:rPr>
          <w:rFonts w:hint="default" w:ascii="Times New Roman" w:hAnsi="Times New Roman" w:eastAsia="仿宋_GB2312" w:cs="Times New Roman"/>
          <w:color w:val="000000"/>
          <w:sz w:val="32"/>
          <w:szCs w:val="32"/>
        </w:rPr>
        <w:t>万元，占本年支出合计的</w:t>
      </w:r>
      <w:r>
        <w:rPr>
          <w:rFonts w:hint="default" w:ascii="Times New Roman" w:hAnsi="Times New Roman" w:eastAsia="仿宋_GB2312" w:cs="Times New Roman"/>
          <w:color w:val="000000"/>
          <w:sz w:val="32"/>
          <w:szCs w:val="32"/>
          <w:lang w:val="en-US" w:eastAsia="zh-CN"/>
        </w:rPr>
        <w:t>99.97</w:t>
      </w:r>
      <w:r>
        <w:rPr>
          <w:rFonts w:hint="default" w:ascii="Times New Roman" w:hAnsi="Times New Roman" w:eastAsia="仿宋_GB2312" w:cs="Times New Roman"/>
          <w:color w:val="000000"/>
          <w:sz w:val="32"/>
          <w:szCs w:val="32"/>
        </w:rPr>
        <w:t>%。与201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年相比，一般公共预算财政拨款增加</w:t>
      </w:r>
      <w:r>
        <w:rPr>
          <w:rFonts w:hint="default" w:ascii="Times New Roman" w:hAnsi="Times New Roman" w:eastAsia="仿宋_GB2312" w:cs="Times New Roman"/>
          <w:color w:val="000000"/>
          <w:sz w:val="32"/>
          <w:szCs w:val="32"/>
          <w:lang w:val="en-US" w:eastAsia="zh-CN"/>
        </w:rPr>
        <w:t>4.34</w:t>
      </w:r>
      <w:r>
        <w:rPr>
          <w:rFonts w:hint="default" w:ascii="Times New Roman" w:hAnsi="Times New Roman" w:eastAsia="仿宋_GB2312" w:cs="Times New Roman"/>
          <w:color w:val="000000"/>
          <w:sz w:val="32"/>
          <w:szCs w:val="32"/>
        </w:rPr>
        <w:t>万元，增长</w:t>
      </w:r>
      <w:r>
        <w:rPr>
          <w:rFonts w:hint="default" w:ascii="Times New Roman" w:hAnsi="Times New Roman" w:eastAsia="仿宋_GB2312" w:cs="Times New Roman"/>
          <w:color w:val="000000"/>
          <w:sz w:val="32"/>
          <w:szCs w:val="32"/>
          <w:lang w:val="en-US" w:eastAsia="zh-CN"/>
        </w:rPr>
        <w:t>1.58</w:t>
      </w:r>
      <w:r>
        <w:rPr>
          <w:rFonts w:hint="default" w:ascii="Times New Roman" w:hAnsi="Times New Roman" w:eastAsia="仿宋_GB2312" w:cs="Times New Roman"/>
          <w:color w:val="000000"/>
          <w:sz w:val="32"/>
          <w:szCs w:val="32"/>
        </w:rPr>
        <w:t>%。主要变动原因是</w:t>
      </w:r>
      <w:r>
        <w:rPr>
          <w:rFonts w:hint="default" w:ascii="Times New Roman" w:hAnsi="Times New Roman" w:eastAsia="仿宋_GB2312" w:cs="Times New Roman"/>
          <w:color w:val="000000"/>
          <w:sz w:val="32"/>
          <w:szCs w:val="32"/>
          <w:lang w:val="en-US" w:eastAsia="zh-CN"/>
        </w:rPr>
        <w:t>单位新进工作人员，人员经费增加。</w:t>
      </w:r>
    </w:p>
    <w:p>
      <w:pPr>
        <w:spacing w:line="600" w:lineRule="exact"/>
        <w:ind w:firstLine="642" w:firstLineChars="200"/>
        <w:outlineLvl w:val="2"/>
        <w:rPr>
          <w:rFonts w:ascii="仿宋" w:hAnsi="仿宋" w:eastAsia="仿宋"/>
          <w:b/>
          <w:color w:val="000000"/>
          <w:sz w:val="32"/>
          <w:szCs w:val="32"/>
        </w:rPr>
      </w:pPr>
      <w:bookmarkStart w:id="47" w:name="_Toc15377211"/>
      <w:r>
        <w:rPr>
          <w:rFonts w:hint="eastAsia" w:ascii="仿宋" w:hAnsi="仿宋" w:eastAsia="仿宋"/>
          <w:b/>
          <w:color w:val="000000"/>
          <w:sz w:val="32"/>
          <w:szCs w:val="32"/>
        </w:rPr>
        <w:t>（二）一般公共预算财政拨款支出决算结构情况</w:t>
      </w:r>
      <w:bookmarkEnd w:id="4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年一般公共预算财</w:t>
      </w:r>
      <w:r>
        <w:rPr>
          <w:rFonts w:hint="default" w:ascii="Times New Roman" w:hAnsi="Times New Roman" w:eastAsia="仿宋_GB2312" w:cs="Times New Roman"/>
          <w:color w:val="000000" w:themeColor="text1"/>
          <w:sz w:val="32"/>
          <w:szCs w:val="32"/>
          <w14:textFill>
            <w14:solidFill>
              <w14:schemeClr w14:val="tx1"/>
            </w14:solidFill>
          </w14:textFill>
        </w:rPr>
        <w:t>政拨款支出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278.67</w:t>
      </w:r>
      <w:r>
        <w:rPr>
          <w:rFonts w:hint="default" w:ascii="Times New Roman" w:hAnsi="Times New Roman" w:eastAsia="仿宋_GB2312" w:cs="Times New Roman"/>
          <w:color w:val="000000" w:themeColor="text1"/>
          <w:sz w:val="32"/>
          <w:szCs w:val="32"/>
          <w14:textFill>
            <w14:solidFill>
              <w14:schemeClr w14:val="tx1"/>
            </w14:solidFill>
          </w14:textFill>
        </w:rPr>
        <w:t>万元，主要用于以下方面:</w:t>
      </w:r>
      <w:r>
        <w:rPr>
          <w:rFonts w:hint="default" w:ascii="Times New Roman" w:hAnsi="Times New Roman" w:eastAsia="仿宋_GB2312" w:cs="Times New Roman"/>
          <w:b/>
          <w:color w:val="000000" w:themeColor="text1"/>
          <w:sz w:val="32"/>
          <w:szCs w:val="32"/>
          <w14:textFill>
            <w14:solidFill>
              <w14:schemeClr w14:val="tx1"/>
            </w14:solidFill>
          </w14:textFill>
        </w:rPr>
        <w:t>一般公共服务（类）</w:t>
      </w:r>
      <w:r>
        <w:rPr>
          <w:rFonts w:hint="default" w:ascii="Times New Roman" w:hAnsi="Times New Roman" w:eastAsia="仿宋_GB2312" w:cs="Times New Roman"/>
          <w:color w:val="000000" w:themeColor="text1"/>
          <w:sz w:val="32"/>
          <w:szCs w:val="32"/>
          <w14:textFill>
            <w14:solidFill>
              <w14:schemeClr w14:val="tx1"/>
            </w14:solidFill>
          </w14:textFill>
        </w:rPr>
        <w:t>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223.03</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80.03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b/>
          <w:color w:val="000000" w:themeColor="text1"/>
          <w:sz w:val="32"/>
          <w:szCs w:val="32"/>
          <w14:textFill>
            <w14:solidFill>
              <w14:schemeClr w14:val="tx1"/>
            </w14:solidFill>
          </w14:textFill>
        </w:rPr>
        <w:t>社会保障和就业（类）</w:t>
      </w:r>
      <w:r>
        <w:rPr>
          <w:rFonts w:hint="default" w:ascii="Times New Roman" w:hAnsi="Times New Roman" w:eastAsia="仿宋_GB2312" w:cs="Times New Roman"/>
          <w:color w:val="000000" w:themeColor="text1"/>
          <w:sz w:val="32"/>
          <w:szCs w:val="32"/>
          <w14:textFill>
            <w14:solidFill>
              <w14:schemeClr w14:val="tx1"/>
            </w14:solidFill>
          </w14:textFill>
        </w:rPr>
        <w:t>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14.33</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5.14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b/>
          <w:bCs/>
          <w:color w:val="000000" w:themeColor="text1"/>
          <w:sz w:val="32"/>
          <w:szCs w:val="32"/>
          <w14:textFill>
            <w14:solidFill>
              <w14:schemeClr w14:val="tx1"/>
            </w14:solidFill>
          </w14:textFill>
        </w:rPr>
        <w:t>卫生健康支出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8.31</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2.98</w:t>
      </w:r>
      <w:r>
        <w:rPr>
          <w:rFonts w:hint="default" w:ascii="Times New Roman" w:hAnsi="Times New Roman" w:eastAsia="仿宋_GB2312" w:cs="Times New Roman"/>
          <w:color w:val="000000" w:themeColor="text1"/>
          <w:sz w:val="32"/>
          <w:szCs w:val="32"/>
          <w14:textFill>
            <w14:solidFill>
              <w14:schemeClr w14:val="tx1"/>
            </w14:solidFill>
          </w14:textFill>
        </w:rPr>
        <w:t>%；住房保障支出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33</w:t>
      </w:r>
      <w:r>
        <w:rPr>
          <w:rFonts w:hint="default" w:ascii="Times New Roman" w:hAnsi="Times New Roman" w:eastAsia="仿宋_GB2312" w:cs="Times New Roman"/>
          <w:color w:val="000000" w:themeColor="text1"/>
          <w:sz w:val="32"/>
          <w:szCs w:val="32"/>
          <w14:textFill>
            <w14:solidFill>
              <w14:schemeClr w14:val="tx1"/>
            </w14:solidFill>
          </w14:textFill>
        </w:rPr>
        <w:t>万元，占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11.84</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rPr>
          <w:rFonts w:ascii="仿宋" w:hAnsi="仿宋" w:eastAsia="仿宋"/>
          <w:color w:val="000000"/>
          <w:sz w:val="32"/>
          <w:szCs w:val="32"/>
        </w:rPr>
      </w:pPr>
      <w:r>
        <w:rPr>
          <w:rFonts w:hint="default" w:ascii="Times New Roman" w:hAnsi="Times New Roman" w:eastAsia="仿宋_GB2312" w:cs="Times New Roman"/>
          <w:color w:val="auto"/>
          <w:sz w:val="32"/>
          <w:szCs w:val="32"/>
          <w:lang w:eastAsia="zh-CN"/>
        </w:rPr>
        <w:drawing>
          <wp:anchor distT="0" distB="0" distL="114300" distR="114300" simplePos="0" relativeHeight="251736064" behindDoc="0" locked="0" layoutInCell="1" allowOverlap="1">
            <wp:simplePos x="0" y="0"/>
            <wp:positionH relativeFrom="column">
              <wp:posOffset>117475</wp:posOffset>
            </wp:positionH>
            <wp:positionV relativeFrom="paragraph">
              <wp:posOffset>148590</wp:posOffset>
            </wp:positionV>
            <wp:extent cx="5178425" cy="2918460"/>
            <wp:effectExtent l="4445" t="4445" r="17780" b="1079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ascii="仿宋" w:hAnsi="仿宋" w:eastAsia="仿宋"/>
          <w:b/>
          <w:color w:val="000000"/>
          <w:sz w:val="32"/>
          <w:szCs w:val="32"/>
        </w:rPr>
      </w:pPr>
      <w:bookmarkStart w:id="48" w:name="_Toc15377212"/>
      <w:r>
        <w:rPr>
          <w:rFonts w:hint="eastAsia" w:ascii="仿宋" w:hAnsi="仿宋" w:eastAsia="仿宋"/>
          <w:b/>
          <w:color w:val="000000"/>
          <w:sz w:val="32"/>
          <w:szCs w:val="32"/>
        </w:rPr>
        <w:t>（三）一般公共预算财政拨款支出决算具体情况</w:t>
      </w:r>
      <w:bookmarkEnd w:id="48"/>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2"/>
        <w:rPr>
          <w:rFonts w:hint="default" w:ascii="Times New Roman" w:hAnsi="Times New Roman" w:eastAsia="仿宋_GB2312" w:cs="Times New Roman"/>
          <w:color w:val="FF0000"/>
          <w:sz w:val="32"/>
          <w:szCs w:val="32"/>
        </w:rPr>
      </w:pPr>
      <w:bookmarkStart w:id="49" w:name="_Toc15377213"/>
      <w:bookmarkStart w:id="50" w:name="_Toc15378460"/>
      <w:bookmarkStart w:id="51" w:name="_Toc15377444"/>
      <w:r>
        <w:rPr>
          <w:rFonts w:hint="default" w:ascii="Times New Roman" w:hAnsi="Times New Roman" w:eastAsia="仿宋_GB2312" w:cs="Times New Roman"/>
          <w:b/>
          <w:color w:val="000000" w:themeColor="text1"/>
          <w:sz w:val="32"/>
          <w:szCs w:val="32"/>
          <w14:textFill>
            <w14:solidFill>
              <w14:schemeClr w14:val="tx1"/>
            </w14:solidFill>
          </w14:textFill>
        </w:rPr>
        <w:t>20</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b/>
          <w:color w:val="000000" w:themeColor="text1"/>
          <w:sz w:val="32"/>
          <w:szCs w:val="32"/>
          <w14:textFill>
            <w14:solidFill>
              <w14:schemeClr w14:val="tx1"/>
            </w14:solidFill>
          </w14:textFill>
        </w:rPr>
        <w:t>年</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b/>
          <w:color w:val="000000" w:themeColor="text1"/>
          <w:sz w:val="32"/>
          <w:szCs w:val="32"/>
          <w14:textFill>
            <w14:solidFill>
              <w14:schemeClr w14:val="tx1"/>
            </w14:solidFill>
          </w14:textFill>
        </w:rPr>
        <w:t>般公共预算支出决算数为</w:t>
      </w:r>
      <w:r>
        <w:rPr>
          <w:rFonts w:hint="default" w:ascii="Times New Roman" w:hAnsi="Times New Roman" w:eastAsia="仿宋_GB2312" w:cs="Times New Roman"/>
          <w:b/>
          <w:color w:val="000000" w:themeColor="text1"/>
          <w:sz w:val="32"/>
          <w:szCs w:val="32"/>
          <w:lang w:val="en-US" w:eastAsia="zh-CN"/>
          <w14:textFill>
            <w14:solidFill>
              <w14:schemeClr w14:val="tx1"/>
            </w14:solidFill>
          </w14:textFill>
        </w:rPr>
        <w:t>278.67万元</w:t>
      </w:r>
      <w:r>
        <w:rPr>
          <w:rFonts w:hint="default" w:ascii="Times New Roman" w:hAnsi="Times New Roman" w:eastAsia="仿宋_GB2312" w:cs="Times New Roman"/>
          <w:color w:val="000000" w:themeColor="text1"/>
          <w:sz w:val="32"/>
          <w:szCs w:val="32"/>
          <w14:textFill>
            <w14:solidFill>
              <w14:schemeClr w14:val="tx1"/>
            </w14:solidFill>
          </w14:textFill>
        </w:rPr>
        <w:t>，</w:t>
      </w:r>
      <w:r>
        <w:rPr>
          <w:rStyle w:val="15"/>
          <w:rFonts w:hint="default" w:ascii="Times New Roman" w:hAnsi="Times New Roman" w:eastAsia="仿宋_GB2312" w:cs="Times New Roman"/>
          <w:bCs/>
          <w:color w:val="000000" w:themeColor="text1"/>
          <w:sz w:val="32"/>
          <w:szCs w:val="32"/>
          <w14:textFill>
            <w14:solidFill>
              <w14:schemeClr w14:val="tx1"/>
            </w14:solidFill>
          </w14:textFill>
        </w:rPr>
        <w:t>完成</w:t>
      </w:r>
      <w:r>
        <w:rPr>
          <w:rStyle w:val="15"/>
          <w:rFonts w:hint="default" w:ascii="Times New Roman" w:hAnsi="Times New Roman" w:eastAsia="仿宋_GB2312" w:cs="Times New Roman"/>
          <w:bCs/>
          <w:color w:val="000000"/>
          <w:sz w:val="32"/>
          <w:szCs w:val="32"/>
        </w:rPr>
        <w:t>预算</w:t>
      </w:r>
      <w:r>
        <w:rPr>
          <w:rStyle w:val="15"/>
          <w:rFonts w:hint="default" w:ascii="Times New Roman" w:hAnsi="Times New Roman" w:eastAsia="仿宋_GB2312" w:cs="Times New Roman"/>
          <w:bCs/>
          <w:color w:val="000000"/>
          <w:sz w:val="32"/>
          <w:szCs w:val="32"/>
          <w:lang w:val="en-US" w:eastAsia="zh-CN"/>
        </w:rPr>
        <w:t>85.55</w:t>
      </w:r>
      <w:r>
        <w:rPr>
          <w:rStyle w:val="15"/>
          <w:rFonts w:hint="default" w:ascii="Times New Roman" w:hAnsi="Times New Roman" w:eastAsia="仿宋_GB2312" w:cs="Times New Roman"/>
          <w:bCs/>
          <w:color w:val="000000"/>
          <w:sz w:val="32"/>
          <w:szCs w:val="32"/>
        </w:rPr>
        <w:t>%。其中：</w:t>
      </w:r>
      <w:bookmarkEnd w:id="49"/>
      <w:bookmarkEnd w:id="50"/>
      <w:bookmarkEnd w:id="51"/>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color w:val="000000"/>
          <w:sz w:val="32"/>
          <w:szCs w:val="32"/>
        </w:rPr>
      </w:pPr>
      <w:r>
        <w:rPr>
          <w:rStyle w:val="15"/>
          <w:rFonts w:hint="default" w:ascii="Times New Roman" w:hAnsi="Times New Roman" w:eastAsia="仿宋_GB2312" w:cs="Times New Roman"/>
          <w:bCs/>
          <w:color w:val="000000"/>
          <w:sz w:val="32"/>
          <w:szCs w:val="32"/>
        </w:rPr>
        <w:t>1.一般公共服务（类）</w:t>
      </w:r>
      <w:r>
        <w:rPr>
          <w:rStyle w:val="15"/>
          <w:rFonts w:hint="default" w:ascii="Times New Roman" w:hAnsi="Times New Roman" w:eastAsia="仿宋_GB2312" w:cs="Times New Roman"/>
          <w:bCs/>
          <w:color w:val="auto"/>
          <w:sz w:val="32"/>
          <w:szCs w:val="32"/>
          <w:lang w:eastAsia="zh-CN"/>
        </w:rPr>
        <w:t>民族事务</w:t>
      </w:r>
      <w:r>
        <w:rPr>
          <w:rStyle w:val="15"/>
          <w:rFonts w:hint="default" w:ascii="Times New Roman" w:hAnsi="Times New Roman" w:eastAsia="仿宋_GB2312" w:cs="Times New Roman"/>
          <w:bCs/>
          <w:color w:val="000000"/>
          <w:sz w:val="32"/>
          <w:szCs w:val="32"/>
        </w:rPr>
        <w:t>（款）</w:t>
      </w:r>
      <w:r>
        <w:rPr>
          <w:rStyle w:val="15"/>
          <w:rFonts w:hint="default" w:ascii="Times New Roman" w:hAnsi="Times New Roman" w:eastAsia="仿宋_GB2312" w:cs="Times New Roman"/>
          <w:bCs/>
          <w:color w:val="000000"/>
          <w:sz w:val="32"/>
          <w:szCs w:val="32"/>
          <w:lang w:val="en-US" w:eastAsia="zh-CN"/>
        </w:rPr>
        <w:t>行政运行</w:t>
      </w:r>
      <w:r>
        <w:rPr>
          <w:rStyle w:val="15"/>
          <w:rFonts w:hint="default" w:ascii="Times New Roman" w:hAnsi="Times New Roman" w:eastAsia="仿宋_GB2312" w:cs="Times New Roman"/>
          <w:bCs/>
          <w:color w:val="000000"/>
          <w:sz w:val="32"/>
          <w:szCs w:val="32"/>
        </w:rPr>
        <w:t>（项）:</w:t>
      </w:r>
      <w:r>
        <w:rPr>
          <w:rStyle w:val="15"/>
          <w:rFonts w:hint="default" w:ascii="Times New Roman" w:hAnsi="Times New Roman" w:eastAsia="仿宋_GB2312" w:cs="Times New Roman"/>
          <w:b w:val="0"/>
          <w:bCs/>
          <w:color w:val="000000"/>
          <w:sz w:val="32"/>
          <w:szCs w:val="32"/>
        </w:rPr>
        <w:t xml:space="preserve"> 支出决算为</w:t>
      </w:r>
      <w:r>
        <w:rPr>
          <w:rStyle w:val="15"/>
          <w:rFonts w:hint="default" w:ascii="Times New Roman" w:hAnsi="Times New Roman" w:eastAsia="仿宋_GB2312" w:cs="Times New Roman"/>
          <w:b w:val="0"/>
          <w:bCs/>
          <w:color w:val="000000"/>
          <w:sz w:val="32"/>
          <w:szCs w:val="32"/>
          <w:lang w:val="en-US" w:eastAsia="zh-CN"/>
        </w:rPr>
        <w:t>105.03</w:t>
      </w:r>
      <w:r>
        <w:rPr>
          <w:rStyle w:val="15"/>
          <w:rFonts w:hint="default" w:ascii="Times New Roman" w:hAnsi="Times New Roman" w:eastAsia="仿宋_GB2312" w:cs="Times New Roman"/>
          <w:b w:val="0"/>
          <w:bCs/>
          <w:color w:val="000000"/>
          <w:sz w:val="32"/>
          <w:szCs w:val="32"/>
        </w:rPr>
        <w:t>万元，完成预算</w:t>
      </w:r>
      <w:r>
        <w:rPr>
          <w:rStyle w:val="15"/>
          <w:rFonts w:hint="default" w:ascii="Times New Roman" w:hAnsi="Times New Roman" w:eastAsia="仿宋_GB2312" w:cs="Times New Roman"/>
          <w:b w:val="0"/>
          <w:bCs/>
          <w:color w:val="000000"/>
          <w:sz w:val="32"/>
          <w:szCs w:val="32"/>
          <w:lang w:val="en-US" w:eastAsia="zh-CN"/>
        </w:rPr>
        <w:t>81.29</w:t>
      </w:r>
      <w:r>
        <w:rPr>
          <w:rStyle w:val="15"/>
          <w:rFonts w:hint="default" w:ascii="Times New Roman" w:hAnsi="Times New Roman" w:eastAsia="仿宋_GB2312" w:cs="Times New Roman"/>
          <w:b w:val="0"/>
          <w:bCs/>
          <w:color w:val="000000"/>
          <w:sz w:val="32"/>
          <w:szCs w:val="32"/>
        </w:rPr>
        <w:t>%，决算数小于预算数的主要原因是</w:t>
      </w:r>
      <w:r>
        <w:rPr>
          <w:rFonts w:hint="default" w:ascii="Times New Roman" w:hAnsi="Times New Roman" w:eastAsia="仿宋_GB2312" w:cs="Times New Roman"/>
          <w:color w:val="000000"/>
          <w:sz w:val="32"/>
          <w:szCs w:val="32"/>
          <w:lang w:val="en-US" w:eastAsia="zh-CN"/>
        </w:rPr>
        <w:t>受疫情影响，支出减少</w:t>
      </w:r>
      <w:r>
        <w:rPr>
          <w:rStyle w:val="15"/>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color w:val="000000"/>
          <w:sz w:val="32"/>
          <w:szCs w:val="32"/>
        </w:rPr>
      </w:pPr>
      <w:r>
        <w:rPr>
          <w:rStyle w:val="15"/>
          <w:rFonts w:hint="default" w:ascii="Times New Roman" w:hAnsi="Times New Roman" w:eastAsia="仿宋_GB2312" w:cs="Times New Roman"/>
          <w:bCs/>
          <w:color w:val="000000"/>
          <w:sz w:val="32"/>
          <w:szCs w:val="32"/>
        </w:rPr>
        <w:t>2.一般公共服务（类）</w:t>
      </w:r>
      <w:r>
        <w:rPr>
          <w:rStyle w:val="15"/>
          <w:rFonts w:hint="default" w:ascii="Times New Roman" w:hAnsi="Times New Roman" w:eastAsia="仿宋_GB2312" w:cs="Times New Roman"/>
          <w:bCs/>
          <w:color w:val="auto"/>
          <w:sz w:val="32"/>
          <w:szCs w:val="32"/>
          <w:lang w:eastAsia="zh-CN"/>
        </w:rPr>
        <w:t>民族事务</w:t>
      </w:r>
      <w:r>
        <w:rPr>
          <w:rStyle w:val="15"/>
          <w:rFonts w:hint="default" w:ascii="Times New Roman" w:hAnsi="Times New Roman" w:eastAsia="仿宋_GB2312" w:cs="Times New Roman"/>
          <w:bCs/>
          <w:color w:val="000000"/>
          <w:sz w:val="32"/>
          <w:szCs w:val="32"/>
        </w:rPr>
        <w:t>（款）</w:t>
      </w:r>
      <w:r>
        <w:rPr>
          <w:rStyle w:val="15"/>
          <w:rFonts w:hint="default" w:ascii="Times New Roman" w:hAnsi="Times New Roman" w:eastAsia="仿宋_GB2312" w:cs="Times New Roman"/>
          <w:bCs/>
          <w:color w:val="000000"/>
          <w:sz w:val="32"/>
          <w:szCs w:val="32"/>
          <w:lang w:val="en-US" w:eastAsia="zh-CN"/>
        </w:rPr>
        <w:t>一般行政管理事务</w:t>
      </w:r>
      <w:r>
        <w:rPr>
          <w:rStyle w:val="15"/>
          <w:rFonts w:hint="default" w:ascii="Times New Roman" w:hAnsi="Times New Roman" w:eastAsia="仿宋_GB2312" w:cs="Times New Roman"/>
          <w:bCs/>
          <w:color w:val="000000"/>
          <w:sz w:val="32"/>
          <w:szCs w:val="32"/>
        </w:rPr>
        <w:t>（项）:</w:t>
      </w:r>
      <w:r>
        <w:rPr>
          <w:rStyle w:val="15"/>
          <w:rFonts w:hint="default" w:ascii="Times New Roman" w:hAnsi="Times New Roman" w:eastAsia="仿宋_GB2312" w:cs="Times New Roman"/>
          <w:b w:val="0"/>
          <w:bCs/>
          <w:color w:val="000000"/>
          <w:sz w:val="32"/>
          <w:szCs w:val="32"/>
        </w:rPr>
        <w:t xml:space="preserve">  支出决算为</w:t>
      </w:r>
      <w:r>
        <w:rPr>
          <w:rStyle w:val="15"/>
          <w:rFonts w:hint="default" w:ascii="Times New Roman" w:hAnsi="Times New Roman" w:eastAsia="仿宋_GB2312" w:cs="Times New Roman"/>
          <w:b w:val="0"/>
          <w:bCs/>
          <w:color w:val="000000"/>
          <w:sz w:val="32"/>
          <w:szCs w:val="32"/>
          <w:lang w:val="en-US" w:eastAsia="zh-CN"/>
        </w:rPr>
        <w:t>15</w:t>
      </w:r>
      <w:r>
        <w:rPr>
          <w:rStyle w:val="15"/>
          <w:rFonts w:hint="default" w:ascii="Times New Roman" w:hAnsi="Times New Roman" w:eastAsia="仿宋_GB2312" w:cs="Times New Roman"/>
          <w:b w:val="0"/>
          <w:bCs/>
          <w:color w:val="000000"/>
          <w:sz w:val="32"/>
          <w:szCs w:val="32"/>
        </w:rPr>
        <w:t>万元，完成预算</w:t>
      </w:r>
      <w:r>
        <w:rPr>
          <w:rStyle w:val="15"/>
          <w:rFonts w:hint="default" w:ascii="Times New Roman" w:hAnsi="Times New Roman" w:eastAsia="仿宋_GB2312" w:cs="Times New Roman"/>
          <w:b w:val="0"/>
          <w:bCs/>
          <w:color w:val="000000"/>
          <w:sz w:val="32"/>
          <w:szCs w:val="32"/>
          <w:lang w:val="en-US" w:eastAsia="zh-CN"/>
        </w:rPr>
        <w:t>100</w:t>
      </w:r>
      <w:r>
        <w:rPr>
          <w:rStyle w:val="15"/>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color w:val="000000"/>
          <w:sz w:val="32"/>
          <w:szCs w:val="32"/>
        </w:rPr>
      </w:pPr>
      <w:r>
        <w:rPr>
          <w:rStyle w:val="15"/>
          <w:rFonts w:hint="default" w:ascii="Times New Roman" w:hAnsi="Times New Roman" w:eastAsia="仿宋_GB2312" w:cs="Times New Roman"/>
          <w:bCs/>
          <w:color w:val="000000"/>
          <w:sz w:val="32"/>
          <w:szCs w:val="32"/>
        </w:rPr>
        <w:t>3.</w:t>
      </w:r>
      <w:r>
        <w:rPr>
          <w:rStyle w:val="15"/>
          <w:rFonts w:hint="default" w:ascii="Times New Roman" w:hAnsi="Times New Roman" w:eastAsia="仿宋_GB2312" w:cs="Times New Roman"/>
          <w:b/>
          <w:bCs w:val="0"/>
          <w:color w:val="auto"/>
          <w:sz w:val="32"/>
          <w:szCs w:val="32"/>
        </w:rPr>
        <w:t>一般</w:t>
      </w:r>
      <w:r>
        <w:rPr>
          <w:rStyle w:val="15"/>
          <w:rFonts w:hint="default" w:ascii="Times New Roman" w:hAnsi="Times New Roman" w:eastAsia="仿宋_GB2312" w:cs="Times New Roman"/>
          <w:bCs/>
          <w:color w:val="auto"/>
          <w:sz w:val="32"/>
          <w:szCs w:val="32"/>
        </w:rPr>
        <w:t>公共服务</w:t>
      </w:r>
      <w:r>
        <w:rPr>
          <w:rStyle w:val="15"/>
          <w:rFonts w:hint="default" w:ascii="Times New Roman" w:hAnsi="Times New Roman" w:eastAsia="仿宋_GB2312" w:cs="Times New Roman"/>
          <w:bCs/>
          <w:color w:val="auto"/>
          <w:sz w:val="32"/>
          <w:szCs w:val="32"/>
          <w:lang w:eastAsia="zh-CN"/>
        </w:rPr>
        <w:t>支出</w:t>
      </w:r>
      <w:r>
        <w:rPr>
          <w:rStyle w:val="15"/>
          <w:rFonts w:hint="default" w:ascii="Times New Roman" w:hAnsi="Times New Roman" w:eastAsia="仿宋_GB2312" w:cs="Times New Roman"/>
          <w:bCs/>
          <w:color w:val="auto"/>
          <w:sz w:val="32"/>
          <w:szCs w:val="32"/>
        </w:rPr>
        <w:t>（类）</w:t>
      </w:r>
      <w:r>
        <w:rPr>
          <w:rStyle w:val="15"/>
          <w:rFonts w:hint="default" w:ascii="Times New Roman" w:hAnsi="Times New Roman" w:eastAsia="仿宋_GB2312" w:cs="Times New Roman"/>
          <w:bCs/>
          <w:color w:val="auto"/>
          <w:sz w:val="32"/>
          <w:szCs w:val="32"/>
          <w:lang w:eastAsia="zh-CN"/>
        </w:rPr>
        <w:t>民族事务</w:t>
      </w:r>
      <w:r>
        <w:rPr>
          <w:rStyle w:val="15"/>
          <w:rFonts w:hint="default" w:ascii="Times New Roman" w:hAnsi="Times New Roman" w:eastAsia="仿宋_GB2312" w:cs="Times New Roman"/>
          <w:bCs/>
          <w:color w:val="auto"/>
          <w:sz w:val="32"/>
          <w:szCs w:val="32"/>
        </w:rPr>
        <w:t>（款）</w:t>
      </w:r>
      <w:r>
        <w:rPr>
          <w:rStyle w:val="15"/>
          <w:rFonts w:hint="default" w:ascii="Times New Roman" w:hAnsi="Times New Roman" w:eastAsia="仿宋_GB2312" w:cs="Times New Roman"/>
          <w:bCs/>
          <w:color w:val="auto"/>
          <w:sz w:val="32"/>
          <w:szCs w:val="32"/>
          <w:lang w:eastAsia="zh-CN"/>
        </w:rPr>
        <w:t>其他民族事务支出</w:t>
      </w:r>
      <w:r>
        <w:rPr>
          <w:rStyle w:val="15"/>
          <w:rFonts w:hint="default" w:ascii="Times New Roman" w:hAnsi="Times New Roman" w:eastAsia="仿宋_GB2312" w:cs="Times New Roman"/>
          <w:bCs/>
          <w:color w:val="auto"/>
          <w:sz w:val="32"/>
          <w:szCs w:val="32"/>
        </w:rPr>
        <w:t>（项）:</w:t>
      </w:r>
      <w:r>
        <w:rPr>
          <w:rStyle w:val="15"/>
          <w:rFonts w:hint="default" w:ascii="Times New Roman" w:hAnsi="Times New Roman" w:eastAsia="仿宋_GB2312" w:cs="Times New Roman"/>
          <w:b w:val="0"/>
          <w:bCs/>
          <w:color w:val="000000"/>
          <w:sz w:val="32"/>
          <w:szCs w:val="32"/>
        </w:rPr>
        <w:t>支出决算为</w:t>
      </w:r>
      <w:r>
        <w:rPr>
          <w:rStyle w:val="15"/>
          <w:rFonts w:hint="default" w:ascii="Times New Roman" w:hAnsi="Times New Roman" w:eastAsia="仿宋_GB2312" w:cs="Times New Roman"/>
          <w:b w:val="0"/>
          <w:bCs/>
          <w:color w:val="000000"/>
          <w:sz w:val="32"/>
          <w:szCs w:val="32"/>
          <w:lang w:val="en-US" w:eastAsia="zh-CN"/>
        </w:rPr>
        <w:t>102.99</w:t>
      </w:r>
      <w:r>
        <w:rPr>
          <w:rStyle w:val="15"/>
          <w:rFonts w:hint="default" w:ascii="Times New Roman" w:hAnsi="Times New Roman" w:eastAsia="仿宋_GB2312" w:cs="Times New Roman"/>
          <w:b w:val="0"/>
          <w:bCs/>
          <w:color w:val="000000"/>
          <w:sz w:val="32"/>
          <w:szCs w:val="32"/>
        </w:rPr>
        <w:t>万元，完成预算</w:t>
      </w:r>
      <w:r>
        <w:rPr>
          <w:rStyle w:val="15"/>
          <w:rFonts w:hint="default" w:ascii="Times New Roman" w:hAnsi="Times New Roman" w:eastAsia="仿宋_GB2312" w:cs="Times New Roman"/>
          <w:b w:val="0"/>
          <w:bCs/>
          <w:color w:val="000000"/>
          <w:sz w:val="32"/>
          <w:szCs w:val="32"/>
          <w:lang w:val="en-US" w:eastAsia="zh-CN"/>
        </w:rPr>
        <w:t>85.83</w:t>
      </w:r>
      <w:r>
        <w:rPr>
          <w:rStyle w:val="15"/>
          <w:rFonts w:hint="default" w:ascii="Times New Roman" w:hAnsi="Times New Roman" w:eastAsia="仿宋_GB2312" w:cs="Times New Roman"/>
          <w:b w:val="0"/>
          <w:bCs/>
          <w:color w:val="000000"/>
          <w:sz w:val="32"/>
          <w:szCs w:val="32"/>
        </w:rPr>
        <w:t>%，决算数小于预算数的主要原因是</w:t>
      </w:r>
      <w:r>
        <w:rPr>
          <w:rFonts w:hint="default" w:ascii="Times New Roman" w:hAnsi="Times New Roman" w:eastAsia="仿宋_GB2312" w:cs="Times New Roman"/>
          <w:color w:val="000000"/>
          <w:sz w:val="32"/>
          <w:szCs w:val="32"/>
          <w:lang w:val="en-US" w:eastAsia="zh-CN"/>
        </w:rPr>
        <w:t>受疫情影响，项目支出减少</w:t>
      </w:r>
      <w:r>
        <w:rPr>
          <w:rStyle w:val="15"/>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hint="default" w:ascii="Times New Roman" w:hAnsi="Times New Roman" w:eastAsia="仿宋_GB2312" w:cs="Times New Roman"/>
          <w:b/>
          <w:color w:val="000000"/>
          <w:sz w:val="32"/>
          <w:szCs w:val="32"/>
        </w:rPr>
      </w:pPr>
      <w:r>
        <w:rPr>
          <w:rStyle w:val="15"/>
          <w:rFonts w:hint="default" w:ascii="Times New Roman" w:hAnsi="Times New Roman" w:eastAsia="仿宋_GB2312" w:cs="Times New Roman"/>
          <w:bCs/>
          <w:color w:val="000000"/>
          <w:sz w:val="32"/>
          <w:szCs w:val="32"/>
        </w:rPr>
        <w:t>4.</w:t>
      </w:r>
      <w:r>
        <w:rPr>
          <w:rStyle w:val="15"/>
          <w:rFonts w:hint="default" w:ascii="Times New Roman" w:hAnsi="Times New Roman" w:eastAsia="仿宋_GB2312" w:cs="Times New Roman"/>
          <w:bCs/>
          <w:color w:val="auto"/>
          <w:sz w:val="32"/>
          <w:szCs w:val="32"/>
          <w:lang w:eastAsia="zh-CN"/>
        </w:rPr>
        <w:t>社会保障和就业支出</w:t>
      </w:r>
      <w:r>
        <w:rPr>
          <w:rStyle w:val="15"/>
          <w:rFonts w:hint="default" w:ascii="Times New Roman" w:hAnsi="Times New Roman" w:eastAsia="仿宋_GB2312" w:cs="Times New Roman"/>
          <w:bCs/>
          <w:color w:val="auto"/>
          <w:sz w:val="32"/>
          <w:szCs w:val="32"/>
        </w:rPr>
        <w:t>（类）</w:t>
      </w:r>
      <w:r>
        <w:rPr>
          <w:rStyle w:val="15"/>
          <w:rFonts w:hint="default" w:ascii="Times New Roman" w:hAnsi="Times New Roman" w:eastAsia="仿宋_GB2312" w:cs="Times New Roman"/>
          <w:bCs/>
          <w:color w:val="auto"/>
          <w:sz w:val="32"/>
          <w:szCs w:val="32"/>
          <w:lang w:eastAsia="zh-CN"/>
        </w:rPr>
        <w:t>行政事业单位</w:t>
      </w:r>
      <w:r>
        <w:rPr>
          <w:rStyle w:val="15"/>
          <w:rFonts w:hint="default" w:ascii="Times New Roman" w:hAnsi="Times New Roman" w:eastAsia="仿宋_GB2312" w:cs="Times New Roman"/>
          <w:bCs/>
          <w:color w:val="auto"/>
          <w:sz w:val="32"/>
          <w:szCs w:val="32"/>
          <w:lang w:val="en-US" w:eastAsia="zh-CN"/>
        </w:rPr>
        <w:t>养老支出</w:t>
      </w:r>
      <w:r>
        <w:rPr>
          <w:rStyle w:val="15"/>
          <w:rFonts w:hint="default" w:ascii="Times New Roman" w:hAnsi="Times New Roman" w:eastAsia="仿宋_GB2312" w:cs="Times New Roman"/>
          <w:bCs/>
          <w:color w:val="auto"/>
          <w:sz w:val="32"/>
          <w:szCs w:val="32"/>
        </w:rPr>
        <w:t>（款）</w:t>
      </w:r>
      <w:r>
        <w:rPr>
          <w:rStyle w:val="15"/>
          <w:rFonts w:hint="default" w:ascii="Times New Roman" w:hAnsi="Times New Roman" w:eastAsia="仿宋_GB2312" w:cs="Times New Roman"/>
          <w:bCs/>
          <w:color w:val="auto"/>
          <w:sz w:val="32"/>
          <w:szCs w:val="32"/>
          <w:lang w:val="en-US" w:eastAsia="zh-CN"/>
        </w:rPr>
        <w:t>行政</w:t>
      </w:r>
      <w:r>
        <w:rPr>
          <w:rStyle w:val="15"/>
          <w:rFonts w:hint="default" w:ascii="Times New Roman" w:hAnsi="Times New Roman" w:eastAsia="仿宋_GB2312" w:cs="Times New Roman"/>
          <w:bCs/>
          <w:color w:val="auto"/>
          <w:sz w:val="32"/>
          <w:szCs w:val="32"/>
          <w:lang w:eastAsia="zh-CN"/>
        </w:rPr>
        <w:t>单位离退休</w:t>
      </w:r>
      <w:r>
        <w:rPr>
          <w:rStyle w:val="15"/>
          <w:rFonts w:hint="default" w:ascii="Times New Roman" w:hAnsi="Times New Roman" w:eastAsia="仿宋_GB2312" w:cs="Times New Roman"/>
          <w:bCs/>
          <w:color w:val="auto"/>
          <w:sz w:val="32"/>
          <w:szCs w:val="32"/>
        </w:rPr>
        <w:t>（项</w:t>
      </w:r>
      <w:r>
        <w:rPr>
          <w:rStyle w:val="15"/>
          <w:rFonts w:hint="default" w:ascii="Times New Roman" w:hAnsi="Times New Roman" w:eastAsia="仿宋_GB2312" w:cs="Times New Roman"/>
          <w:bCs/>
          <w:color w:val="auto"/>
          <w:sz w:val="32"/>
          <w:szCs w:val="32"/>
          <w:lang w:eastAsia="zh-CN"/>
        </w:rPr>
        <w:t>）</w:t>
      </w:r>
      <w:r>
        <w:rPr>
          <w:rStyle w:val="15"/>
          <w:rFonts w:hint="default" w:ascii="Times New Roman" w:hAnsi="Times New Roman" w:eastAsia="仿宋_GB2312" w:cs="Times New Roman"/>
          <w:bCs/>
          <w:color w:val="auto"/>
          <w:sz w:val="32"/>
          <w:szCs w:val="32"/>
          <w:lang w:val="en-US" w:eastAsia="zh-CN"/>
        </w:rPr>
        <w:t xml:space="preserve"> ：</w:t>
      </w:r>
      <w:r>
        <w:rPr>
          <w:rStyle w:val="15"/>
          <w:rFonts w:hint="default" w:ascii="Times New Roman" w:hAnsi="Times New Roman" w:eastAsia="仿宋_GB2312" w:cs="Times New Roman"/>
          <w:b w:val="0"/>
          <w:bCs w:val="0"/>
          <w:color w:val="auto"/>
          <w:sz w:val="32"/>
          <w:szCs w:val="32"/>
        </w:rPr>
        <w:t>支出</w:t>
      </w:r>
      <w:r>
        <w:rPr>
          <w:rStyle w:val="15"/>
          <w:rFonts w:hint="default" w:ascii="Times New Roman" w:hAnsi="Times New Roman" w:eastAsia="仿宋_GB2312" w:cs="Times New Roman"/>
          <w:b w:val="0"/>
          <w:bCs/>
          <w:color w:val="000000"/>
          <w:sz w:val="32"/>
          <w:szCs w:val="32"/>
        </w:rPr>
        <w:t>决算为</w:t>
      </w:r>
      <w:r>
        <w:rPr>
          <w:rStyle w:val="15"/>
          <w:rFonts w:hint="default" w:ascii="Times New Roman" w:hAnsi="Times New Roman" w:eastAsia="仿宋_GB2312" w:cs="Times New Roman"/>
          <w:b w:val="0"/>
          <w:bCs/>
          <w:color w:val="000000"/>
          <w:sz w:val="32"/>
          <w:szCs w:val="32"/>
          <w:lang w:val="en-US" w:eastAsia="zh-CN"/>
        </w:rPr>
        <w:t>5.2</w:t>
      </w:r>
      <w:r>
        <w:rPr>
          <w:rStyle w:val="15"/>
          <w:rFonts w:hint="default" w:ascii="Times New Roman" w:hAnsi="Times New Roman" w:eastAsia="仿宋_GB2312" w:cs="Times New Roman"/>
          <w:b w:val="0"/>
          <w:bCs/>
          <w:color w:val="000000"/>
          <w:sz w:val="32"/>
          <w:szCs w:val="32"/>
        </w:rPr>
        <w:t>万元，完成预算</w:t>
      </w:r>
      <w:r>
        <w:rPr>
          <w:rStyle w:val="15"/>
          <w:rFonts w:hint="default" w:ascii="Times New Roman" w:hAnsi="Times New Roman" w:eastAsia="仿宋_GB2312" w:cs="Times New Roman"/>
          <w:b w:val="0"/>
          <w:bCs/>
          <w:color w:val="000000"/>
          <w:sz w:val="32"/>
          <w:szCs w:val="32"/>
          <w:lang w:val="en-US" w:eastAsia="zh-CN"/>
        </w:rPr>
        <w:t>100</w:t>
      </w:r>
      <w:r>
        <w:rPr>
          <w:rStyle w:val="15"/>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color w:val="000000"/>
          <w:sz w:val="32"/>
          <w:szCs w:val="32"/>
        </w:rPr>
      </w:pPr>
      <w:r>
        <w:rPr>
          <w:rStyle w:val="15"/>
          <w:rFonts w:hint="default" w:ascii="Times New Roman" w:hAnsi="Times New Roman" w:eastAsia="仿宋_GB2312" w:cs="Times New Roman"/>
          <w:bCs/>
          <w:color w:val="000000"/>
          <w:sz w:val="32"/>
          <w:szCs w:val="32"/>
        </w:rPr>
        <w:t>5.</w:t>
      </w:r>
      <w:r>
        <w:rPr>
          <w:rStyle w:val="15"/>
          <w:rFonts w:hint="default" w:ascii="Times New Roman" w:hAnsi="Times New Roman" w:eastAsia="仿宋_GB2312" w:cs="Times New Roman"/>
          <w:bCs/>
          <w:color w:val="auto"/>
          <w:sz w:val="32"/>
          <w:szCs w:val="32"/>
          <w:lang w:eastAsia="zh-CN"/>
        </w:rPr>
        <w:t>社会保障和就业支出</w:t>
      </w:r>
      <w:r>
        <w:rPr>
          <w:rStyle w:val="15"/>
          <w:rFonts w:hint="default" w:ascii="Times New Roman" w:hAnsi="Times New Roman" w:eastAsia="仿宋_GB2312" w:cs="Times New Roman"/>
          <w:bCs/>
          <w:color w:val="auto"/>
          <w:sz w:val="32"/>
          <w:szCs w:val="32"/>
        </w:rPr>
        <w:t>（类）</w:t>
      </w:r>
      <w:r>
        <w:rPr>
          <w:rStyle w:val="15"/>
          <w:rFonts w:hint="default" w:ascii="Times New Roman" w:hAnsi="Times New Roman" w:eastAsia="仿宋_GB2312" w:cs="Times New Roman"/>
          <w:bCs/>
          <w:color w:val="auto"/>
          <w:sz w:val="32"/>
          <w:szCs w:val="32"/>
          <w:lang w:eastAsia="zh-CN"/>
        </w:rPr>
        <w:t>行政事业单位</w:t>
      </w:r>
      <w:r>
        <w:rPr>
          <w:rStyle w:val="15"/>
          <w:rFonts w:hint="default" w:ascii="Times New Roman" w:hAnsi="Times New Roman" w:eastAsia="仿宋_GB2312" w:cs="Times New Roman"/>
          <w:bCs/>
          <w:color w:val="auto"/>
          <w:sz w:val="32"/>
          <w:szCs w:val="32"/>
          <w:lang w:val="en-US" w:eastAsia="zh-CN"/>
        </w:rPr>
        <w:t>养老支出</w:t>
      </w:r>
      <w:r>
        <w:rPr>
          <w:rStyle w:val="15"/>
          <w:rFonts w:hint="default" w:ascii="Times New Roman" w:hAnsi="Times New Roman" w:eastAsia="仿宋_GB2312" w:cs="Times New Roman"/>
          <w:bCs/>
          <w:color w:val="auto"/>
          <w:sz w:val="32"/>
          <w:szCs w:val="32"/>
        </w:rPr>
        <w:t>（款）</w:t>
      </w:r>
      <w:r>
        <w:rPr>
          <w:rStyle w:val="15"/>
          <w:rFonts w:hint="default" w:ascii="Times New Roman" w:hAnsi="Times New Roman" w:eastAsia="仿宋_GB2312" w:cs="Times New Roman"/>
          <w:bCs/>
          <w:color w:val="auto"/>
          <w:sz w:val="32"/>
          <w:szCs w:val="32"/>
          <w:lang w:eastAsia="zh-CN"/>
        </w:rPr>
        <w:t>机关事业单位基本养老保险缴费支出</w:t>
      </w:r>
      <w:r>
        <w:rPr>
          <w:rStyle w:val="15"/>
          <w:rFonts w:hint="default" w:ascii="Times New Roman" w:hAnsi="Times New Roman" w:eastAsia="仿宋_GB2312" w:cs="Times New Roman"/>
          <w:bCs/>
          <w:color w:val="auto"/>
          <w:sz w:val="32"/>
          <w:szCs w:val="32"/>
        </w:rPr>
        <w:t>（项）:</w:t>
      </w:r>
      <w:r>
        <w:rPr>
          <w:rStyle w:val="15"/>
          <w:rFonts w:hint="default" w:ascii="Times New Roman" w:hAnsi="Times New Roman" w:eastAsia="仿宋_GB2312" w:cs="Times New Roman"/>
          <w:b w:val="0"/>
          <w:bCs/>
          <w:color w:val="auto"/>
          <w:sz w:val="32"/>
          <w:szCs w:val="32"/>
        </w:rPr>
        <w:t>支出决算为</w:t>
      </w:r>
      <w:r>
        <w:rPr>
          <w:rStyle w:val="15"/>
          <w:rFonts w:hint="default" w:ascii="Times New Roman" w:hAnsi="Times New Roman" w:eastAsia="仿宋_GB2312" w:cs="Times New Roman"/>
          <w:b w:val="0"/>
          <w:bCs/>
          <w:color w:val="auto"/>
          <w:sz w:val="32"/>
          <w:szCs w:val="32"/>
          <w:lang w:val="en-US" w:eastAsia="zh-CN"/>
        </w:rPr>
        <w:t>9.13</w:t>
      </w:r>
      <w:r>
        <w:rPr>
          <w:rStyle w:val="15"/>
          <w:rFonts w:hint="default" w:ascii="Times New Roman" w:hAnsi="Times New Roman" w:eastAsia="仿宋_GB2312" w:cs="Times New Roman"/>
          <w:b w:val="0"/>
          <w:bCs/>
          <w:color w:val="auto"/>
          <w:sz w:val="32"/>
          <w:szCs w:val="32"/>
        </w:rPr>
        <w:t>万元</w:t>
      </w:r>
      <w:r>
        <w:rPr>
          <w:rStyle w:val="15"/>
          <w:rFonts w:hint="default" w:ascii="Times New Roman" w:hAnsi="Times New Roman" w:eastAsia="仿宋_GB2312" w:cs="Times New Roman"/>
          <w:b w:val="0"/>
          <w:bCs/>
          <w:color w:val="000000"/>
          <w:sz w:val="32"/>
          <w:szCs w:val="32"/>
        </w:rPr>
        <w:t>，完成预算</w:t>
      </w:r>
      <w:r>
        <w:rPr>
          <w:rStyle w:val="15"/>
          <w:rFonts w:hint="default" w:ascii="Times New Roman" w:hAnsi="Times New Roman" w:eastAsia="仿宋_GB2312" w:cs="Times New Roman"/>
          <w:b w:val="0"/>
          <w:bCs/>
          <w:color w:val="000000"/>
          <w:sz w:val="32"/>
          <w:szCs w:val="32"/>
          <w:lang w:val="en-US" w:eastAsia="zh-CN"/>
        </w:rPr>
        <w:t>100</w:t>
      </w:r>
      <w:r>
        <w:rPr>
          <w:rStyle w:val="15"/>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color w:val="000000"/>
          <w:sz w:val="32"/>
          <w:szCs w:val="32"/>
        </w:rPr>
      </w:pPr>
      <w:r>
        <w:rPr>
          <w:rStyle w:val="15"/>
          <w:rFonts w:hint="default" w:ascii="Times New Roman" w:hAnsi="Times New Roman" w:eastAsia="仿宋_GB2312" w:cs="Times New Roman"/>
          <w:bCs/>
          <w:color w:val="000000"/>
          <w:sz w:val="32"/>
          <w:szCs w:val="32"/>
        </w:rPr>
        <w:t>6.</w:t>
      </w:r>
      <w:r>
        <w:rPr>
          <w:rStyle w:val="15"/>
          <w:rFonts w:hint="default" w:ascii="Times New Roman" w:hAnsi="Times New Roman" w:eastAsia="仿宋_GB2312" w:cs="Times New Roman"/>
          <w:bCs/>
          <w:color w:val="auto"/>
          <w:sz w:val="32"/>
          <w:szCs w:val="32"/>
          <w:lang w:eastAsia="zh-CN"/>
        </w:rPr>
        <w:t>医疗健康支出</w:t>
      </w:r>
      <w:r>
        <w:rPr>
          <w:rStyle w:val="15"/>
          <w:rFonts w:hint="default" w:ascii="Times New Roman" w:hAnsi="Times New Roman" w:eastAsia="仿宋_GB2312" w:cs="Times New Roman"/>
          <w:bCs/>
          <w:color w:val="auto"/>
          <w:sz w:val="32"/>
          <w:szCs w:val="32"/>
        </w:rPr>
        <w:t>（类）</w:t>
      </w:r>
      <w:r>
        <w:rPr>
          <w:rStyle w:val="15"/>
          <w:rFonts w:hint="default" w:ascii="Times New Roman" w:hAnsi="Times New Roman" w:eastAsia="仿宋_GB2312" w:cs="Times New Roman"/>
          <w:bCs/>
          <w:color w:val="auto"/>
          <w:sz w:val="32"/>
          <w:szCs w:val="32"/>
          <w:lang w:eastAsia="zh-CN"/>
        </w:rPr>
        <w:t>行政事业单位医疗</w:t>
      </w:r>
      <w:r>
        <w:rPr>
          <w:rStyle w:val="15"/>
          <w:rFonts w:hint="default" w:ascii="Times New Roman" w:hAnsi="Times New Roman" w:eastAsia="仿宋_GB2312" w:cs="Times New Roman"/>
          <w:bCs/>
          <w:color w:val="auto"/>
          <w:sz w:val="32"/>
          <w:szCs w:val="32"/>
        </w:rPr>
        <w:t>（款）</w:t>
      </w:r>
      <w:r>
        <w:rPr>
          <w:rStyle w:val="15"/>
          <w:rFonts w:hint="default" w:ascii="Times New Roman" w:hAnsi="Times New Roman" w:eastAsia="仿宋_GB2312" w:cs="Times New Roman"/>
          <w:bCs/>
          <w:color w:val="auto"/>
          <w:sz w:val="32"/>
          <w:szCs w:val="32"/>
          <w:lang w:eastAsia="zh-CN"/>
        </w:rPr>
        <w:t>行政单位医疗</w:t>
      </w:r>
      <w:r>
        <w:rPr>
          <w:rStyle w:val="15"/>
          <w:rFonts w:hint="default" w:ascii="Times New Roman" w:hAnsi="Times New Roman" w:eastAsia="仿宋_GB2312" w:cs="Times New Roman"/>
          <w:bCs/>
          <w:color w:val="auto"/>
          <w:sz w:val="32"/>
          <w:szCs w:val="32"/>
        </w:rPr>
        <w:t>（项）</w:t>
      </w:r>
      <w:r>
        <w:rPr>
          <w:rStyle w:val="15"/>
          <w:rFonts w:hint="default" w:ascii="Times New Roman" w:hAnsi="Times New Roman" w:eastAsia="仿宋_GB2312" w:cs="Times New Roman"/>
          <w:bCs/>
          <w:color w:val="000000"/>
          <w:sz w:val="32"/>
          <w:szCs w:val="32"/>
        </w:rPr>
        <w:t>:</w:t>
      </w:r>
      <w:r>
        <w:rPr>
          <w:rStyle w:val="15"/>
          <w:rFonts w:hint="default" w:ascii="Times New Roman" w:hAnsi="Times New Roman" w:eastAsia="仿宋_GB2312" w:cs="Times New Roman"/>
          <w:b w:val="0"/>
          <w:bCs/>
          <w:color w:val="000000"/>
          <w:sz w:val="32"/>
          <w:szCs w:val="32"/>
        </w:rPr>
        <w:t>支出决算为</w:t>
      </w:r>
      <w:r>
        <w:rPr>
          <w:rStyle w:val="15"/>
          <w:rFonts w:hint="default" w:ascii="Times New Roman" w:hAnsi="Times New Roman" w:eastAsia="仿宋_GB2312" w:cs="Times New Roman"/>
          <w:b w:val="0"/>
          <w:bCs/>
          <w:color w:val="000000"/>
          <w:sz w:val="32"/>
          <w:szCs w:val="32"/>
          <w:lang w:val="en-US" w:eastAsia="zh-CN"/>
        </w:rPr>
        <w:t>0.66</w:t>
      </w:r>
      <w:r>
        <w:rPr>
          <w:rStyle w:val="15"/>
          <w:rFonts w:hint="default" w:ascii="Times New Roman" w:hAnsi="Times New Roman" w:eastAsia="仿宋_GB2312" w:cs="Times New Roman"/>
          <w:b w:val="0"/>
          <w:bCs/>
          <w:color w:val="000000"/>
          <w:sz w:val="32"/>
          <w:szCs w:val="32"/>
        </w:rPr>
        <w:t>万元，完成预算</w:t>
      </w:r>
      <w:r>
        <w:rPr>
          <w:rStyle w:val="15"/>
          <w:rFonts w:hint="default" w:ascii="Times New Roman" w:hAnsi="Times New Roman" w:eastAsia="仿宋_GB2312" w:cs="Times New Roman"/>
          <w:b w:val="0"/>
          <w:bCs/>
          <w:color w:val="000000"/>
          <w:sz w:val="32"/>
          <w:szCs w:val="32"/>
          <w:lang w:val="en-US" w:eastAsia="zh-CN"/>
        </w:rPr>
        <w:t>100</w:t>
      </w:r>
      <w:r>
        <w:rPr>
          <w:rStyle w:val="15"/>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Style w:val="15"/>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bCs/>
          <w:color w:val="000000"/>
          <w:sz w:val="32"/>
          <w:szCs w:val="32"/>
          <w:lang w:val="en-US" w:eastAsia="zh-CN"/>
        </w:rPr>
        <w:t>7.</w:t>
      </w:r>
      <w:r>
        <w:rPr>
          <w:rStyle w:val="15"/>
          <w:rFonts w:hint="default" w:ascii="Times New Roman" w:hAnsi="Times New Roman" w:eastAsia="仿宋_GB2312" w:cs="Times New Roman"/>
          <w:bCs/>
          <w:color w:val="auto"/>
          <w:sz w:val="32"/>
          <w:szCs w:val="32"/>
          <w:lang w:eastAsia="zh-CN"/>
        </w:rPr>
        <w:t>医疗健康支出</w:t>
      </w:r>
      <w:r>
        <w:rPr>
          <w:rStyle w:val="15"/>
          <w:rFonts w:hint="default" w:ascii="Times New Roman" w:hAnsi="Times New Roman" w:eastAsia="仿宋_GB2312" w:cs="Times New Roman"/>
          <w:bCs/>
          <w:color w:val="auto"/>
          <w:sz w:val="32"/>
          <w:szCs w:val="32"/>
        </w:rPr>
        <w:t>（类）</w:t>
      </w:r>
      <w:r>
        <w:rPr>
          <w:rStyle w:val="15"/>
          <w:rFonts w:hint="default" w:ascii="Times New Roman" w:hAnsi="Times New Roman" w:eastAsia="仿宋_GB2312" w:cs="Times New Roman"/>
          <w:bCs/>
          <w:color w:val="auto"/>
          <w:sz w:val="32"/>
          <w:szCs w:val="32"/>
          <w:lang w:eastAsia="zh-CN"/>
        </w:rPr>
        <w:t>行政事业单位医疗</w:t>
      </w:r>
      <w:r>
        <w:rPr>
          <w:rStyle w:val="15"/>
          <w:rFonts w:hint="default" w:ascii="Times New Roman" w:hAnsi="Times New Roman" w:eastAsia="仿宋_GB2312" w:cs="Times New Roman"/>
          <w:bCs/>
          <w:color w:val="auto"/>
          <w:sz w:val="32"/>
          <w:szCs w:val="32"/>
        </w:rPr>
        <w:t>（款）</w:t>
      </w:r>
      <w:r>
        <w:rPr>
          <w:rStyle w:val="15"/>
          <w:rFonts w:hint="default" w:ascii="Times New Roman" w:hAnsi="Times New Roman" w:eastAsia="仿宋_GB2312" w:cs="Times New Roman"/>
          <w:bCs/>
          <w:color w:val="auto"/>
          <w:sz w:val="32"/>
          <w:szCs w:val="32"/>
          <w:lang w:val="en-US" w:eastAsia="zh-CN"/>
        </w:rPr>
        <w:t>事业单位医疗</w:t>
      </w:r>
      <w:r>
        <w:rPr>
          <w:rStyle w:val="15"/>
          <w:rFonts w:hint="default" w:ascii="Times New Roman" w:hAnsi="Times New Roman" w:eastAsia="仿宋_GB2312" w:cs="Times New Roman"/>
          <w:bCs/>
          <w:color w:val="auto"/>
          <w:sz w:val="32"/>
          <w:szCs w:val="32"/>
        </w:rPr>
        <w:t>（项）</w:t>
      </w:r>
      <w:r>
        <w:rPr>
          <w:rStyle w:val="15"/>
          <w:rFonts w:hint="default" w:ascii="Times New Roman" w:hAnsi="Times New Roman" w:eastAsia="仿宋_GB2312" w:cs="Times New Roman"/>
          <w:bCs/>
          <w:color w:val="000000"/>
          <w:sz w:val="32"/>
          <w:szCs w:val="32"/>
        </w:rPr>
        <w:t>:</w:t>
      </w:r>
      <w:r>
        <w:rPr>
          <w:rStyle w:val="15"/>
          <w:rFonts w:hint="default" w:ascii="Times New Roman" w:hAnsi="Times New Roman" w:eastAsia="仿宋_GB2312" w:cs="Times New Roman"/>
          <w:b w:val="0"/>
          <w:bCs/>
          <w:color w:val="000000"/>
          <w:sz w:val="32"/>
          <w:szCs w:val="32"/>
        </w:rPr>
        <w:t>支出决算为</w:t>
      </w:r>
      <w:r>
        <w:rPr>
          <w:rStyle w:val="15"/>
          <w:rFonts w:hint="default" w:ascii="Times New Roman" w:hAnsi="Times New Roman" w:eastAsia="仿宋_GB2312" w:cs="Times New Roman"/>
          <w:b w:val="0"/>
          <w:bCs/>
          <w:color w:val="000000"/>
          <w:sz w:val="32"/>
          <w:szCs w:val="32"/>
          <w:lang w:val="en-US" w:eastAsia="zh-CN"/>
        </w:rPr>
        <w:t>6</w:t>
      </w:r>
      <w:r>
        <w:rPr>
          <w:rStyle w:val="15"/>
          <w:rFonts w:hint="default" w:ascii="Times New Roman" w:hAnsi="Times New Roman" w:eastAsia="仿宋_GB2312" w:cs="Times New Roman"/>
          <w:b w:val="0"/>
          <w:bCs/>
          <w:color w:val="000000"/>
          <w:sz w:val="32"/>
          <w:szCs w:val="32"/>
        </w:rPr>
        <w:t>万元，完成预算</w:t>
      </w:r>
      <w:r>
        <w:rPr>
          <w:rStyle w:val="15"/>
          <w:rFonts w:hint="default" w:ascii="Times New Roman" w:hAnsi="Times New Roman" w:eastAsia="仿宋_GB2312" w:cs="Times New Roman"/>
          <w:b w:val="0"/>
          <w:bCs/>
          <w:color w:val="000000"/>
          <w:sz w:val="32"/>
          <w:szCs w:val="32"/>
          <w:lang w:val="en-US" w:eastAsia="zh-CN"/>
        </w:rPr>
        <w:t>100</w:t>
      </w:r>
      <w:r>
        <w:rPr>
          <w:rStyle w:val="15"/>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Style w:val="15"/>
          <w:rFonts w:hint="default" w:ascii="Times New Roman" w:hAnsi="Times New Roman" w:eastAsia="仿宋_GB2312" w:cs="Times New Roman"/>
          <w:b w:val="0"/>
          <w:bCs/>
          <w:color w:val="000000"/>
          <w:sz w:val="32"/>
          <w:szCs w:val="32"/>
        </w:rPr>
      </w:pPr>
      <w:r>
        <w:rPr>
          <w:rStyle w:val="15"/>
          <w:rFonts w:hint="default" w:ascii="Times New Roman" w:hAnsi="Times New Roman" w:eastAsia="仿宋_GB2312" w:cs="Times New Roman"/>
          <w:b/>
          <w:bCs w:val="0"/>
          <w:color w:val="000000"/>
          <w:sz w:val="32"/>
          <w:szCs w:val="32"/>
          <w:lang w:val="en-US" w:eastAsia="zh-CN"/>
        </w:rPr>
        <w:t>8.</w:t>
      </w:r>
      <w:r>
        <w:rPr>
          <w:rStyle w:val="15"/>
          <w:rFonts w:hint="default" w:ascii="Times New Roman" w:hAnsi="Times New Roman" w:eastAsia="仿宋_GB2312" w:cs="Times New Roman"/>
          <w:bCs/>
          <w:color w:val="auto"/>
          <w:sz w:val="32"/>
          <w:szCs w:val="32"/>
          <w:lang w:eastAsia="zh-CN"/>
        </w:rPr>
        <w:t>医疗健康支出</w:t>
      </w:r>
      <w:r>
        <w:rPr>
          <w:rStyle w:val="15"/>
          <w:rFonts w:hint="default" w:ascii="Times New Roman" w:hAnsi="Times New Roman" w:eastAsia="仿宋_GB2312" w:cs="Times New Roman"/>
          <w:bCs/>
          <w:color w:val="auto"/>
          <w:sz w:val="32"/>
          <w:szCs w:val="32"/>
        </w:rPr>
        <w:t>（类）</w:t>
      </w:r>
      <w:r>
        <w:rPr>
          <w:rStyle w:val="15"/>
          <w:rFonts w:hint="default" w:ascii="Times New Roman" w:hAnsi="Times New Roman" w:eastAsia="仿宋_GB2312" w:cs="Times New Roman"/>
          <w:bCs/>
          <w:color w:val="auto"/>
          <w:sz w:val="32"/>
          <w:szCs w:val="32"/>
          <w:lang w:eastAsia="zh-CN"/>
        </w:rPr>
        <w:t>行政事业单位医疗</w:t>
      </w:r>
      <w:r>
        <w:rPr>
          <w:rStyle w:val="15"/>
          <w:rFonts w:hint="default" w:ascii="Times New Roman" w:hAnsi="Times New Roman" w:eastAsia="仿宋_GB2312" w:cs="Times New Roman"/>
          <w:bCs/>
          <w:color w:val="auto"/>
          <w:sz w:val="32"/>
          <w:szCs w:val="32"/>
        </w:rPr>
        <w:t>（款）</w:t>
      </w:r>
      <w:r>
        <w:rPr>
          <w:rStyle w:val="15"/>
          <w:rFonts w:hint="default" w:ascii="Times New Roman" w:hAnsi="Times New Roman" w:eastAsia="仿宋_GB2312" w:cs="Times New Roman"/>
          <w:bCs/>
          <w:color w:val="auto"/>
          <w:sz w:val="32"/>
          <w:szCs w:val="32"/>
          <w:lang w:val="en-US" w:eastAsia="zh-CN"/>
        </w:rPr>
        <w:t>公务员医疗补助</w:t>
      </w:r>
      <w:r>
        <w:rPr>
          <w:rStyle w:val="15"/>
          <w:rFonts w:hint="default" w:ascii="Times New Roman" w:hAnsi="Times New Roman" w:eastAsia="仿宋_GB2312" w:cs="Times New Roman"/>
          <w:bCs/>
          <w:color w:val="auto"/>
          <w:sz w:val="32"/>
          <w:szCs w:val="32"/>
        </w:rPr>
        <w:t>（项）</w:t>
      </w:r>
      <w:r>
        <w:rPr>
          <w:rStyle w:val="15"/>
          <w:rFonts w:hint="default" w:ascii="Times New Roman" w:hAnsi="Times New Roman" w:eastAsia="仿宋_GB2312" w:cs="Times New Roman"/>
          <w:bCs/>
          <w:color w:val="000000"/>
          <w:sz w:val="32"/>
          <w:szCs w:val="32"/>
        </w:rPr>
        <w:t>:</w:t>
      </w:r>
      <w:r>
        <w:rPr>
          <w:rStyle w:val="15"/>
          <w:rFonts w:hint="default" w:ascii="Times New Roman" w:hAnsi="Times New Roman" w:eastAsia="仿宋_GB2312" w:cs="Times New Roman"/>
          <w:b w:val="0"/>
          <w:bCs/>
          <w:color w:val="000000"/>
          <w:sz w:val="32"/>
          <w:szCs w:val="32"/>
        </w:rPr>
        <w:t>支出决算为</w:t>
      </w:r>
      <w:r>
        <w:rPr>
          <w:rStyle w:val="15"/>
          <w:rFonts w:hint="default" w:ascii="Times New Roman" w:hAnsi="Times New Roman" w:eastAsia="仿宋_GB2312" w:cs="Times New Roman"/>
          <w:b w:val="0"/>
          <w:bCs/>
          <w:color w:val="000000"/>
          <w:sz w:val="32"/>
          <w:szCs w:val="32"/>
          <w:lang w:val="en-US" w:eastAsia="zh-CN"/>
        </w:rPr>
        <w:t>1.65</w:t>
      </w:r>
      <w:r>
        <w:rPr>
          <w:rStyle w:val="15"/>
          <w:rFonts w:hint="default" w:ascii="Times New Roman" w:hAnsi="Times New Roman" w:eastAsia="仿宋_GB2312" w:cs="Times New Roman"/>
          <w:b w:val="0"/>
          <w:bCs/>
          <w:color w:val="000000"/>
          <w:sz w:val="32"/>
          <w:szCs w:val="32"/>
        </w:rPr>
        <w:t>万元，完成预算</w:t>
      </w:r>
      <w:r>
        <w:rPr>
          <w:rStyle w:val="15"/>
          <w:rFonts w:hint="default" w:ascii="Times New Roman" w:hAnsi="Times New Roman" w:eastAsia="仿宋_GB2312" w:cs="Times New Roman"/>
          <w:b w:val="0"/>
          <w:bCs/>
          <w:color w:val="000000"/>
          <w:sz w:val="32"/>
          <w:szCs w:val="32"/>
          <w:lang w:val="en-US" w:eastAsia="zh-CN"/>
        </w:rPr>
        <w:t>100</w:t>
      </w:r>
      <w:r>
        <w:rPr>
          <w:rStyle w:val="15"/>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Style w:val="15"/>
          <w:rFonts w:hint="default" w:ascii="Times New Roman" w:hAnsi="Times New Roman" w:eastAsia="仿宋_GB2312" w:cs="Times New Roman"/>
          <w:b w:val="0"/>
          <w:bCs/>
          <w:color w:val="auto"/>
          <w:sz w:val="32"/>
          <w:szCs w:val="32"/>
        </w:rPr>
      </w:pPr>
      <w:r>
        <w:rPr>
          <w:rStyle w:val="15"/>
          <w:rFonts w:hint="default" w:ascii="Times New Roman" w:hAnsi="Times New Roman" w:eastAsia="仿宋_GB2312" w:cs="Times New Roman"/>
          <w:b/>
          <w:bCs w:val="0"/>
          <w:color w:val="000000"/>
          <w:sz w:val="32"/>
          <w:szCs w:val="32"/>
          <w:lang w:val="en-US" w:eastAsia="zh-CN"/>
        </w:rPr>
        <w:t>9.</w:t>
      </w:r>
      <w:r>
        <w:rPr>
          <w:rStyle w:val="15"/>
          <w:rFonts w:hint="default" w:ascii="Times New Roman" w:hAnsi="Times New Roman" w:eastAsia="仿宋_GB2312" w:cs="Times New Roman"/>
          <w:bCs/>
          <w:color w:val="auto"/>
          <w:sz w:val="32"/>
          <w:szCs w:val="32"/>
          <w:lang w:eastAsia="zh-CN"/>
        </w:rPr>
        <w:t>住房保障支出</w:t>
      </w:r>
      <w:r>
        <w:rPr>
          <w:rStyle w:val="15"/>
          <w:rFonts w:hint="default" w:ascii="Times New Roman" w:hAnsi="Times New Roman" w:eastAsia="仿宋_GB2312" w:cs="Times New Roman"/>
          <w:bCs/>
          <w:color w:val="auto"/>
          <w:sz w:val="32"/>
          <w:szCs w:val="32"/>
        </w:rPr>
        <w:t>（类）</w:t>
      </w:r>
      <w:r>
        <w:rPr>
          <w:rStyle w:val="15"/>
          <w:rFonts w:hint="default" w:ascii="Times New Roman" w:hAnsi="Times New Roman" w:eastAsia="仿宋_GB2312" w:cs="Times New Roman"/>
          <w:bCs/>
          <w:color w:val="auto"/>
          <w:sz w:val="32"/>
          <w:szCs w:val="32"/>
          <w:lang w:eastAsia="zh-CN"/>
        </w:rPr>
        <w:t>住房改革支出</w:t>
      </w:r>
      <w:r>
        <w:rPr>
          <w:rStyle w:val="15"/>
          <w:rFonts w:hint="default" w:ascii="Times New Roman" w:hAnsi="Times New Roman" w:eastAsia="仿宋_GB2312" w:cs="Times New Roman"/>
          <w:bCs/>
          <w:color w:val="auto"/>
          <w:sz w:val="32"/>
          <w:szCs w:val="32"/>
        </w:rPr>
        <w:t>（款）</w:t>
      </w:r>
      <w:r>
        <w:rPr>
          <w:rStyle w:val="15"/>
          <w:rFonts w:hint="default" w:ascii="Times New Roman" w:hAnsi="Times New Roman" w:eastAsia="仿宋_GB2312" w:cs="Times New Roman"/>
          <w:bCs/>
          <w:color w:val="auto"/>
          <w:sz w:val="32"/>
          <w:szCs w:val="32"/>
          <w:lang w:eastAsia="zh-CN"/>
        </w:rPr>
        <w:t>住房公积金</w:t>
      </w:r>
      <w:r>
        <w:rPr>
          <w:rStyle w:val="15"/>
          <w:rFonts w:hint="default" w:ascii="Times New Roman" w:hAnsi="Times New Roman" w:eastAsia="仿宋_GB2312" w:cs="Times New Roman"/>
          <w:bCs/>
          <w:color w:val="auto"/>
          <w:sz w:val="32"/>
          <w:szCs w:val="32"/>
        </w:rPr>
        <w:t>（项）:</w:t>
      </w:r>
      <w:r>
        <w:rPr>
          <w:rStyle w:val="15"/>
          <w:rFonts w:hint="default" w:ascii="Times New Roman" w:hAnsi="Times New Roman" w:eastAsia="仿宋_GB2312" w:cs="Times New Roman"/>
          <w:b w:val="0"/>
          <w:bCs/>
          <w:color w:val="auto"/>
          <w:sz w:val="32"/>
          <w:szCs w:val="32"/>
        </w:rPr>
        <w:t>支出决算为</w:t>
      </w:r>
      <w:r>
        <w:rPr>
          <w:rStyle w:val="15"/>
          <w:rFonts w:hint="default" w:ascii="Times New Roman" w:hAnsi="Times New Roman" w:eastAsia="仿宋_GB2312" w:cs="Times New Roman"/>
          <w:b w:val="0"/>
          <w:bCs/>
          <w:color w:val="auto"/>
          <w:sz w:val="32"/>
          <w:szCs w:val="32"/>
          <w:lang w:val="en-US" w:eastAsia="zh-CN"/>
        </w:rPr>
        <w:t>8</w:t>
      </w:r>
      <w:r>
        <w:rPr>
          <w:rStyle w:val="15"/>
          <w:rFonts w:hint="default" w:ascii="Times New Roman" w:hAnsi="Times New Roman" w:eastAsia="仿宋_GB2312" w:cs="Times New Roman"/>
          <w:b w:val="0"/>
          <w:bCs/>
          <w:color w:val="auto"/>
          <w:sz w:val="32"/>
          <w:szCs w:val="32"/>
        </w:rPr>
        <w:t>万元，完成预算</w:t>
      </w:r>
      <w:r>
        <w:rPr>
          <w:rStyle w:val="15"/>
          <w:rFonts w:hint="default" w:ascii="Times New Roman" w:hAnsi="Times New Roman" w:eastAsia="仿宋_GB2312" w:cs="Times New Roman"/>
          <w:b w:val="0"/>
          <w:bCs/>
          <w:color w:val="auto"/>
          <w:sz w:val="32"/>
          <w:szCs w:val="32"/>
          <w:lang w:val="en-US" w:eastAsia="zh-CN"/>
        </w:rPr>
        <w:t>100</w:t>
      </w:r>
      <w:r>
        <w:rPr>
          <w:rStyle w:val="15"/>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Style w:val="15"/>
          <w:rFonts w:hint="default" w:ascii="Times New Roman" w:hAnsi="Times New Roman" w:eastAsia="仿宋_GB2312" w:cs="Times New Roman"/>
          <w:b w:val="0"/>
          <w:bCs/>
          <w:color w:val="auto"/>
          <w:sz w:val="32"/>
          <w:szCs w:val="32"/>
        </w:rPr>
      </w:pPr>
      <w:r>
        <w:rPr>
          <w:rStyle w:val="15"/>
          <w:rFonts w:hint="default" w:ascii="Times New Roman" w:hAnsi="Times New Roman" w:eastAsia="仿宋_GB2312" w:cs="Times New Roman"/>
          <w:b/>
          <w:bCs w:val="0"/>
          <w:color w:val="000000"/>
          <w:sz w:val="32"/>
          <w:szCs w:val="32"/>
          <w:lang w:val="en-US" w:eastAsia="zh-CN"/>
        </w:rPr>
        <w:t>10.</w:t>
      </w:r>
      <w:r>
        <w:rPr>
          <w:rStyle w:val="15"/>
          <w:rFonts w:hint="default" w:ascii="Times New Roman" w:hAnsi="Times New Roman" w:eastAsia="仿宋_GB2312" w:cs="Times New Roman"/>
          <w:bCs/>
          <w:color w:val="auto"/>
          <w:sz w:val="32"/>
          <w:szCs w:val="32"/>
          <w:lang w:eastAsia="zh-CN"/>
        </w:rPr>
        <w:t>住房保障支出</w:t>
      </w:r>
      <w:r>
        <w:rPr>
          <w:rStyle w:val="15"/>
          <w:rFonts w:hint="default" w:ascii="Times New Roman" w:hAnsi="Times New Roman" w:eastAsia="仿宋_GB2312" w:cs="Times New Roman"/>
          <w:bCs/>
          <w:color w:val="auto"/>
          <w:sz w:val="32"/>
          <w:szCs w:val="32"/>
        </w:rPr>
        <w:t>（类）</w:t>
      </w:r>
      <w:r>
        <w:rPr>
          <w:rStyle w:val="15"/>
          <w:rFonts w:hint="default" w:ascii="Times New Roman" w:hAnsi="Times New Roman" w:eastAsia="仿宋_GB2312" w:cs="Times New Roman"/>
          <w:bCs/>
          <w:color w:val="auto"/>
          <w:sz w:val="32"/>
          <w:szCs w:val="32"/>
          <w:lang w:eastAsia="zh-CN"/>
        </w:rPr>
        <w:t>住房改革支出</w:t>
      </w:r>
      <w:r>
        <w:rPr>
          <w:rStyle w:val="15"/>
          <w:rFonts w:hint="default" w:ascii="Times New Roman" w:hAnsi="Times New Roman" w:eastAsia="仿宋_GB2312" w:cs="Times New Roman"/>
          <w:bCs/>
          <w:color w:val="auto"/>
          <w:sz w:val="32"/>
          <w:szCs w:val="32"/>
        </w:rPr>
        <w:t>（款）</w:t>
      </w:r>
      <w:r>
        <w:rPr>
          <w:rStyle w:val="15"/>
          <w:rFonts w:hint="default" w:ascii="Times New Roman" w:hAnsi="Times New Roman" w:eastAsia="仿宋_GB2312" w:cs="Times New Roman"/>
          <w:bCs/>
          <w:color w:val="auto"/>
          <w:sz w:val="32"/>
          <w:szCs w:val="32"/>
          <w:lang w:val="en-US" w:eastAsia="zh-CN"/>
        </w:rPr>
        <w:t>购房补贴</w:t>
      </w:r>
      <w:r>
        <w:rPr>
          <w:rStyle w:val="15"/>
          <w:rFonts w:hint="default" w:ascii="Times New Roman" w:hAnsi="Times New Roman" w:eastAsia="仿宋_GB2312" w:cs="Times New Roman"/>
          <w:bCs/>
          <w:color w:val="auto"/>
          <w:sz w:val="32"/>
          <w:szCs w:val="32"/>
        </w:rPr>
        <w:t>（项）:</w:t>
      </w:r>
      <w:r>
        <w:rPr>
          <w:rStyle w:val="15"/>
          <w:rFonts w:hint="default" w:ascii="Times New Roman" w:hAnsi="Times New Roman" w:eastAsia="仿宋_GB2312" w:cs="Times New Roman"/>
          <w:b w:val="0"/>
          <w:bCs/>
          <w:color w:val="auto"/>
          <w:sz w:val="32"/>
          <w:szCs w:val="32"/>
        </w:rPr>
        <w:t>支出决算为</w:t>
      </w:r>
      <w:r>
        <w:rPr>
          <w:rStyle w:val="15"/>
          <w:rFonts w:hint="default" w:ascii="Times New Roman" w:hAnsi="Times New Roman" w:eastAsia="仿宋_GB2312" w:cs="Times New Roman"/>
          <w:b w:val="0"/>
          <w:bCs/>
          <w:color w:val="auto"/>
          <w:sz w:val="32"/>
          <w:szCs w:val="32"/>
          <w:lang w:val="en-US" w:eastAsia="zh-CN"/>
        </w:rPr>
        <w:t>25</w:t>
      </w:r>
      <w:r>
        <w:rPr>
          <w:rStyle w:val="15"/>
          <w:rFonts w:hint="default" w:ascii="Times New Roman" w:hAnsi="Times New Roman" w:eastAsia="仿宋_GB2312" w:cs="Times New Roman"/>
          <w:b w:val="0"/>
          <w:bCs/>
          <w:color w:val="auto"/>
          <w:sz w:val="32"/>
          <w:szCs w:val="32"/>
        </w:rPr>
        <w:t>万元，完成预算</w:t>
      </w:r>
      <w:r>
        <w:rPr>
          <w:rStyle w:val="15"/>
          <w:rFonts w:hint="default" w:ascii="Times New Roman" w:hAnsi="Times New Roman" w:eastAsia="仿宋_GB2312" w:cs="Times New Roman"/>
          <w:b w:val="0"/>
          <w:bCs/>
          <w:color w:val="auto"/>
          <w:sz w:val="32"/>
          <w:szCs w:val="32"/>
          <w:lang w:val="en-US" w:eastAsia="zh-CN"/>
        </w:rPr>
        <w:t>100</w:t>
      </w:r>
      <w:r>
        <w:rPr>
          <w:rStyle w:val="15"/>
          <w:rFonts w:hint="default" w:ascii="Times New Roman" w:hAnsi="Times New Roman" w:eastAsia="仿宋_GB2312" w:cs="Times New Roman"/>
          <w:b w:val="0"/>
          <w:bCs/>
          <w:color w:val="auto"/>
          <w:sz w:val="32"/>
          <w:szCs w:val="32"/>
        </w:rPr>
        <w:t>%。</w:t>
      </w:r>
    </w:p>
    <w:p/>
    <w:p>
      <w:pPr>
        <w:tabs>
          <w:tab w:val="right" w:pos="8306"/>
        </w:tabs>
        <w:spacing w:line="600" w:lineRule="exact"/>
        <w:ind w:firstLine="640"/>
        <w:outlineLvl w:val="1"/>
        <w:rPr>
          <w:rStyle w:val="26"/>
        </w:rPr>
      </w:pPr>
      <w:bookmarkStart w:id="52" w:name="_Toc15377214"/>
      <w:bookmarkStart w:id="53" w:name="_Toc15396608"/>
      <w:bookmarkStart w:id="54" w:name="_Toc29833"/>
      <w:bookmarkStart w:id="55" w:name="_Toc4735"/>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52"/>
      <w:bookmarkEnd w:id="53"/>
      <w:bookmarkEnd w:id="54"/>
      <w:bookmarkEnd w:id="55"/>
      <w:r>
        <w:rPr>
          <w:rStyle w:val="26"/>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年一般公共预算财政拨款基本支出</w:t>
      </w:r>
      <w:r>
        <w:rPr>
          <w:rFonts w:hint="default" w:ascii="Times New Roman" w:hAnsi="Times New Roman" w:eastAsia="仿宋_GB2312" w:cs="Times New Roman"/>
          <w:color w:val="000000"/>
          <w:sz w:val="32"/>
          <w:szCs w:val="32"/>
          <w:lang w:val="en-US" w:eastAsia="zh-CN"/>
        </w:rPr>
        <w:t>160.67</w:t>
      </w:r>
      <w:r>
        <w:rPr>
          <w:rFonts w:hint="default" w:ascii="Times New Roman" w:hAnsi="Times New Roman" w:eastAsia="仿宋_GB2312" w:cs="Times New Roman"/>
          <w:color w:val="000000"/>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人员经费</w:t>
      </w:r>
      <w:r>
        <w:rPr>
          <w:rFonts w:hint="default" w:ascii="Times New Roman" w:hAnsi="Times New Roman" w:eastAsia="仿宋_GB2312" w:cs="Times New Roman"/>
          <w:color w:val="000000"/>
          <w:sz w:val="32"/>
          <w:szCs w:val="32"/>
          <w:lang w:val="en-US" w:eastAsia="zh-CN"/>
        </w:rPr>
        <w:t>134.05</w:t>
      </w:r>
      <w:r>
        <w:rPr>
          <w:rFonts w:hint="default" w:ascii="Times New Roman" w:hAnsi="Times New Roman" w:eastAsia="仿宋_GB2312" w:cs="Times New Roman"/>
          <w:color w:val="000000"/>
          <w:sz w:val="32"/>
          <w:szCs w:val="32"/>
        </w:rPr>
        <w:t>万元，主要包括：基本工资、津贴补贴、奖金、机关事业单位基本养老保险缴费、其他工资福利支出、医疗费补助、奖励金、住房公积金、其他对个人和家庭的补助支出。</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公用经费</w:t>
      </w:r>
      <w:r>
        <w:rPr>
          <w:rFonts w:hint="default" w:ascii="Times New Roman" w:hAnsi="Times New Roman" w:eastAsia="仿宋_GB2312" w:cs="Times New Roman"/>
          <w:color w:val="000000"/>
          <w:sz w:val="32"/>
          <w:szCs w:val="32"/>
          <w:lang w:val="en-US" w:eastAsia="zh-CN"/>
        </w:rPr>
        <w:t>26.62</w:t>
      </w:r>
      <w:r>
        <w:rPr>
          <w:rFonts w:hint="default" w:ascii="Times New Roman" w:hAnsi="Times New Roman" w:eastAsia="仿宋_GB2312" w:cs="Times New Roman"/>
          <w:color w:val="000000"/>
          <w:sz w:val="32"/>
          <w:szCs w:val="32"/>
        </w:rPr>
        <w:t>万元，主要包括：办公费、水费、电费、邮电费、物业管理费、差旅费、维修（护）费、会议费、培训费、公务接待费、劳务费、委托业务费、工会经费、福利费、公务用车运行维护费、其他交通费、其他商品和服务支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hint="default" w:ascii="Times New Roman" w:hAnsi="Times New Roman" w:eastAsia="仿宋_GB2312" w:cs="Times New Roman"/>
          <w:b/>
          <w:color w:val="FF0000"/>
          <w:sz w:val="32"/>
          <w:szCs w:val="32"/>
        </w:rPr>
      </w:pPr>
    </w:p>
    <w:p>
      <w:pPr>
        <w:spacing w:line="600" w:lineRule="exact"/>
        <w:ind w:firstLine="640"/>
        <w:outlineLvl w:val="1"/>
        <w:rPr>
          <w:rStyle w:val="26"/>
          <w:rFonts w:ascii="黑体" w:hAnsi="黑体" w:eastAsia="黑体"/>
          <w:b w:val="0"/>
        </w:rPr>
      </w:pPr>
      <w:bookmarkStart w:id="56" w:name="_Toc15377215"/>
      <w:bookmarkStart w:id="57" w:name="_Toc15396609"/>
      <w:bookmarkStart w:id="58" w:name="_Toc9700"/>
      <w:bookmarkStart w:id="59" w:name="_Toc25533"/>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56"/>
      <w:bookmarkEnd w:id="57"/>
      <w:bookmarkEnd w:id="58"/>
      <w:bookmarkEnd w:id="59"/>
    </w:p>
    <w:p>
      <w:pPr>
        <w:spacing w:line="600" w:lineRule="exact"/>
        <w:ind w:firstLine="640"/>
        <w:outlineLvl w:val="2"/>
        <w:rPr>
          <w:rFonts w:hint="default" w:ascii="Times New Roman" w:hAnsi="Times New Roman" w:eastAsia="仿宋_GB2312" w:cs="Times New Roman"/>
          <w:b/>
          <w:color w:val="000000"/>
          <w:sz w:val="32"/>
          <w:szCs w:val="32"/>
        </w:rPr>
      </w:pPr>
      <w:bookmarkStart w:id="60" w:name="_Toc15377216"/>
      <w:r>
        <w:rPr>
          <w:rFonts w:hint="default" w:ascii="Times New Roman" w:hAnsi="Times New Roman" w:eastAsia="仿宋_GB2312" w:cs="Times New Roman"/>
          <w:b/>
          <w:color w:val="000000"/>
          <w:sz w:val="32"/>
          <w:szCs w:val="32"/>
        </w:rPr>
        <w:t>（一）“三公”经费财政拨款支出决算总体情况说明</w:t>
      </w:r>
      <w:bookmarkEnd w:id="60"/>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年“三公”经费财政拨款支出决算为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万元，完成预算</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%，决算数小于预算数的主要原因是</w:t>
      </w:r>
      <w:r>
        <w:rPr>
          <w:rFonts w:hint="default" w:ascii="Times New Roman" w:hAnsi="Times New Roman" w:eastAsia="仿宋_GB2312" w:cs="Times New Roman"/>
          <w:color w:val="000000"/>
          <w:sz w:val="32"/>
          <w:szCs w:val="32"/>
          <w:lang w:val="en-US" w:eastAsia="zh-CN"/>
        </w:rPr>
        <w:t>受疫情影响，未进行公务接待等</w:t>
      </w:r>
      <w:r>
        <w:rPr>
          <w:rFonts w:hint="default" w:ascii="Times New Roman" w:hAnsi="Times New Roman" w:eastAsia="仿宋_GB2312" w:cs="Times New Roman"/>
          <w:color w:val="000000"/>
          <w:sz w:val="32"/>
          <w:szCs w:val="32"/>
        </w:rPr>
        <w:t>。</w:t>
      </w:r>
    </w:p>
    <w:p>
      <w:pPr>
        <w:spacing w:line="600" w:lineRule="exact"/>
        <w:ind w:firstLine="640"/>
        <w:outlineLvl w:val="2"/>
        <w:rPr>
          <w:rFonts w:hint="default" w:ascii="Times New Roman" w:hAnsi="Times New Roman" w:eastAsia="仿宋_GB2312" w:cs="Times New Roman"/>
          <w:b/>
          <w:color w:val="000000"/>
          <w:sz w:val="32"/>
          <w:szCs w:val="32"/>
        </w:rPr>
      </w:pPr>
      <w:bookmarkStart w:id="61" w:name="_Toc15377217"/>
      <w:r>
        <w:rPr>
          <w:rFonts w:hint="default" w:ascii="Times New Roman" w:hAnsi="Times New Roman" w:eastAsia="仿宋_GB2312" w:cs="Times New Roman"/>
          <w:b/>
          <w:color w:val="000000"/>
          <w:sz w:val="32"/>
          <w:szCs w:val="32"/>
        </w:rPr>
        <w:t>（二）“三公”经费财政拨款支出决算具体情况说明</w:t>
      </w:r>
      <w:bookmarkEnd w:id="61"/>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年“三公”经费财政拨款支出决算中，因公出国（境）费支出决算</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%；公务用车购置及运行维护费支出决算</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%；公务接待费支出决算</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%。具体情况如下：</w:t>
      </w:r>
    </w:p>
    <w:p>
      <w:pPr>
        <w:numPr>
          <w:ilvl w:val="0"/>
          <w:numId w:val="0"/>
        </w:numPr>
        <w:spacing w:line="600" w:lineRule="exact"/>
        <w:ind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1.因公出国（境）经费支出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5"/>
          <w:rFonts w:hint="default" w:ascii="Times New Roman" w:hAnsi="Times New Roman" w:eastAsia="仿宋_GB2312" w:cs="Times New Roman"/>
          <w:b w:val="0"/>
          <w:bCs/>
          <w:color w:val="000000"/>
          <w:sz w:val="32"/>
          <w:szCs w:val="32"/>
        </w:rPr>
        <w:t>完成预算</w:t>
      </w:r>
      <w:r>
        <w:rPr>
          <w:rStyle w:val="15"/>
          <w:rFonts w:hint="default" w:ascii="Times New Roman" w:hAnsi="Times New Roman" w:eastAsia="仿宋_GB2312" w:cs="Times New Roman"/>
          <w:b w:val="0"/>
          <w:bCs/>
          <w:color w:val="000000"/>
          <w:sz w:val="32"/>
          <w:szCs w:val="32"/>
          <w:lang w:val="en-US" w:eastAsia="zh-CN"/>
        </w:rPr>
        <w:t>0</w:t>
      </w:r>
      <w:r>
        <w:rPr>
          <w:rStyle w:val="15"/>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color w:val="000000"/>
          <w:sz w:val="32"/>
          <w:szCs w:val="32"/>
        </w:rPr>
        <w:t>全年安排因公出国（境）团组</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次，出国（境）</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auto"/>
          <w:sz w:val="32"/>
          <w:szCs w:val="32"/>
        </w:rPr>
        <w:t>因公出国（境）支出决算</w:t>
      </w:r>
      <w:r>
        <w:rPr>
          <w:rFonts w:hint="eastAsia"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eastAsia="zh-CN"/>
        </w:rPr>
        <w:t>持平</w:t>
      </w:r>
      <w:r>
        <w:rPr>
          <w:rFonts w:hint="default" w:ascii="Times New Roman" w:hAnsi="Times New Roman" w:eastAsia="仿宋_GB2312" w:cs="Times New Roman"/>
          <w:color w:val="auto"/>
          <w:sz w:val="32"/>
          <w:szCs w:val="32"/>
        </w:rPr>
        <w:t>。</w:t>
      </w:r>
    </w:p>
    <w:p>
      <w:pPr>
        <w:numPr>
          <w:ilvl w:val="0"/>
          <w:numId w:val="0"/>
        </w:numPr>
        <w:spacing w:line="600" w:lineRule="exact"/>
        <w:ind w:firstLine="642"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2.公务用车购置及运行维护费支出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5"/>
          <w:rFonts w:hint="default" w:ascii="Times New Roman" w:hAnsi="Times New Roman" w:eastAsia="仿宋_GB2312" w:cs="Times New Roman"/>
          <w:b w:val="0"/>
          <w:bCs/>
          <w:color w:val="000000"/>
          <w:sz w:val="32"/>
          <w:szCs w:val="32"/>
        </w:rPr>
        <w:t>完成预算</w:t>
      </w:r>
      <w:r>
        <w:rPr>
          <w:rStyle w:val="15"/>
          <w:rFonts w:hint="default" w:ascii="Times New Roman" w:hAnsi="Times New Roman" w:eastAsia="仿宋_GB2312" w:cs="Times New Roman"/>
          <w:b w:val="0"/>
          <w:bCs/>
          <w:color w:val="000000"/>
          <w:sz w:val="32"/>
          <w:szCs w:val="32"/>
          <w:lang w:val="en-US" w:eastAsia="zh-CN"/>
        </w:rPr>
        <w:t>0</w:t>
      </w:r>
      <w:r>
        <w:rPr>
          <w:rStyle w:val="15"/>
          <w:rFonts w:hint="default" w:ascii="Times New Roman" w:hAnsi="Times New Roman" w:eastAsia="仿宋_GB2312" w:cs="Times New Roman"/>
          <w:b w:val="0"/>
          <w:bCs/>
          <w:color w:val="000000"/>
          <w:sz w:val="32"/>
          <w:szCs w:val="32"/>
        </w:rPr>
        <w:t>%。公务用车购置及运行维护费</w:t>
      </w:r>
      <w:r>
        <w:rPr>
          <w:rFonts w:hint="default" w:ascii="Times New Roman" w:hAnsi="Times New Roman" w:eastAsia="仿宋_GB2312" w:cs="Times New Roman"/>
          <w:color w:val="auto"/>
          <w:sz w:val="32"/>
          <w:szCs w:val="32"/>
        </w:rPr>
        <w:t>支出决算</w:t>
      </w:r>
      <w:r>
        <w:rPr>
          <w:rFonts w:hint="eastAsia"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eastAsia="zh-CN"/>
        </w:rPr>
        <w:t>持平</w:t>
      </w:r>
      <w:r>
        <w:rPr>
          <w:rFonts w:hint="default" w:ascii="Times New Roman" w:hAnsi="Times New Roman" w:eastAsia="仿宋_GB2312" w:cs="Times New Roman"/>
          <w:color w:val="auto"/>
          <w:sz w:val="32"/>
          <w:szCs w:val="32"/>
        </w:rPr>
        <w:t>。</w:t>
      </w:r>
    </w:p>
    <w:p>
      <w:pPr>
        <w:spacing w:line="600" w:lineRule="exact"/>
        <w:ind w:firstLine="640"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其中：</w:t>
      </w:r>
      <w:r>
        <w:rPr>
          <w:rFonts w:hint="default" w:ascii="Times New Roman" w:hAnsi="Times New Roman" w:eastAsia="仿宋_GB2312" w:cs="Times New Roman"/>
          <w:b/>
          <w:color w:val="000000"/>
          <w:sz w:val="32"/>
          <w:szCs w:val="32"/>
        </w:rPr>
        <w:t>公务用车购置支出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万元。全年按规定更新购置公务用车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辆，其中：轿车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万元，越野车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万元，载客汽车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万元。截至20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年12月底，单位共有公务用车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辆，其中：轿车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辆、越野车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辆、载客汽车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p>
    <w:p>
      <w:pPr>
        <w:spacing w:line="60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公务用车运行维护费支出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3.公务接待费支出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5"/>
          <w:rFonts w:hint="default" w:ascii="Times New Roman" w:hAnsi="Times New Roman" w:eastAsia="仿宋_GB2312" w:cs="Times New Roman"/>
          <w:b w:val="0"/>
          <w:bCs/>
          <w:color w:val="000000"/>
          <w:sz w:val="32"/>
          <w:szCs w:val="32"/>
        </w:rPr>
        <w:t>完成预算</w:t>
      </w:r>
      <w:r>
        <w:rPr>
          <w:rStyle w:val="15"/>
          <w:rFonts w:hint="default" w:ascii="Times New Roman" w:hAnsi="Times New Roman" w:eastAsia="仿宋_GB2312" w:cs="Times New Roman"/>
          <w:b w:val="0"/>
          <w:bCs/>
          <w:color w:val="000000"/>
          <w:sz w:val="32"/>
          <w:szCs w:val="32"/>
          <w:lang w:val="en-US" w:eastAsia="zh-CN"/>
        </w:rPr>
        <w:t>0</w:t>
      </w:r>
      <w:r>
        <w:rPr>
          <w:rStyle w:val="15"/>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color w:val="auto"/>
          <w:sz w:val="32"/>
          <w:szCs w:val="32"/>
        </w:rPr>
        <w:t>公务接待费支出决算</w:t>
      </w:r>
      <w:r>
        <w:rPr>
          <w:rFonts w:hint="eastAsia"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eastAsia="zh-CN"/>
        </w:rPr>
        <w:t>相比无变化。</w:t>
      </w:r>
      <w:r>
        <w:rPr>
          <w:rFonts w:hint="default" w:ascii="Times New Roman" w:hAnsi="Times New Roman" w:eastAsia="仿宋_GB2312" w:cs="Times New Roman"/>
          <w:color w:val="00000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国内公务接待支出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sz w:val="32"/>
          <w:szCs w:val="32"/>
        </w:rPr>
        <w:t>外事接待支出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ascii="黑体" w:eastAsia="黑体"/>
          <w:color w:val="000000"/>
          <w:sz w:val="32"/>
          <w:szCs w:val="32"/>
        </w:rPr>
      </w:pPr>
      <w:bookmarkStart w:id="62" w:name="_Toc15396610"/>
      <w:bookmarkStart w:id="63" w:name="_Toc15377218"/>
      <w:bookmarkStart w:id="143" w:name="_GoBack"/>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6"/>
          <w:rFonts w:ascii="黑体" w:hAnsi="黑体" w:eastAsia="黑体"/>
        </w:rPr>
      </w:pPr>
      <w:bookmarkStart w:id="64" w:name="_Toc18186"/>
      <w:bookmarkStart w:id="65" w:name="_Toc9870"/>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62"/>
      <w:bookmarkEnd w:id="63"/>
      <w:bookmarkEnd w:id="64"/>
      <w:bookmarkEnd w:id="65"/>
    </w:p>
    <w:bookmarkEnd w:id="143"/>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年政府性基金预算</w:t>
      </w:r>
      <w:r>
        <w:rPr>
          <w:rFonts w:hint="default" w:ascii="Times New Roman" w:hAnsi="Times New Roman" w:eastAsia="仿宋_GB2312" w:cs="Times New Roman"/>
          <w:color w:val="000000"/>
          <w:sz w:val="32"/>
          <w:szCs w:val="32"/>
          <w:lang w:eastAsia="zh-CN"/>
        </w:rPr>
        <w:t>财政</w:t>
      </w:r>
      <w:r>
        <w:rPr>
          <w:rFonts w:hint="default" w:ascii="Times New Roman" w:hAnsi="Times New Roman" w:eastAsia="仿宋_GB2312" w:cs="Times New Roman"/>
          <w:color w:val="000000"/>
          <w:sz w:val="32"/>
          <w:szCs w:val="32"/>
        </w:rPr>
        <w:t>拨款支出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outlineLvl w:val="1"/>
        <w:rPr>
          <w:rStyle w:val="26"/>
          <w:rFonts w:ascii="黑体" w:hAnsi="黑体" w:eastAsia="黑体"/>
          <w:b w:val="0"/>
        </w:rPr>
      </w:pPr>
      <w:bookmarkStart w:id="66" w:name="_Toc15396611"/>
      <w:bookmarkStart w:id="67" w:name="_Toc15377219"/>
      <w:bookmarkStart w:id="68" w:name="_Toc21225"/>
      <w:bookmarkStart w:id="69" w:name="_Toc23906"/>
      <w:r>
        <w:rPr>
          <w:rStyle w:val="26"/>
          <w:rFonts w:hint="eastAsia" w:ascii="黑体" w:hAnsi="黑体" w:eastAsia="黑体"/>
          <w:b w:val="0"/>
        </w:rPr>
        <w:t>国有资本经营预算支出决算情况说明</w:t>
      </w:r>
      <w:bookmarkEnd w:id="66"/>
      <w:bookmarkEnd w:id="67"/>
      <w:bookmarkEnd w:id="68"/>
      <w:bookmarkEnd w:id="6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年国有资本经营预算</w:t>
      </w:r>
      <w:r>
        <w:rPr>
          <w:rFonts w:hint="default" w:ascii="Times New Roman" w:hAnsi="Times New Roman" w:eastAsia="仿宋_GB2312" w:cs="Times New Roman"/>
          <w:color w:val="000000"/>
          <w:sz w:val="32"/>
          <w:szCs w:val="32"/>
          <w:lang w:eastAsia="zh-CN"/>
        </w:rPr>
        <w:t>财政</w:t>
      </w:r>
      <w:r>
        <w:rPr>
          <w:rFonts w:hint="default" w:ascii="Times New Roman" w:hAnsi="Times New Roman" w:eastAsia="仿宋_GB2312" w:cs="Times New Roman"/>
          <w:color w:val="000000"/>
          <w:sz w:val="32"/>
          <w:szCs w:val="32"/>
        </w:rPr>
        <w:t>拨款支出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6"/>
          <w:rFonts w:hint="eastAsia" w:ascii="黑体" w:hAnsi="黑体" w:eastAsia="黑体"/>
          <w:b w:val="0"/>
        </w:rPr>
      </w:pPr>
      <w:bookmarkStart w:id="70" w:name="_Toc15377221"/>
      <w:bookmarkStart w:id="71" w:name="_Toc15396612"/>
      <w:bookmarkStart w:id="72" w:name="_Toc8366"/>
      <w:bookmarkStart w:id="73" w:name="_Toc26144"/>
      <w:r>
        <w:rPr>
          <w:rStyle w:val="26"/>
          <w:rFonts w:hint="eastAsia" w:ascii="黑体" w:hAnsi="黑体" w:eastAsia="黑体"/>
          <w:b w:val="0"/>
        </w:rPr>
        <w:t>其他重要事项的情况说明</w:t>
      </w:r>
      <w:bookmarkEnd w:id="70"/>
      <w:bookmarkEnd w:id="71"/>
      <w:bookmarkEnd w:id="72"/>
      <w:bookmarkEnd w:id="73"/>
    </w:p>
    <w:p>
      <w:pPr>
        <w:spacing w:line="600" w:lineRule="exact"/>
        <w:ind w:firstLine="642" w:firstLineChars="200"/>
        <w:outlineLvl w:val="2"/>
        <w:rPr>
          <w:rFonts w:ascii="仿宋" w:hAnsi="仿宋" w:eastAsia="仿宋"/>
          <w:color w:val="000000"/>
          <w:sz w:val="32"/>
          <w:szCs w:val="32"/>
        </w:rPr>
      </w:pPr>
      <w:bookmarkStart w:id="74" w:name="_Toc15377222"/>
      <w:r>
        <w:rPr>
          <w:rFonts w:hint="eastAsia" w:ascii="仿宋" w:hAnsi="仿宋" w:eastAsia="仿宋"/>
          <w:b/>
          <w:color w:val="000000"/>
          <w:sz w:val="32"/>
          <w:szCs w:val="32"/>
        </w:rPr>
        <w:t>（一）机关运行经费支出情况</w:t>
      </w:r>
      <w:bookmarkEnd w:id="74"/>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四川省少数民族古籍整理办公室</w:t>
      </w:r>
      <w:r>
        <w:rPr>
          <w:rFonts w:hint="default" w:ascii="Times New Roman" w:hAnsi="Times New Roman" w:eastAsia="仿宋_GB2312" w:cs="Times New Roman"/>
          <w:color w:val="000000"/>
          <w:sz w:val="32"/>
          <w:szCs w:val="32"/>
        </w:rPr>
        <w:t>机关运行经费支出</w:t>
      </w:r>
      <w:r>
        <w:rPr>
          <w:rFonts w:hint="default" w:ascii="Times New Roman" w:hAnsi="Times New Roman" w:eastAsia="仿宋_GB2312" w:cs="Times New Roman"/>
          <w:color w:val="000000"/>
          <w:sz w:val="32"/>
          <w:szCs w:val="32"/>
          <w:lang w:val="en-US" w:eastAsia="zh-CN"/>
        </w:rPr>
        <w:t>26.62</w:t>
      </w:r>
      <w:r>
        <w:rPr>
          <w:rFonts w:hint="default" w:ascii="Times New Roman" w:hAnsi="Times New Roman" w:eastAsia="仿宋_GB2312" w:cs="Times New Roman"/>
          <w:color w:val="000000"/>
          <w:sz w:val="32"/>
          <w:szCs w:val="32"/>
        </w:rPr>
        <w:t>万元，比201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年减少</w:t>
      </w:r>
      <w:r>
        <w:rPr>
          <w:rFonts w:hint="default" w:ascii="Times New Roman" w:hAnsi="Times New Roman" w:eastAsia="仿宋_GB2312" w:cs="Times New Roman"/>
          <w:color w:val="000000"/>
          <w:sz w:val="32"/>
          <w:szCs w:val="32"/>
          <w:lang w:val="en-US" w:eastAsia="zh-CN"/>
        </w:rPr>
        <w:t>11.7</w:t>
      </w:r>
      <w:r>
        <w:rPr>
          <w:rFonts w:hint="default" w:ascii="Times New Roman" w:hAnsi="Times New Roman" w:eastAsia="仿宋_GB2312" w:cs="Times New Roman"/>
          <w:color w:val="000000"/>
          <w:sz w:val="32"/>
          <w:szCs w:val="32"/>
        </w:rPr>
        <w:t>万元，下降</w:t>
      </w:r>
      <w:r>
        <w:rPr>
          <w:rFonts w:hint="default" w:ascii="Times New Roman" w:hAnsi="Times New Roman" w:eastAsia="仿宋_GB2312" w:cs="Times New Roman"/>
          <w:color w:val="000000"/>
          <w:sz w:val="32"/>
          <w:szCs w:val="32"/>
          <w:lang w:val="en-US" w:eastAsia="zh-CN"/>
        </w:rPr>
        <w:t>30.53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主要原因是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受疫情影响，一般性支出压缩。</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75" w:name="_Toc15377223"/>
      <w:r>
        <w:rPr>
          <w:rFonts w:hint="eastAsia" w:ascii="仿宋" w:hAnsi="仿宋" w:eastAsia="仿宋"/>
          <w:b/>
          <w:color w:val="000000"/>
          <w:sz w:val="32"/>
          <w:szCs w:val="32"/>
        </w:rPr>
        <w:t>（二）政府采购支出情况</w:t>
      </w:r>
      <w:bookmarkEnd w:id="75"/>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四川省少数民族古籍整理办公室</w:t>
      </w:r>
      <w:r>
        <w:rPr>
          <w:rFonts w:hint="default" w:ascii="Times New Roman" w:hAnsi="Times New Roman" w:eastAsia="仿宋_GB2312" w:cs="Times New Roman"/>
          <w:color w:val="000000"/>
          <w:sz w:val="32"/>
          <w:szCs w:val="32"/>
        </w:rPr>
        <w:t>政府采购支出总额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万元，其中：政府采购货物支出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万元、政府采购工程支出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万元、政府采购服务支出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万元。授予中小企业合同金额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万元，占政府采购支出总额的</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%，其中：授予小微企业合同金额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万元，占政府采购支出总额的</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76" w:name="_Toc15377224"/>
      <w:r>
        <w:rPr>
          <w:rFonts w:hint="eastAsia" w:ascii="仿宋" w:hAnsi="仿宋" w:eastAsia="仿宋"/>
          <w:b/>
          <w:color w:val="000000"/>
          <w:sz w:val="32"/>
          <w:szCs w:val="32"/>
        </w:rPr>
        <w:t>（三）国有资产占有使用情况</w:t>
      </w:r>
      <w:bookmarkEnd w:id="7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hint="eastAsia" w:ascii="仿宋_GB2312" w:eastAsia="仿宋_GB2312"/>
          <w:color w:val="000000"/>
          <w:sz w:val="32"/>
          <w:szCs w:val="32"/>
        </w:rPr>
      </w:pPr>
      <w:r>
        <w:rPr>
          <w:rFonts w:hint="default" w:ascii="Times New Roman" w:hAnsi="Times New Roman" w:eastAsia="仿宋_GB2312" w:cs="Times New Roman"/>
          <w:color w:val="000000"/>
          <w:sz w:val="32"/>
          <w:szCs w:val="32"/>
        </w:rPr>
        <w:t>截至20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年12月31日，</w:t>
      </w:r>
      <w:r>
        <w:rPr>
          <w:rFonts w:hint="default" w:ascii="Times New Roman" w:hAnsi="Times New Roman" w:eastAsia="仿宋_GB2312" w:cs="Times New Roman"/>
          <w:color w:val="000000"/>
          <w:sz w:val="32"/>
          <w:szCs w:val="32"/>
          <w:lang w:val="en-US" w:eastAsia="zh-CN"/>
        </w:rPr>
        <w:t>四川省少数民族古籍整理办公室</w:t>
      </w:r>
      <w:r>
        <w:rPr>
          <w:rFonts w:hint="default" w:ascii="Times New Roman" w:hAnsi="Times New Roman" w:eastAsia="仿宋_GB2312" w:cs="Times New Roman"/>
          <w:color w:val="000000"/>
          <w:sz w:val="32"/>
          <w:szCs w:val="32"/>
        </w:rPr>
        <w:t>共有车辆</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辆，其中：主要领导干部用车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辆、机要通信用车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辆、应急保障用车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辆、其他用车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单价50万元以上通用设备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台（套），单价100</w:t>
      </w:r>
      <w:r>
        <w:rPr>
          <w:rFonts w:hint="default" w:ascii="Times New Roman" w:hAnsi="Times New Roman" w:eastAsia="仿宋_GB2312" w:cs="Times New Roman"/>
          <w:color w:val="000000"/>
          <w:sz w:val="32"/>
          <w:szCs w:val="32"/>
        </w:rPr>
        <w:t>万元以上专用设备</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台（套）</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hint="eastAsia" w:ascii="仿宋" w:hAnsi="仿宋" w:eastAsia="仿宋"/>
          <w:b/>
          <w:color w:val="auto"/>
          <w:sz w:val="32"/>
          <w:szCs w:val="32"/>
          <w:lang w:eastAsia="zh-CN"/>
        </w:rPr>
      </w:pPr>
      <w:r>
        <w:rPr>
          <w:rFonts w:hint="eastAsia" w:ascii="仿宋" w:hAnsi="仿宋" w:eastAsia="仿宋"/>
          <w:b/>
          <w:color w:val="auto"/>
          <w:sz w:val="32"/>
          <w:szCs w:val="32"/>
        </w:rPr>
        <w:t>（四）预算绩效管理情况</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根据预算绩效管理要求，本单位在年初预算编制阶段，组织对</w:t>
      </w:r>
      <w:r>
        <w:rPr>
          <w:rFonts w:hint="default" w:ascii="Times New Roman" w:hAnsi="Times New Roman" w:eastAsia="仿宋_GB2312" w:cs="Times New Roman"/>
          <w:color w:val="auto"/>
          <w:sz w:val="32"/>
          <w:szCs w:val="32"/>
          <w:lang w:val="en-US" w:eastAsia="zh-CN"/>
        </w:rPr>
        <w:t>古籍出版经费</w:t>
      </w:r>
      <w:r>
        <w:rPr>
          <w:rFonts w:hint="default" w:ascii="Times New Roman" w:hAnsi="Times New Roman" w:eastAsia="仿宋_GB2312" w:cs="Times New Roman"/>
          <w:color w:val="auto"/>
          <w:sz w:val="32"/>
          <w:szCs w:val="32"/>
        </w:rPr>
        <w:t>项目开展了预算事前绩效评估，对</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个项目编制了绩效目标，预算执行过程中，选取</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个项目开展绩效监控，年终执行完毕后，对</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个项目开展了绩效目标完成情况自评。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按要求对20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年整体支出开展绩效自评，从评价情况来看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绩效目标要素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相对完整，指标较为细化、量化；绩效目标实际程度与预期目标的总体偏移度不是太大，实际完成情况还是达到了预期绩效目标；年初预算编制较准确</w:t>
      </w:r>
      <w:r>
        <w:rPr>
          <w:rFonts w:hint="default" w:ascii="Times New Roman" w:hAnsi="Times New Roman" w:eastAsia="仿宋_GB2312" w:cs="Times New Roman"/>
          <w:color w:val="000000" w:themeColor="text1"/>
          <w:sz w:val="32"/>
          <w:szCs w:val="32"/>
          <w14:textFill>
            <w14:solidFill>
              <w14:schemeClr w14:val="tx1"/>
            </w14:solidFill>
          </w14:textFill>
        </w:rPr>
        <w:t>。本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还自行组织了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个项目支出绩效评价，从评价情况来看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绩效目标总体实现程度良好，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充分发挥了财政资金的使用绩效</w:t>
      </w:r>
      <w:r>
        <w:rPr>
          <w:rFonts w:hint="default" w:ascii="Times New Roman" w:hAnsi="Times New Roman" w:eastAsia="仿宋_GB2312" w:cs="Times New Roman"/>
          <w:color w:val="000000" w:themeColor="text1"/>
          <w:sz w:val="32"/>
          <w:szCs w:val="32"/>
          <w14:textFill>
            <w14:solidFill>
              <w14:schemeClr w14:val="tx1"/>
            </w14:solidFill>
          </w14:textFill>
        </w:rPr>
        <w:t>。</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1.项目绩效目标完成情况。</w:t>
      </w:r>
      <w:r>
        <w:rPr>
          <w:rFonts w:hint="default" w:ascii="Times New Roman" w:hAnsi="Times New Roman" w:eastAsia="楷体_GB2312" w:cs="Times New Roman"/>
          <w:color w:val="auto"/>
          <w:sz w:val="32"/>
          <w:szCs w:val="32"/>
        </w:rPr>
        <w:br w:type="textWrapping"/>
      </w:r>
      <w:r>
        <w:rPr>
          <w:rFonts w:hint="default" w:ascii="Times New Roman" w:hAnsi="Times New Roman" w:eastAsia="仿宋_GB2312" w:cs="Times New Roman"/>
          <w:color w:val="auto"/>
          <w:sz w:val="32"/>
          <w:szCs w:val="32"/>
        </w:rPr>
        <w:t xml:space="preserve">    本</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在20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年度</w:t>
      </w:r>
      <w:r>
        <w:rPr>
          <w:rFonts w:hint="eastAsia" w:eastAsia="仿宋_GB2312" w:cs="Times New Roman"/>
          <w:color w:val="auto"/>
          <w:sz w:val="32"/>
          <w:szCs w:val="32"/>
          <w:lang w:eastAsia="zh-CN"/>
        </w:rPr>
        <w:t>单位决算</w:t>
      </w:r>
      <w:r>
        <w:rPr>
          <w:rFonts w:hint="default" w:ascii="Times New Roman" w:hAnsi="Times New Roman" w:eastAsia="仿宋_GB2312" w:cs="Times New Roman"/>
          <w:color w:val="auto"/>
          <w:sz w:val="32"/>
          <w:szCs w:val="32"/>
        </w:rPr>
        <w:t>中反映“</w:t>
      </w:r>
      <w:r>
        <w:rPr>
          <w:rFonts w:hint="default" w:ascii="Times New Roman" w:hAnsi="Times New Roman" w:eastAsia="仿宋_GB2312" w:cs="Times New Roman"/>
          <w:color w:val="auto"/>
          <w:sz w:val="32"/>
          <w:szCs w:val="32"/>
          <w:lang w:val="en-US" w:eastAsia="zh-CN"/>
        </w:rPr>
        <w:t>古籍出版经费</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个项目绩效目标实际完成情况。</w:t>
      </w:r>
    </w:p>
    <w:p>
      <w:pPr>
        <w:numPr>
          <w:ilvl w:val="0"/>
          <w:numId w:val="0"/>
        </w:numPr>
        <w:spacing w:line="58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古籍出版经费</w:t>
      </w:r>
      <w:r>
        <w:rPr>
          <w:rFonts w:hint="default" w:ascii="Times New Roman" w:hAnsi="Times New Roman" w:eastAsia="仿宋_GB2312" w:cs="Times New Roman"/>
          <w:color w:val="auto"/>
          <w:sz w:val="32"/>
          <w:szCs w:val="32"/>
        </w:rPr>
        <w:t>项目绩效目标完成情况综述。项目全年预算数</w:t>
      </w:r>
      <w:r>
        <w:rPr>
          <w:rFonts w:hint="default" w:ascii="Times New Roman" w:hAnsi="Times New Roman" w:eastAsia="仿宋_GB2312" w:cs="Times New Roman"/>
          <w:color w:val="auto"/>
          <w:sz w:val="32"/>
          <w:szCs w:val="32"/>
          <w:lang w:val="en-US" w:eastAsia="zh-CN"/>
        </w:rPr>
        <w:t>120</w:t>
      </w:r>
      <w:r>
        <w:rPr>
          <w:rFonts w:hint="default" w:ascii="Times New Roman" w:hAnsi="Times New Roman" w:eastAsia="仿宋_GB2312" w:cs="Times New Roman"/>
          <w:color w:val="auto"/>
          <w:sz w:val="32"/>
          <w:szCs w:val="32"/>
        </w:rPr>
        <w:t>万元，执行数为</w:t>
      </w:r>
      <w:r>
        <w:rPr>
          <w:rFonts w:hint="default" w:ascii="Times New Roman" w:hAnsi="Times New Roman" w:eastAsia="仿宋_GB2312" w:cs="Times New Roman"/>
          <w:color w:val="auto"/>
          <w:sz w:val="32"/>
          <w:szCs w:val="32"/>
          <w:lang w:val="en-US" w:eastAsia="zh-CN"/>
        </w:rPr>
        <w:t>103</w:t>
      </w:r>
      <w:r>
        <w:rPr>
          <w:rFonts w:hint="default" w:ascii="Times New Roman" w:hAnsi="Times New Roman" w:eastAsia="仿宋_GB2312" w:cs="Times New Roman"/>
          <w:color w:val="auto"/>
          <w:sz w:val="32"/>
          <w:szCs w:val="32"/>
        </w:rPr>
        <w:t>万元，完成预算的</w:t>
      </w:r>
      <w:r>
        <w:rPr>
          <w:rFonts w:hint="default" w:ascii="Times New Roman" w:hAnsi="Times New Roman" w:eastAsia="仿宋_GB2312" w:cs="Times New Roman"/>
          <w:color w:val="auto"/>
          <w:sz w:val="32"/>
          <w:szCs w:val="32"/>
          <w:lang w:val="en-US" w:eastAsia="zh-CN"/>
        </w:rPr>
        <w:t>85</w:t>
      </w:r>
      <w:r>
        <w:rPr>
          <w:rFonts w:hint="default" w:ascii="Times New Roman" w:hAnsi="Times New Roman" w:eastAsia="仿宋_GB2312" w:cs="Times New Roman"/>
          <w:color w:val="auto"/>
          <w:sz w:val="32"/>
          <w:szCs w:val="32"/>
        </w:rPr>
        <w:t>%。通过项目实施，保障了</w:t>
      </w:r>
      <w:r>
        <w:rPr>
          <w:rFonts w:hint="default" w:ascii="Times New Roman" w:hAnsi="Times New Roman" w:eastAsia="仿宋_GB2312" w:cs="Times New Roman"/>
          <w:color w:val="auto"/>
          <w:sz w:val="32"/>
          <w:szCs w:val="32"/>
          <w:lang w:val="en-US" w:eastAsia="zh-CN"/>
        </w:rPr>
        <w:t>古籍搜集、整理、翻译、录入、排版、校对和出版工作</w:t>
      </w:r>
      <w:r>
        <w:rPr>
          <w:rFonts w:hint="default" w:ascii="Times New Roman" w:hAnsi="Times New Roman" w:eastAsia="仿宋_GB2312" w:cs="Times New Roman"/>
          <w:color w:val="auto"/>
          <w:sz w:val="32"/>
          <w:szCs w:val="32"/>
        </w:rPr>
        <w:t>，发现的主要问题：</w:t>
      </w:r>
      <w:r>
        <w:rPr>
          <w:rFonts w:hint="default" w:ascii="Times New Roman" w:hAnsi="Times New Roman" w:eastAsia="仿宋_GB2312" w:cs="Times New Roman"/>
          <w:color w:val="auto"/>
          <w:sz w:val="32"/>
          <w:szCs w:val="32"/>
          <w:lang w:val="en-US" w:eastAsia="zh-CN"/>
        </w:rPr>
        <w:t>因部分工作未达到预期，导致资金使用不及时，形成结余</w:t>
      </w:r>
      <w:r>
        <w:rPr>
          <w:rFonts w:hint="default" w:ascii="Times New Roman" w:hAnsi="Times New Roman" w:eastAsia="仿宋_GB2312" w:cs="Times New Roman"/>
          <w:color w:val="auto"/>
          <w:sz w:val="32"/>
          <w:szCs w:val="32"/>
        </w:rPr>
        <w:t>。下一步改进措施：</w:t>
      </w:r>
      <w:r>
        <w:rPr>
          <w:rFonts w:hint="default" w:ascii="Times New Roman" w:hAnsi="Times New Roman" w:eastAsia="仿宋_GB2312" w:cs="Times New Roman"/>
          <w:color w:val="auto"/>
          <w:sz w:val="32"/>
          <w:szCs w:val="32"/>
          <w:lang w:val="en-US" w:eastAsia="zh-CN"/>
        </w:rPr>
        <w:t>提高预算编制的精准性。</w:t>
      </w:r>
    </w:p>
    <w:p>
      <w:pPr>
        <w:rPr>
          <w:rFonts w:hint="default" w:ascii="Times New Roman" w:hAnsi="Times New Roman" w:eastAsia="仿宋_GB2312" w:cs="Times New Roman"/>
          <w:color w:val="auto"/>
          <w:sz w:val="32"/>
          <w:szCs w:val="32"/>
          <w:lang w:val="en-US" w:eastAsia="zh-CN"/>
        </w:rPr>
      </w:pPr>
    </w:p>
    <w:p>
      <w:pPr>
        <w:rPr>
          <w:rFonts w:hint="default"/>
          <w:lang w:val="en-US" w:eastAsia="zh-CN"/>
        </w:rPr>
      </w:pPr>
    </w:p>
    <w:tbl>
      <w:tblPr>
        <w:tblStyle w:val="13"/>
        <w:tblW w:w="9110" w:type="dxa"/>
        <w:tblInd w:w="93" w:type="dxa"/>
        <w:shd w:val="clear" w:color="auto" w:fill="auto"/>
        <w:tblLayout w:type="fixed"/>
        <w:tblCellMar>
          <w:top w:w="0" w:type="dxa"/>
          <w:left w:w="108" w:type="dxa"/>
          <w:bottom w:w="0" w:type="dxa"/>
          <w:right w:w="108" w:type="dxa"/>
        </w:tblCellMar>
      </w:tblPr>
      <w:tblGrid>
        <w:gridCol w:w="1125"/>
        <w:gridCol w:w="802"/>
        <w:gridCol w:w="1598"/>
        <w:gridCol w:w="615"/>
        <w:gridCol w:w="1455"/>
        <w:gridCol w:w="2148"/>
        <w:gridCol w:w="1367"/>
      </w:tblGrid>
      <w:tr>
        <w:tblPrEx>
          <w:tblCellMar>
            <w:top w:w="0" w:type="dxa"/>
            <w:left w:w="108" w:type="dxa"/>
            <w:bottom w:w="0" w:type="dxa"/>
            <w:right w:w="108" w:type="dxa"/>
          </w:tblCellMar>
        </w:tblPrEx>
        <w:trPr>
          <w:trHeight w:val="675" w:hRule="atLeast"/>
        </w:trPr>
        <w:tc>
          <w:tcPr>
            <w:tcW w:w="911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项目支出绩效自评表</w:t>
            </w:r>
          </w:p>
        </w:tc>
      </w:tr>
      <w:tr>
        <w:tblPrEx>
          <w:tblCellMar>
            <w:top w:w="0" w:type="dxa"/>
            <w:left w:w="108" w:type="dxa"/>
            <w:bottom w:w="0" w:type="dxa"/>
            <w:right w:w="108" w:type="dxa"/>
          </w:tblCellMar>
        </w:tblPrEx>
        <w:trPr>
          <w:trHeight w:val="285" w:hRule="atLeast"/>
        </w:trPr>
        <w:tc>
          <w:tcPr>
            <w:tcW w:w="911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2020   年度）</w:t>
            </w:r>
          </w:p>
        </w:tc>
      </w:tr>
      <w:tr>
        <w:tblPrEx>
          <w:shd w:val="clear" w:color="auto" w:fill="auto"/>
          <w:tblCellMar>
            <w:top w:w="0" w:type="dxa"/>
            <w:left w:w="108" w:type="dxa"/>
            <w:bottom w:w="0" w:type="dxa"/>
            <w:right w:w="108" w:type="dxa"/>
          </w:tblCellMar>
        </w:tblPrEx>
        <w:trPr>
          <w:trHeight w:val="439" w:hRule="atLeast"/>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项目名称</w:t>
            </w:r>
          </w:p>
        </w:tc>
        <w:tc>
          <w:tcPr>
            <w:tcW w:w="71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古籍出版经费</w:t>
            </w:r>
          </w:p>
        </w:tc>
      </w:tr>
      <w:tr>
        <w:tblPrEx>
          <w:tblCellMar>
            <w:top w:w="0" w:type="dxa"/>
            <w:left w:w="108" w:type="dxa"/>
            <w:bottom w:w="0" w:type="dxa"/>
            <w:right w:w="108" w:type="dxa"/>
          </w:tblCellMar>
        </w:tblPrEx>
        <w:trPr>
          <w:trHeight w:val="439" w:hRule="atLeast"/>
        </w:trPr>
        <w:tc>
          <w:tcPr>
            <w:tcW w:w="1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主管部门及代码</w:t>
            </w:r>
          </w:p>
        </w:tc>
        <w:tc>
          <w:tcPr>
            <w:tcW w:w="3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四川省民族宗教事务委员会</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实施单位</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四川省民宗委古籍办</w:t>
            </w:r>
          </w:p>
        </w:tc>
      </w:tr>
      <w:tr>
        <w:tblPrEx>
          <w:tblCellMar>
            <w:top w:w="0" w:type="dxa"/>
            <w:left w:w="108" w:type="dxa"/>
            <w:bottom w:w="0" w:type="dxa"/>
            <w:right w:w="108" w:type="dxa"/>
          </w:tblCellMar>
        </w:tblPrEx>
        <w:trPr>
          <w:trHeight w:val="439" w:hRule="atLeast"/>
        </w:trPr>
        <w:tc>
          <w:tcPr>
            <w:tcW w:w="19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项目预算</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执行情况</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（万元）</w:t>
            </w: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120.0</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执行数：</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103.0</w:t>
            </w:r>
          </w:p>
        </w:tc>
      </w:tr>
      <w:tr>
        <w:tblPrEx>
          <w:tblCellMar>
            <w:top w:w="0" w:type="dxa"/>
            <w:left w:w="108" w:type="dxa"/>
            <w:bottom w:w="0" w:type="dxa"/>
            <w:right w:w="108" w:type="dxa"/>
          </w:tblCellMar>
        </w:tblPrEx>
        <w:trPr>
          <w:trHeight w:val="439" w:hRule="atLeast"/>
        </w:trPr>
        <w:tc>
          <w:tcPr>
            <w:tcW w:w="19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其中：财政拨款</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120.0</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其中：财政拨款</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103.0</w:t>
            </w:r>
          </w:p>
        </w:tc>
      </w:tr>
      <w:tr>
        <w:tblPrEx>
          <w:tblCellMar>
            <w:top w:w="0" w:type="dxa"/>
            <w:left w:w="108" w:type="dxa"/>
            <w:bottom w:w="0" w:type="dxa"/>
            <w:right w:w="108" w:type="dxa"/>
          </w:tblCellMar>
        </w:tblPrEx>
        <w:trPr>
          <w:trHeight w:val="439" w:hRule="atLeast"/>
        </w:trPr>
        <w:tc>
          <w:tcPr>
            <w:tcW w:w="19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其他资金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 xml:space="preserve">             其他资金</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0.0</w:t>
            </w:r>
          </w:p>
        </w:tc>
      </w:tr>
      <w:tr>
        <w:tblPrEx>
          <w:tblCellMar>
            <w:top w:w="0" w:type="dxa"/>
            <w:left w:w="108" w:type="dxa"/>
            <w:bottom w:w="0" w:type="dxa"/>
            <w:right w:w="108" w:type="dxa"/>
          </w:tblCellMar>
        </w:tblPrEx>
        <w:trPr>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年</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度</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总</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体</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目</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标</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完</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成</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情</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况</w:t>
            </w:r>
          </w:p>
        </w:tc>
        <w:tc>
          <w:tcPr>
            <w:tcW w:w="4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预期目标</w:t>
            </w: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目标实际完成情况</w:t>
            </w:r>
          </w:p>
        </w:tc>
      </w:tr>
      <w:tr>
        <w:tblPrEx>
          <w:tblCellMar>
            <w:top w:w="0" w:type="dxa"/>
            <w:left w:w="108" w:type="dxa"/>
            <w:bottom w:w="0" w:type="dxa"/>
            <w:right w:w="108" w:type="dxa"/>
          </w:tblCellMar>
        </w:tblPrEx>
        <w:trPr>
          <w:trHeight w:val="1014"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447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分阶段完成《觉囊派续部海坛城·图集》《藏族古籍经典系列丛书》《凉山彝族古彝语词典》《中国羌族资料选编》《中国南方回族历史人物文史资料补遗》《智者入门广释》的搜集、整理、翻译、录入、排版、校对和出版工作。</w:t>
            </w: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藏族古籍经典系列丛书》《凉山彝族古彝语词典》《中国羌族资料选编》《中国南方回族历史人物文史资料补遗》完成当年的搜集、整理、翻译、录入、排版、校对和出版工作的任务，由于《智者入门广释》《觉囊派续部海坛城仪轨图集》2个项目均涉及宗教内容，鉴于当前国家关于意识形态工作的新形势、新任务、新要求以及本轮省委意识形态工作专项巡视的有关要求，本着坚持问题导向、实事求是和稳慎处理的原则，按照委党组要求，我办9月起暂停了项目搜集、整理工作。截至目前为止，《智者入门广释》已经完成130万字稿件的整理工作，《觉囊派续部海坛城仪轨图集》完成了58幅原布本画的数字化扫描和制作工作。故造成资金有余。</w:t>
            </w:r>
          </w:p>
        </w:tc>
      </w:tr>
      <w:tr>
        <w:tblPrEx>
          <w:tblCellMar>
            <w:top w:w="0" w:type="dxa"/>
            <w:left w:w="108" w:type="dxa"/>
            <w:bottom w:w="0" w:type="dxa"/>
            <w:right w:w="108" w:type="dxa"/>
          </w:tblCellMar>
        </w:tblPrEx>
        <w:trPr>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年度绩效指标完成情况</w:t>
            </w:r>
          </w:p>
        </w:tc>
        <w:tc>
          <w:tcPr>
            <w:tcW w:w="8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一级</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二级指标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三级指标</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预期指标值</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实际完成指标值</w:t>
            </w:r>
          </w:p>
        </w:tc>
      </w:tr>
      <w:tr>
        <w:tblPrEx>
          <w:tblCellMar>
            <w:top w:w="0" w:type="dxa"/>
            <w:left w:w="108" w:type="dxa"/>
            <w:bottom w:w="0" w:type="dxa"/>
            <w:right w:w="108" w:type="dxa"/>
          </w:tblCellMar>
        </w:tblPrEx>
        <w:trPr>
          <w:trHeight w:val="80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完</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成</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指</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数量指标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全年完成搜集、整理、翻译、录入、排版、校对和出版古籍数量</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r>
      <w:tr>
        <w:tblPrEx>
          <w:tblCellMar>
            <w:top w:w="0" w:type="dxa"/>
            <w:left w:w="108" w:type="dxa"/>
            <w:bottom w:w="0" w:type="dxa"/>
            <w:right w:w="108" w:type="dxa"/>
          </w:tblCellMar>
        </w:tblPrEx>
        <w:trPr>
          <w:trHeight w:val="232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质量指标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分阶段完成《觉囊派续部海坛城·图集》《藏族古籍经典系列丛书》《凉山彝族古彝语词典》《中国羌族资料选编》《中国南方回族历史人物文史资料补遗》《智者入门广释》的搜集、整理、翻译、录入、排版、校对和出版工作</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良好</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良好</w:t>
            </w:r>
          </w:p>
        </w:tc>
      </w:tr>
      <w:tr>
        <w:tblPrEx>
          <w:tblCellMar>
            <w:top w:w="0" w:type="dxa"/>
            <w:left w:w="108" w:type="dxa"/>
            <w:bottom w:w="0" w:type="dxa"/>
            <w:right w:w="108" w:type="dxa"/>
          </w:tblCellMar>
        </w:tblPrEx>
        <w:trPr>
          <w:trHeight w:val="70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时效指标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全年古籍整理等工作按期完成率</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86%</w:t>
            </w:r>
          </w:p>
        </w:tc>
      </w:tr>
      <w:tr>
        <w:tblPrEx>
          <w:tblCellMar>
            <w:top w:w="0" w:type="dxa"/>
            <w:left w:w="108" w:type="dxa"/>
            <w:bottom w:w="0" w:type="dxa"/>
            <w:right w:w="108" w:type="dxa"/>
          </w:tblCellMar>
        </w:tblPrEx>
        <w:trPr>
          <w:trHeight w:val="5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成本指标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完成6套古籍整理等相关工作劳务费</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18.67</w:t>
            </w:r>
          </w:p>
        </w:tc>
      </w:tr>
      <w:tr>
        <w:tblPrEx>
          <w:tblCellMar>
            <w:top w:w="0" w:type="dxa"/>
            <w:left w:w="108" w:type="dxa"/>
            <w:bottom w:w="0" w:type="dxa"/>
            <w:right w:w="108" w:type="dxa"/>
          </w:tblCellMar>
        </w:tblPrEx>
        <w:trPr>
          <w:trHeight w:val="62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完成6套古籍整理等相关工作业务委托费</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w:t>
            </w:r>
          </w:p>
        </w:tc>
      </w:tr>
      <w:tr>
        <w:tblPrEx>
          <w:tblCellMar>
            <w:top w:w="0" w:type="dxa"/>
            <w:left w:w="108" w:type="dxa"/>
            <w:bottom w:w="0" w:type="dxa"/>
            <w:right w:w="108" w:type="dxa"/>
          </w:tblCellMar>
        </w:tblPrEx>
        <w:trPr>
          <w:trHeight w:val="54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完成6套古籍整理等相关工作其他交通费用</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4.33</w:t>
            </w:r>
          </w:p>
        </w:tc>
      </w:tr>
      <w:tr>
        <w:tblPrEx>
          <w:tblCellMar>
            <w:top w:w="0" w:type="dxa"/>
            <w:left w:w="108" w:type="dxa"/>
            <w:bottom w:w="0" w:type="dxa"/>
            <w:right w:w="108" w:type="dxa"/>
          </w:tblCellMar>
        </w:tblPrEx>
        <w:trPr>
          <w:trHeight w:val="60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效</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益</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指</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经济效益指标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资金使用效果</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良好</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良好</w:t>
            </w:r>
          </w:p>
        </w:tc>
      </w:tr>
      <w:tr>
        <w:tblPrEx>
          <w:tblCellMar>
            <w:top w:w="0" w:type="dxa"/>
            <w:left w:w="108" w:type="dxa"/>
            <w:bottom w:w="0" w:type="dxa"/>
            <w:right w:w="108" w:type="dxa"/>
          </w:tblCellMar>
        </w:tblPrEx>
        <w:trPr>
          <w:trHeight w:val="74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社会效益指标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分阶段完成民族古籍的搜集、整理、翻译、录入、排版、校对和出版工作</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良好</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良好</w:t>
            </w:r>
          </w:p>
        </w:tc>
      </w:tr>
      <w:tr>
        <w:tblPrEx>
          <w:tblCellMar>
            <w:top w:w="0" w:type="dxa"/>
            <w:left w:w="108" w:type="dxa"/>
            <w:bottom w:w="0" w:type="dxa"/>
            <w:right w:w="108" w:type="dxa"/>
          </w:tblCellMar>
        </w:tblPrEx>
        <w:trPr>
          <w:trHeight w:val="70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生态效益指标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书出版环保纸张使用使用率</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90%</w:t>
            </w:r>
          </w:p>
        </w:tc>
      </w:tr>
      <w:tr>
        <w:tblPrEx>
          <w:tblCellMar>
            <w:top w:w="0" w:type="dxa"/>
            <w:left w:w="108" w:type="dxa"/>
            <w:bottom w:w="0" w:type="dxa"/>
            <w:right w:w="108" w:type="dxa"/>
          </w:tblCellMar>
        </w:tblPrEx>
        <w:trPr>
          <w:trHeight w:val="70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可持续影响指标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项目可持续影响年限</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十年</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十年</w:t>
            </w:r>
          </w:p>
        </w:tc>
      </w:tr>
      <w:tr>
        <w:tblPrEx>
          <w:tblCellMar>
            <w:top w:w="0" w:type="dxa"/>
            <w:left w:w="108" w:type="dxa"/>
            <w:bottom w:w="0" w:type="dxa"/>
            <w:right w:w="108" w:type="dxa"/>
          </w:tblCellMar>
        </w:tblPrEx>
        <w:trPr>
          <w:trHeight w:val="7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满意度</w:t>
            </w:r>
            <w:r>
              <w:rPr>
                <w:rFonts w:hint="default" w:ascii="Times New Roman" w:hAnsi="Times New Roman" w:eastAsia="宋体" w:cs="Times New Roman"/>
                <w:i w:val="0"/>
                <w:iCs w:val="0"/>
                <w:color w:val="auto"/>
                <w:kern w:val="0"/>
                <w:sz w:val="18"/>
                <w:szCs w:val="18"/>
                <w:u w:val="none"/>
                <w:lang w:val="en-US" w:eastAsia="zh-CN" w:bidi="ar"/>
              </w:rPr>
              <w:br w:type="textWrapping"/>
            </w:r>
            <w:r>
              <w:rPr>
                <w:rFonts w:hint="default" w:ascii="Times New Roman" w:hAnsi="Times New Roman" w:eastAsia="宋体" w:cs="Times New Roman"/>
                <w:i w:val="0"/>
                <w:iCs w:val="0"/>
                <w:color w:val="auto"/>
                <w:kern w:val="0"/>
                <w:sz w:val="18"/>
                <w:szCs w:val="18"/>
                <w:u w:val="none"/>
                <w:lang w:val="en-US" w:eastAsia="zh-CN" w:bidi="ar"/>
              </w:rPr>
              <w:t>指标</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满意度指标</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服务对象满意度</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w:t>
            </w:r>
          </w:p>
        </w:tc>
      </w:tr>
    </w:tbl>
    <w:p>
      <w:pPr>
        <w:spacing w:line="580" w:lineRule="exact"/>
        <w:ind w:left="630"/>
        <w:rPr>
          <w:rFonts w:hint="eastAsia" w:ascii="楷体_GB2312" w:hAnsi="楷体_GB2312" w:eastAsia="楷体_GB2312" w:cs="楷体_GB2312"/>
          <w:color w:val="auto"/>
          <w:sz w:val="32"/>
          <w:szCs w:val="32"/>
        </w:rPr>
      </w:pPr>
    </w:p>
    <w:p>
      <w:pPr>
        <w:spacing w:line="580" w:lineRule="exact"/>
        <w:ind w:left="630"/>
        <w:rPr>
          <w:rFonts w:hint="eastAsia" w:ascii="楷体_GB2312" w:hAnsi="楷体_GB2312" w:eastAsia="楷体_GB2312" w:cs="楷体_GB2312"/>
          <w:color w:val="auto"/>
          <w:sz w:val="32"/>
          <w:szCs w:val="32"/>
        </w:rPr>
      </w:pPr>
    </w:p>
    <w:p>
      <w:pPr>
        <w:spacing w:line="580" w:lineRule="exact"/>
        <w:ind w:left="63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lang w:eastAsia="zh-CN"/>
        </w:rPr>
        <w:t>单位</w:t>
      </w:r>
      <w:r>
        <w:rPr>
          <w:rFonts w:hint="eastAsia" w:ascii="楷体_GB2312" w:hAnsi="楷体_GB2312" w:eastAsia="楷体_GB2312" w:cs="楷体_GB2312"/>
          <w:color w:val="auto"/>
          <w:sz w:val="32"/>
          <w:szCs w:val="32"/>
        </w:rPr>
        <w:t>绩效评价结果。</w:t>
      </w:r>
    </w:p>
    <w:p>
      <w:pPr>
        <w:spacing w:line="580" w:lineRule="exact"/>
        <w:ind w:firstLine="640" w:firstLineChars="200"/>
        <w:rPr>
          <w:rFonts w:ascii="仿宋_GB2312" w:eastAsia="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本单位自行组织对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古籍出版经费</w:t>
      </w:r>
      <w:r>
        <w:rPr>
          <w:rFonts w:hint="default" w:ascii="Times New Roman" w:hAnsi="Times New Roman" w:eastAsia="仿宋_GB2312" w:cs="Times New Roman"/>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开展了绩效评价，《202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古籍出版经费</w:t>
      </w:r>
      <w:r>
        <w:rPr>
          <w:rFonts w:hint="eastAsia" w:ascii="仿宋_GB2312" w:hAnsi="仿宋_GB2312" w:eastAsia="仿宋_GB2312" w:cs="仿宋_GB2312"/>
          <w:color w:val="000000" w:themeColor="text1"/>
          <w:sz w:val="32"/>
          <w:szCs w:val="32"/>
          <w14:textFill>
            <w14:solidFill>
              <w14:schemeClr w14:val="tx1"/>
            </w14:solidFill>
          </w14:textFill>
        </w:rPr>
        <w:t>项目支出绩效自评报告》见附件</w:t>
      </w:r>
      <w:r>
        <w:rPr>
          <w:rFonts w:hint="eastAsia" w:ascii="仿宋_GB2312" w:hAnsi="仿宋_GB2312" w:eastAsia="仿宋_GB2312" w:cs="仿宋_GB2312"/>
          <w:color w:val="000000" w:themeColor="text1"/>
          <w:sz w:val="32"/>
          <w:szCs w:val="32"/>
          <w:lang w:eastAsia="zh-CN"/>
          <w14:textFill>
            <w14:solidFill>
              <w14:schemeClr w14:val="tx1"/>
            </w14:solidFill>
          </w14:textFill>
        </w:rPr>
        <w:t>（第四部分）</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77" w:name="_Toc15396613"/>
      <w:bookmarkStart w:id="78" w:name="_Toc15377225"/>
      <w:bookmarkStart w:id="79" w:name="_Toc10429"/>
      <w:bookmarkStart w:id="80" w:name="_Toc16281"/>
      <w:r>
        <w:rPr>
          <w:rFonts w:hint="eastAsia" w:ascii="黑体" w:hAnsi="黑体" w:eastAsia="黑体"/>
          <w:color w:val="000000"/>
          <w:sz w:val="44"/>
          <w:szCs w:val="44"/>
        </w:rPr>
        <w:t>名</w:t>
      </w:r>
      <w:r>
        <w:rPr>
          <w:rStyle w:val="25"/>
          <w:rFonts w:hint="eastAsia" w:ascii="黑体" w:hAnsi="黑体" w:eastAsia="黑体"/>
          <w:b w:val="0"/>
        </w:rPr>
        <w:t>词解释</w:t>
      </w:r>
      <w:bookmarkEnd w:id="77"/>
      <w:bookmarkEnd w:id="78"/>
      <w:bookmarkEnd w:id="79"/>
      <w:bookmarkEnd w:id="80"/>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val="en-US" w:eastAsia="zh-CN"/>
        </w:rPr>
        <w:t>利息收入</w:t>
      </w:r>
      <w:r>
        <w:rPr>
          <w:rFonts w:hint="eastAsia" w:ascii="仿宋_GB2312" w:eastAsia="仿宋_GB2312"/>
          <w:sz w:val="32"/>
          <w:szCs w:val="32"/>
        </w:rPr>
        <w:t>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pPr>
        <w:ind w:firstLine="640" w:firstLineChars="200"/>
        <w:rPr>
          <w:rFonts w:hint="default" w:ascii="Times New Roman" w:hAnsi="Times New Roman" w:eastAsia="仿宋_GB2312" w:cs="Times New Roman"/>
          <w:color w:val="auto"/>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default" w:ascii="Times New Roman" w:hAnsi="Times New Roman" w:eastAsia="仿宋_GB2312" w:cs="Times New Roman"/>
          <w:color w:val="auto"/>
          <w:kern w:val="0"/>
          <w:sz w:val="32"/>
          <w:szCs w:val="32"/>
          <w:lang w:val="en-US" w:eastAsia="zh-CN" w:bidi="ar-SA"/>
        </w:rPr>
        <w:t>一般公共服务支出（类）民族事务（款）行政运行（项）:</w:t>
      </w:r>
      <w:r>
        <w:rPr>
          <w:rFonts w:hint="default" w:ascii="Times New Roman" w:hAnsi="Times New Roman" w:eastAsia="仿宋_GB2312" w:cs="Times New Roman"/>
          <w:color w:val="auto"/>
          <w:sz w:val="32"/>
          <w:szCs w:val="32"/>
        </w:rPr>
        <w:t>指反映行政单位 (包括实行公务员管理的事业单位) 的基本支出。</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一般公共服务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（类）民族事务（款）</w:t>
      </w:r>
      <w:r>
        <w:rPr>
          <w:rFonts w:hint="default" w:ascii="Times New Roman" w:hAnsi="Times New Roman" w:eastAsia="仿宋_GB2312" w:cs="Times New Roman"/>
          <w:color w:val="auto"/>
          <w:sz w:val="32"/>
          <w:szCs w:val="32"/>
          <w:lang w:eastAsia="zh-CN"/>
        </w:rPr>
        <w:t>一般行政管理事务</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反映行政单位 (包括实行公务员 管理的事业单位)未单独设置项级科目的其他项目支出。</w:t>
      </w:r>
    </w:p>
    <w:p>
      <w:pPr>
        <w:ind w:firstLine="640" w:firstLineChars="200"/>
        <w:rPr>
          <w:rFonts w:hint="default"/>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一般公共服务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（类）民族事务（款）其他民族事务支出（项）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反映除上述项目以外其他用于民族事务方面的支出。</w:t>
      </w:r>
    </w:p>
    <w:p>
      <w:pPr>
        <w:ind w:firstLine="640" w:firstLineChars="200"/>
        <w:rPr>
          <w:rFonts w:hint="default" w:ascii="Times New Roman" w:hAnsi="Times New Roman" w:eastAsia="仿宋_GB2312" w:cs="Times New Roman"/>
          <w:b w:val="0"/>
          <w:bCs w:val="0"/>
          <w:color w:val="auto"/>
          <w:sz w:val="32"/>
          <w:szCs w:val="32"/>
        </w:rPr>
      </w:pPr>
      <w:r>
        <w:rPr>
          <w:rFonts w:hint="eastAsia" w:ascii="仿宋_GB2312" w:eastAsia="仿宋_GB2312"/>
          <w:color w:val="000000"/>
          <w:sz w:val="32"/>
          <w:szCs w:val="32"/>
          <w:lang w:val="en-US" w:eastAsia="zh-CN"/>
        </w:rPr>
        <w:t>8</w:t>
      </w:r>
      <w:r>
        <w:rPr>
          <w:rFonts w:ascii="仿宋_GB2312" w:eastAsia="仿宋_GB2312"/>
          <w:color w:val="000000"/>
          <w:sz w:val="32"/>
          <w:szCs w:val="32"/>
        </w:rPr>
        <w:t>.</w:t>
      </w:r>
      <w:r>
        <w:rPr>
          <w:rFonts w:hint="default" w:ascii="Times New Roman" w:hAnsi="Times New Roman" w:eastAsia="仿宋_GB2312" w:cs="Times New Roman"/>
          <w:b w:val="0"/>
          <w:bCs w:val="0"/>
          <w:color w:val="auto"/>
          <w:sz w:val="32"/>
          <w:szCs w:val="32"/>
        </w:rPr>
        <w:t>社会保障和就业支出（类）</w:t>
      </w:r>
      <w:r>
        <w:rPr>
          <w:rStyle w:val="15"/>
          <w:rFonts w:hint="default" w:ascii="Times New Roman" w:hAnsi="Times New Roman" w:eastAsia="仿宋_GB2312" w:cs="Times New Roman"/>
          <w:b w:val="0"/>
          <w:bCs w:val="0"/>
          <w:color w:val="auto"/>
          <w:sz w:val="32"/>
          <w:szCs w:val="32"/>
          <w:lang w:eastAsia="zh-CN"/>
        </w:rPr>
        <w:t>行政事业单位</w:t>
      </w:r>
      <w:r>
        <w:rPr>
          <w:rStyle w:val="15"/>
          <w:rFonts w:hint="default" w:ascii="Times New Roman" w:hAnsi="Times New Roman" w:eastAsia="仿宋_GB2312" w:cs="Times New Roman"/>
          <w:b w:val="0"/>
          <w:bCs w:val="0"/>
          <w:color w:val="auto"/>
          <w:sz w:val="32"/>
          <w:szCs w:val="32"/>
          <w:lang w:val="en-US" w:eastAsia="zh-CN"/>
        </w:rPr>
        <w:t>养老支出</w:t>
      </w:r>
      <w:r>
        <w:rPr>
          <w:rFonts w:hint="default" w:ascii="Times New Roman" w:hAnsi="Times New Roman" w:eastAsia="仿宋_GB2312" w:cs="Times New Roman"/>
          <w:b w:val="0"/>
          <w:bCs w:val="0"/>
          <w:color w:val="auto"/>
          <w:sz w:val="32"/>
          <w:szCs w:val="32"/>
        </w:rPr>
        <w:t>（款）行政单位离退休（项）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反映未实行归口管理的行政单位(包括实行公务员管理事业单位)开支的离退休支出。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default" w:ascii="Times New Roman" w:hAnsi="Times New Roman" w:eastAsia="仿宋_GB2312" w:cs="Times New Roman"/>
          <w:b w:val="0"/>
          <w:bCs w:val="0"/>
          <w:color w:val="auto"/>
          <w:sz w:val="32"/>
          <w:szCs w:val="32"/>
        </w:rPr>
        <w:t>社会保障和就业支出（类）</w:t>
      </w:r>
      <w:r>
        <w:rPr>
          <w:rStyle w:val="15"/>
          <w:rFonts w:hint="default" w:ascii="Times New Roman" w:hAnsi="Times New Roman" w:eastAsia="仿宋_GB2312" w:cs="Times New Roman"/>
          <w:b w:val="0"/>
          <w:bCs w:val="0"/>
          <w:color w:val="auto"/>
          <w:sz w:val="32"/>
          <w:szCs w:val="32"/>
          <w:lang w:eastAsia="zh-CN"/>
        </w:rPr>
        <w:t>行政事业单位</w:t>
      </w:r>
      <w:r>
        <w:rPr>
          <w:rStyle w:val="15"/>
          <w:rFonts w:hint="default" w:ascii="Times New Roman" w:hAnsi="Times New Roman" w:eastAsia="仿宋_GB2312" w:cs="Times New Roman"/>
          <w:b w:val="0"/>
          <w:bCs w:val="0"/>
          <w:color w:val="auto"/>
          <w:sz w:val="32"/>
          <w:szCs w:val="32"/>
          <w:lang w:val="en-US" w:eastAsia="zh-CN"/>
        </w:rPr>
        <w:t>养老支出</w:t>
      </w:r>
      <w:r>
        <w:rPr>
          <w:rFonts w:hint="default" w:ascii="Times New Roman" w:hAnsi="Times New Roman" w:eastAsia="仿宋_GB2312" w:cs="Times New Roman"/>
          <w:b w:val="0"/>
          <w:bCs w:val="0"/>
          <w:color w:val="auto"/>
          <w:sz w:val="32"/>
          <w:szCs w:val="32"/>
        </w:rPr>
        <w:t>（款）机关事业单位基本养老保险缴费支出（项）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Times New Roman" w:eastAsia="仿宋_GB2312" w:cs="Times New Roman"/>
          <w:color w:val="000000"/>
          <w:sz w:val="32"/>
          <w:szCs w:val="32"/>
          <w:lang w:val="en-US" w:eastAsia="zh-CN"/>
        </w:rPr>
        <w:t>10.</w:t>
      </w:r>
      <w:r>
        <w:rPr>
          <w:rFonts w:hint="default" w:ascii="Times New Roman" w:hAnsi="Times New Roman" w:eastAsia="仿宋_GB2312" w:cs="Times New Roman"/>
          <w:color w:val="auto"/>
          <w:sz w:val="32"/>
          <w:szCs w:val="32"/>
          <w:lang w:eastAsia="zh-CN"/>
        </w:rPr>
        <w:t>卫生健康</w:t>
      </w:r>
      <w:r>
        <w:rPr>
          <w:rFonts w:hint="default" w:ascii="Times New Roman" w:hAnsi="Times New Roman" w:eastAsia="仿宋_GB2312" w:cs="Times New Roman"/>
          <w:color w:val="auto"/>
          <w:sz w:val="32"/>
          <w:szCs w:val="32"/>
        </w:rPr>
        <w:t>支出（类）行政事业单位医疗（款）行政单位医疗（项）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反映财政部门集中安排的行政单位基本医疗保险缴费经费，未参加医疗保险的行政单位的公费医疗经费，按国家规定享受离休人员、红军老战土待遇人员的医疗经费。</w:t>
      </w:r>
    </w:p>
    <w:p>
      <w:pPr>
        <w:ind w:firstLine="640" w:firstLineChars="200"/>
        <w:rPr>
          <w:rFonts w:hint="default" w:ascii="Times New Roman" w:hAnsi="Times New Roman" w:eastAsia="仿宋_GB2312" w:cs="Times New Roman"/>
          <w:color w:val="auto"/>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default" w:ascii="Times New Roman" w:hAnsi="Times New Roman" w:eastAsia="仿宋_GB2312" w:cs="Times New Roman"/>
          <w:color w:val="auto"/>
          <w:sz w:val="32"/>
          <w:szCs w:val="32"/>
          <w:lang w:val="en-US" w:eastAsia="zh-CN"/>
        </w:rPr>
        <w:t>卫生健康</w:t>
      </w:r>
      <w:r>
        <w:rPr>
          <w:rFonts w:hint="default" w:ascii="Times New Roman" w:hAnsi="Times New Roman" w:eastAsia="仿宋_GB2312" w:cs="Times New Roman"/>
          <w:color w:val="auto"/>
          <w:sz w:val="32"/>
          <w:szCs w:val="32"/>
        </w:rPr>
        <w:t>支出（类）行政事业单位医疗（款）事业单位医疗（项）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反映财政部门集中安排的事业单位基本医疗保险缴费经费，未参加医疗保险的事业单位的公费医疗经费，按国家规定享受离休人员待遇的医疗经费。</w:t>
      </w:r>
    </w:p>
    <w:p>
      <w:pPr>
        <w:ind w:firstLine="640" w:firstLineChars="200"/>
        <w:rPr>
          <w:rFonts w:hint="default" w:ascii="Times New Roman" w:hAnsi="Times New Roman" w:eastAsia="仿宋_GB2312" w:cs="Times New Roman"/>
          <w:color w:val="auto"/>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default" w:ascii="Times New Roman" w:hAnsi="Times New Roman" w:eastAsia="仿宋_GB2312" w:cs="Times New Roman"/>
          <w:color w:val="auto"/>
          <w:sz w:val="32"/>
          <w:szCs w:val="32"/>
          <w:lang w:val="en-US" w:eastAsia="zh-CN"/>
        </w:rPr>
        <w:t>卫生健康</w:t>
      </w:r>
      <w:r>
        <w:rPr>
          <w:rFonts w:hint="default" w:ascii="Times New Roman" w:hAnsi="Times New Roman" w:eastAsia="仿宋_GB2312" w:cs="Times New Roman"/>
          <w:color w:val="auto"/>
          <w:sz w:val="32"/>
          <w:szCs w:val="32"/>
        </w:rPr>
        <w:t>支出（类）行政事业单位医疗（款）公务员医疗补助（项）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反映财政部门集中安排的公务员医疗补助经费。</w:t>
      </w:r>
    </w:p>
    <w:p>
      <w:pPr>
        <w:spacing w:line="580" w:lineRule="exact"/>
        <w:ind w:firstLine="640" w:firstLineChars="200"/>
        <w:rPr>
          <w:rFonts w:hint="default" w:ascii="Times New Roman" w:hAnsi="Times New Roman" w:eastAsia="仿宋_GB2312" w:cs="Times New Roman"/>
          <w:color w:val="auto"/>
          <w:sz w:val="32"/>
          <w:szCs w:val="32"/>
          <w:lang w:eastAsia="zh-CN"/>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default" w:ascii="Times New Roman" w:hAnsi="Times New Roman" w:eastAsia="仿宋_GB2312" w:cs="Times New Roman"/>
          <w:color w:val="auto"/>
          <w:sz w:val="32"/>
          <w:szCs w:val="32"/>
        </w:rPr>
        <w:t>住房保障支出（类）住房改革支出（款）住房公积金（项）</w:t>
      </w:r>
      <w:r>
        <w:rPr>
          <w:rFonts w:hint="default" w:ascii="Times New Roman" w:hAnsi="Times New Roman" w:eastAsia="仿宋_GB2312" w:cs="Times New Roman"/>
          <w:color w:val="auto"/>
          <w:sz w:val="32"/>
          <w:szCs w:val="32"/>
          <w:lang w:eastAsia="zh-CN"/>
        </w:rPr>
        <w:t>：反映行政事业单位按人力资源和社会保障部、财政部规定的基本工资和津贴补贴以及规定比例为职工缴纳的住房公积金。</w:t>
      </w:r>
    </w:p>
    <w:p>
      <w:pPr>
        <w:spacing w:line="58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Style w:val="15"/>
          <w:rFonts w:hint="default" w:ascii="Times New Roman" w:hAnsi="Times New Roman" w:eastAsia="仿宋_GB2312" w:cs="Times New Roman"/>
          <w:b w:val="0"/>
          <w:bCs w:val="0"/>
          <w:color w:val="auto"/>
          <w:sz w:val="32"/>
          <w:szCs w:val="32"/>
          <w:lang w:eastAsia="zh-CN"/>
        </w:rPr>
        <w:t>住房保障支出</w:t>
      </w:r>
      <w:r>
        <w:rPr>
          <w:rStyle w:val="15"/>
          <w:rFonts w:hint="default" w:ascii="Times New Roman" w:hAnsi="Times New Roman" w:eastAsia="仿宋_GB2312" w:cs="Times New Roman"/>
          <w:b w:val="0"/>
          <w:bCs w:val="0"/>
          <w:color w:val="auto"/>
          <w:sz w:val="32"/>
          <w:szCs w:val="32"/>
        </w:rPr>
        <w:t>（类）</w:t>
      </w:r>
      <w:r>
        <w:rPr>
          <w:rStyle w:val="15"/>
          <w:rFonts w:hint="default" w:ascii="Times New Roman" w:hAnsi="Times New Roman" w:eastAsia="仿宋_GB2312" w:cs="Times New Roman"/>
          <w:b w:val="0"/>
          <w:bCs w:val="0"/>
          <w:color w:val="auto"/>
          <w:sz w:val="32"/>
          <w:szCs w:val="32"/>
          <w:lang w:eastAsia="zh-CN"/>
        </w:rPr>
        <w:t>住房改革支出</w:t>
      </w:r>
      <w:r>
        <w:rPr>
          <w:rStyle w:val="15"/>
          <w:rFonts w:hint="default" w:ascii="Times New Roman" w:hAnsi="Times New Roman" w:eastAsia="仿宋_GB2312" w:cs="Times New Roman"/>
          <w:b w:val="0"/>
          <w:bCs w:val="0"/>
          <w:color w:val="auto"/>
          <w:sz w:val="32"/>
          <w:szCs w:val="32"/>
        </w:rPr>
        <w:t>（款）</w:t>
      </w:r>
      <w:r>
        <w:rPr>
          <w:rStyle w:val="15"/>
          <w:rFonts w:hint="default" w:ascii="Times New Roman" w:hAnsi="Times New Roman" w:eastAsia="仿宋_GB2312" w:cs="Times New Roman"/>
          <w:b w:val="0"/>
          <w:bCs w:val="0"/>
          <w:color w:val="auto"/>
          <w:sz w:val="32"/>
          <w:szCs w:val="32"/>
          <w:lang w:val="en-US" w:eastAsia="zh-CN"/>
        </w:rPr>
        <w:t>购房补贴</w:t>
      </w:r>
      <w:r>
        <w:rPr>
          <w:rStyle w:val="15"/>
          <w:rFonts w:hint="default" w:ascii="Times New Roman" w:hAnsi="Times New Roman" w:eastAsia="仿宋_GB2312" w:cs="Times New Roman"/>
          <w:b w:val="0"/>
          <w:bCs w:val="0"/>
          <w:color w:val="auto"/>
          <w:sz w:val="32"/>
          <w:szCs w:val="32"/>
        </w:rPr>
        <w:t>（项）</w:t>
      </w:r>
      <w:r>
        <w:rPr>
          <w:rStyle w:val="15"/>
          <w:rFonts w:hint="default" w:ascii="Times New Roman" w:hAnsi="Times New Roman" w:eastAsia="仿宋_GB2312" w:cs="Times New Roman"/>
          <w:b w:val="0"/>
          <w:bCs w:val="0"/>
          <w:color w:val="auto"/>
          <w:sz w:val="32"/>
          <w:szCs w:val="32"/>
          <w:lang w:eastAsia="zh-CN"/>
        </w:rPr>
        <w:t>：</w:t>
      </w:r>
      <w:r>
        <w:rPr>
          <w:rStyle w:val="15"/>
          <w:rFonts w:hint="default" w:ascii="Times New Roman" w:hAnsi="Times New Roman" w:eastAsia="仿宋_GB2312" w:cs="Times New Roman"/>
          <w:b w:val="0"/>
          <w:bCs w:val="0"/>
          <w:color w:val="auto"/>
          <w:sz w:val="32"/>
          <w:szCs w:val="32"/>
          <w:lang w:val="en-US" w:eastAsia="zh-CN"/>
        </w:rPr>
        <w:t>反映按房改政策规定，行政事业单位向符合条件职工（含离退休人员）、军队（含武警）向转役复员离退休人员发放的用于购买住房的补贴。</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3"/>
        </w:numPr>
        <w:spacing w:line="600" w:lineRule="exact"/>
        <w:ind w:left="0" w:leftChars="0" w:firstLine="662" w:firstLineChars="150"/>
        <w:jc w:val="center"/>
        <w:outlineLvl w:val="0"/>
        <w:rPr>
          <w:rStyle w:val="25"/>
          <w:rFonts w:hint="eastAsia" w:ascii="黑体" w:hAnsi="黑体" w:eastAsia="黑体"/>
          <w:b w:val="0"/>
        </w:rPr>
      </w:pPr>
      <w:bookmarkStart w:id="81" w:name="_Toc15377226"/>
      <w:r>
        <w:rPr>
          <w:rFonts w:ascii="宋体"/>
          <w:b/>
          <w:color w:val="000000"/>
          <w:sz w:val="44"/>
          <w:szCs w:val="44"/>
        </w:rPr>
        <w:br w:type="page"/>
      </w:r>
      <w:bookmarkStart w:id="82" w:name="_Toc9733"/>
      <w:bookmarkStart w:id="83" w:name="_Toc11241"/>
      <w:bookmarkStart w:id="84" w:name="_Toc15396614"/>
      <w:r>
        <w:rPr>
          <w:rStyle w:val="25"/>
          <w:rFonts w:hint="eastAsia" w:ascii="黑体" w:hAnsi="黑体" w:eastAsia="黑体"/>
          <w:b w:val="0"/>
        </w:rPr>
        <w:t>附件</w:t>
      </w:r>
      <w:bookmarkEnd w:id="82"/>
      <w:bookmarkEnd w:id="83"/>
      <w:bookmarkEnd w:id="84"/>
    </w:p>
    <w:p>
      <w:pPr>
        <w:pStyle w:val="6"/>
        <w:numPr>
          <w:ilvl w:val="0"/>
          <w:numId w:val="0"/>
        </w:numPr>
        <w:ind w:leftChars="150"/>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方正小标宋简体" w:cs="Times New Roman"/>
          <w:color w:val="auto"/>
          <w:sz w:val="40"/>
          <w:szCs w:val="40"/>
        </w:rPr>
      </w:pPr>
      <w:bookmarkStart w:id="85" w:name="_Toc21928"/>
      <w:bookmarkStart w:id="86" w:name="_Toc23757"/>
      <w:bookmarkStart w:id="87" w:name="_Toc15396618"/>
      <w:r>
        <w:rPr>
          <w:rFonts w:hint="eastAsia" w:eastAsia="方正小标宋简体" w:cs="Times New Roman"/>
          <w:color w:val="auto"/>
          <w:sz w:val="40"/>
          <w:szCs w:val="40"/>
          <w:lang w:val="en-US" w:eastAsia="zh-CN"/>
        </w:rPr>
        <w:t>2020年</w:t>
      </w:r>
      <w:r>
        <w:rPr>
          <w:rFonts w:hint="default" w:ascii="Times New Roman" w:hAnsi="Times New Roman" w:eastAsia="方正小标宋简体" w:cs="Times New Roman"/>
          <w:color w:val="auto"/>
          <w:sz w:val="40"/>
          <w:szCs w:val="40"/>
          <w:lang w:val="en-US" w:eastAsia="zh-CN"/>
        </w:rPr>
        <w:t>古籍出版经费项目支出绩效自评报告</w:t>
      </w:r>
      <w:bookmarkEnd w:id="85"/>
      <w:bookmarkEnd w:id="86"/>
    </w:p>
    <w:p>
      <w:pPr>
        <w:keepLines w:val="0"/>
        <w:adjustRightInd w:val="0"/>
        <w:snapToGrid w:val="0"/>
        <w:spacing w:line="600" w:lineRule="exact"/>
        <w:ind w:firstLine="720"/>
        <w:rPr>
          <w:rFonts w:hint="default" w:ascii="Times New Roman" w:hAnsi="Times New Roman" w:eastAsia="仿宋_GB2312" w:cs="Times New Roman"/>
          <w:color w:val="auto"/>
        </w:rPr>
      </w:pPr>
    </w:p>
    <w:p>
      <w:pPr>
        <w:keepLines w:val="0"/>
        <w:adjustRightInd w:val="0"/>
        <w:snapToGrid w:val="0"/>
        <w:spacing w:line="600" w:lineRule="exact"/>
        <w:ind w:firstLine="72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根据《财政厅关于开展202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rPr>
        <w:t>政策和项目支出绩效评价工作的通知》（川财绩〔202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号）有关要求，为进一步加强和规范专项资金管理，切实提高财政资金使用效益，</w:t>
      </w:r>
      <w:r>
        <w:rPr>
          <w:rFonts w:hint="default" w:ascii="Times New Roman" w:hAnsi="Times New Roman" w:eastAsia="仿宋_GB2312" w:cs="Times New Roman"/>
          <w:color w:val="auto"/>
          <w:sz w:val="32"/>
          <w:szCs w:val="32"/>
          <w:lang w:val="en-US" w:eastAsia="zh-CN"/>
        </w:rPr>
        <w:t>我委对2020年“古籍出版经费”项目开展了</w:t>
      </w:r>
      <w:r>
        <w:rPr>
          <w:rFonts w:hint="default" w:ascii="Times New Roman" w:hAnsi="Times New Roman" w:eastAsia="仿宋_GB2312" w:cs="Times New Roman"/>
          <w:color w:val="auto"/>
          <w:sz w:val="32"/>
          <w:szCs w:val="32"/>
        </w:rPr>
        <w:t>绩效自评</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现将有关情况报告如下：</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default" w:ascii="Times New Roman" w:hAnsi="Times New Roman" w:eastAsia="黑体" w:cs="Times New Roman"/>
          <w:color w:val="auto"/>
          <w:sz w:val="32"/>
          <w:szCs w:val="32"/>
          <w:lang w:eastAsia="zh-CN"/>
        </w:rPr>
      </w:pPr>
      <w:bookmarkStart w:id="88" w:name="_Toc11193"/>
      <w:bookmarkStart w:id="89" w:name="_Toc13724"/>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eastAsia="zh-CN"/>
        </w:rPr>
        <w:t>基本情况</w:t>
      </w:r>
      <w:bookmarkEnd w:id="88"/>
      <w:bookmarkEnd w:id="89"/>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zh-CN"/>
        </w:rPr>
        <w:t>（一）</w:t>
      </w:r>
      <w:r>
        <w:rPr>
          <w:rFonts w:hint="default" w:ascii="Times New Roman" w:hAnsi="Times New Roman" w:eastAsia="仿宋_GB2312" w:cs="Times New Roman"/>
          <w:b/>
          <w:color w:val="auto"/>
          <w:sz w:val="32"/>
          <w:szCs w:val="32"/>
          <w:lang w:val="en-US" w:eastAsia="zh-CN"/>
        </w:rPr>
        <w:t>项目概况</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b/>
          <w:color w:val="auto"/>
          <w:sz w:val="32"/>
          <w:szCs w:val="32"/>
          <w:lang w:val="en-US" w:eastAsia="zh-CN"/>
        </w:rPr>
        <w:t>1.单位</w:t>
      </w:r>
      <w:r>
        <w:rPr>
          <w:rFonts w:hint="default" w:ascii="Times New Roman" w:hAnsi="Times New Roman" w:eastAsia="仿宋_GB2312" w:cs="Times New Roman"/>
          <w:b/>
          <w:color w:val="auto"/>
          <w:sz w:val="32"/>
          <w:szCs w:val="32"/>
          <w:lang w:val="zh-CN"/>
        </w:rPr>
        <w:t>基本情况</w:t>
      </w:r>
    </w:p>
    <w:p>
      <w:pPr>
        <w:keepLines w:val="0"/>
        <w:adjustRightInd w:val="0"/>
        <w:snapToGrid w:val="0"/>
        <w:spacing w:line="600" w:lineRule="exact"/>
        <w:ind w:firstLine="72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四川省少数民族古籍整理办公室</w:t>
      </w:r>
      <w:r>
        <w:rPr>
          <w:rFonts w:hint="default" w:ascii="Times New Roman" w:hAnsi="Times New Roman" w:eastAsia="仿宋_GB2312" w:cs="Times New Roman"/>
          <w:color w:val="auto"/>
          <w:sz w:val="32"/>
          <w:szCs w:val="32"/>
          <w:lang w:val="en-US" w:eastAsia="zh-CN"/>
        </w:rPr>
        <w:t>隶属于四川省民族宗教事务委员会，系参照公务员管理事业单位。主要职能是组织、协调、指导全省少数民族古籍的抢救、搜集、整理、出版和研究工作。2020年末，古籍办参公编制6人，在职人员8人，其中超编2人为军转安置干部人员。</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en-US" w:eastAsia="zh-CN"/>
        </w:rPr>
        <w:t>2.项目设立基本情况</w:t>
      </w:r>
    </w:p>
    <w:p>
      <w:pPr>
        <w:keepLines w:val="0"/>
        <w:adjustRightInd w:val="0"/>
        <w:snapToGrid w:val="0"/>
        <w:spacing w:line="600" w:lineRule="exact"/>
        <w:ind w:firstLine="72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四川民族地区历来具有十分重要的战略地位。是全国第二大藏区、最大的彝族聚居区、唯一的羌族聚居区。肩负着维护民族团结和祖国统一的特殊任务。四川民族地区东通成都平原，北连甘肃、青海，西靠西藏，南邻云南，地处青藏高原东南隅，云贵高原西北缘和四川盆地的过渡地带，是内地通往边疆地区特别是西藏的重要通道，自古就是“民族走廊”，有“稳藏必先安康”的重要战略地位。四川同时又是一个多民族、多语种的大省，少数民族古籍资源十分丰富，是全国民族古籍抢救、整理的重点省份。据不完全统计，现存于四川地区的各类少数民族古籍49万余册（函），其中藏文29万册（函）、彝文19万册（函）、其他少数民族古籍1万余册（函），流散于民间的非物质文化遗产口碑更是难以胜计。数量巨大、种类繁多、内容丰富的少数民族古籍，决定了我省民族古籍工作重要地位，责任和任务繁重。 </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党中央、国务院有关抢救、整理、出版少数民族古籍的指示精神，我省于1984年成立了四川省少数民族古籍整理办公室，行政领导隶属于省民委（现省民族宗教委），专门负责全省少数民族古籍抢救、整理的政策研究、规划制定、组织、协调、指导以及服务工作，并接受国家民委全国少数民族古籍整理研究室的工作指导。工作机构建立后，首先启动和开展了全省少数民族古籍普查实施工作，组织人力、物力、财力，积极开展调查摸底、详细清点、编目整理工作，深度了解和准确把握了本地区少数民族古籍存量、流传和销蚀情况，做到底数清、情况明，为全省少数民族古籍详规制定和形成全省统一的少数民族古籍简目奠定了坚实基础。为切实保障全省少数民族古籍抢救、整理、翻译、录入、排版、校对和出版工作，设立了“古籍出版经费”项目，并作为常年项目予以保留。</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zh-CN" w:eastAsia="zh-CN"/>
        </w:rPr>
        <w:t>（</w:t>
      </w: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b/>
          <w:color w:val="auto"/>
          <w:sz w:val="32"/>
          <w:szCs w:val="32"/>
          <w:lang w:val="zh-CN" w:eastAsia="zh-CN"/>
        </w:rPr>
        <w:t>）项目绩效目标</w:t>
      </w:r>
      <w:r>
        <w:rPr>
          <w:rFonts w:hint="default" w:ascii="Times New Roman" w:hAnsi="Times New Roman" w:eastAsia="仿宋_GB2312" w:cs="Times New Roman"/>
          <w:b/>
          <w:color w:val="auto"/>
          <w:sz w:val="32"/>
          <w:szCs w:val="32"/>
          <w:lang w:val="en-US" w:eastAsia="zh-CN"/>
        </w:rPr>
        <w:t>设置情况</w:t>
      </w:r>
    </w:p>
    <w:p>
      <w:pPr>
        <w:keepLines w:val="0"/>
        <w:spacing w:line="600" w:lineRule="exact"/>
        <w:ind w:firstLine="640" w:firstLineChars="200"/>
        <w:contextualSpacing/>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绩效目标设置的要求，古籍办具体细化量化了三级指标，共计设置绩效目标16项。其中：数量指标6项，用于量化《觉囊派续部海坛城·图集》《藏族古籍经典系列丛书》《凉山彝族古彝语词典》《中国羌族资料选编》《中国南方回族历史人物文史资料补遗》《智者入门广释》的搜集、整理、翻译、录入、排版、校对和出版工作相关情况；质量指标1项，用于衡量分阶段完成6套古籍的搜集、整理、翻译、录入、排版、校对和出版工作的质量；时效指标1项，用于量化全年古籍整理等工作按期完成率；成本指标3项，用于量化完成6套古籍整理等相关工作的劳务费、委托费、其他交通费用的成本；经济效益指标1项，用于衡量资金使用效果；社会效益指标1项，用于衡量分阶段完成民族古籍的搜集、整理、翻译、录入、排版、校对和出版工作产生的社会效益；生态效益指标1项，用于量化古籍出版使用环保纸张的效果；可持续影响指标1项，用于衡量古籍产生的宣传效益；满意度指标1项，用于量化服务对象的满意度水平。</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zh-CN" w:eastAsia="zh-CN"/>
        </w:rPr>
      </w:pPr>
      <w:r>
        <w:rPr>
          <w:rFonts w:hint="default" w:ascii="Times New Roman" w:hAnsi="Times New Roman" w:eastAsia="仿宋_GB2312" w:cs="Times New Roman"/>
          <w:b/>
          <w:color w:val="auto"/>
          <w:sz w:val="32"/>
          <w:szCs w:val="32"/>
          <w:lang w:val="zh-CN" w:eastAsia="zh-CN"/>
        </w:rPr>
        <w:t>（</w:t>
      </w:r>
      <w:r>
        <w:rPr>
          <w:rFonts w:hint="default" w:ascii="Times New Roman" w:hAnsi="Times New Roman" w:eastAsia="仿宋_GB2312" w:cs="Times New Roman"/>
          <w:b/>
          <w:color w:val="auto"/>
          <w:sz w:val="32"/>
          <w:szCs w:val="32"/>
          <w:lang w:val="en-US" w:eastAsia="zh-CN"/>
        </w:rPr>
        <w:t>三</w:t>
      </w:r>
      <w:r>
        <w:rPr>
          <w:rFonts w:hint="default" w:ascii="Times New Roman" w:hAnsi="Times New Roman" w:eastAsia="仿宋_GB2312" w:cs="Times New Roman"/>
          <w:b/>
          <w:color w:val="auto"/>
          <w:sz w:val="32"/>
          <w:szCs w:val="32"/>
          <w:lang w:val="zh-CN" w:eastAsia="zh-CN"/>
        </w:rPr>
        <w:t>）资金投入</w:t>
      </w:r>
      <w:r>
        <w:rPr>
          <w:rFonts w:hint="default" w:ascii="Times New Roman" w:hAnsi="Times New Roman" w:eastAsia="仿宋_GB2312" w:cs="Times New Roman"/>
          <w:b/>
          <w:color w:val="auto"/>
          <w:sz w:val="32"/>
          <w:szCs w:val="32"/>
          <w:lang w:val="en-US" w:eastAsia="zh-CN"/>
        </w:rPr>
        <w:t>及项目实施</w:t>
      </w:r>
      <w:r>
        <w:rPr>
          <w:rFonts w:hint="default" w:ascii="Times New Roman" w:hAnsi="Times New Roman" w:eastAsia="仿宋_GB2312" w:cs="Times New Roman"/>
          <w:b/>
          <w:color w:val="auto"/>
          <w:sz w:val="32"/>
          <w:szCs w:val="32"/>
          <w:lang w:val="zh-CN" w:eastAsia="zh-CN"/>
        </w:rPr>
        <w:t>情况</w:t>
      </w:r>
    </w:p>
    <w:p>
      <w:pPr>
        <w:keepLines w:val="0"/>
        <w:spacing w:line="600" w:lineRule="exact"/>
        <w:ind w:firstLine="640" w:firstLineChars="200"/>
        <w:contextualSpacing/>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“古籍办古籍出版经费”项目总预算120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其中：劳务费35万元，委托业务费80万元，办公经费5万元。根据项目预算绩效管理要求，古籍办</w:t>
      </w:r>
      <w:r>
        <w:rPr>
          <w:rFonts w:hint="default" w:ascii="Times New Roman" w:hAnsi="Times New Roman" w:eastAsia="仿宋_GB2312" w:cs="Times New Roman"/>
          <w:color w:val="auto"/>
          <w:sz w:val="32"/>
          <w:szCs w:val="32"/>
        </w:rPr>
        <w:t>负责项目资金管理和具体实施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项目资金的主要用途为：</w:t>
      </w:r>
      <w:r>
        <w:rPr>
          <w:rFonts w:hint="default" w:ascii="Times New Roman" w:hAnsi="Times New Roman" w:eastAsia="仿宋_GB2312" w:cs="Times New Roman"/>
          <w:color w:val="auto"/>
          <w:sz w:val="32"/>
          <w:szCs w:val="32"/>
          <w:lang w:val="en-US" w:eastAsia="zh-CN"/>
        </w:rPr>
        <w:t>一是保障《藏族古籍经典系列丛书》《凉山彝族古彝语词典》《中国羌族资料选编》《中国南方回族历史人物文史资料补遗》当年的搜集、整理、翻译、录入、排版、校对和出版工作的完成；二是保障古籍办古籍整理，按时发放和缴纳聘用人员的工资及社会保险，按期发放审定费等；三是保障古籍项目搜集、整理的其他工作。</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720" w:firstLine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全年，项目支出共计103万元，预算执行率为85.83%。</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bookmarkStart w:id="90" w:name="_Toc22699"/>
      <w:bookmarkStart w:id="91" w:name="_Toc4490"/>
      <w:r>
        <w:rPr>
          <w:rFonts w:hint="default" w:ascii="Times New Roman" w:hAnsi="Times New Roman" w:eastAsia="黑体" w:cs="Times New Roman"/>
          <w:color w:val="auto"/>
          <w:sz w:val="32"/>
          <w:szCs w:val="32"/>
          <w:lang w:eastAsia="zh-CN"/>
        </w:rPr>
        <w:t>二、评价工作开展情况</w:t>
      </w:r>
      <w:bookmarkEnd w:id="90"/>
      <w:bookmarkEnd w:id="91"/>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zh-CN" w:eastAsia="zh-CN"/>
        </w:rPr>
        <w:t>（一）评价组织情况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本次绩效评价按照前期准备、</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自评、</w:t>
      </w:r>
      <w:r>
        <w:rPr>
          <w:rFonts w:hint="default" w:ascii="Times New Roman" w:hAnsi="Times New Roman" w:eastAsia="仿宋_GB2312" w:cs="Times New Roman"/>
          <w:color w:val="auto"/>
          <w:sz w:val="32"/>
          <w:szCs w:val="32"/>
          <w:lang w:val="en-US" w:eastAsia="zh-CN"/>
        </w:rPr>
        <w:t>部门复评、</w:t>
      </w:r>
      <w:r>
        <w:rPr>
          <w:rFonts w:hint="default" w:ascii="Times New Roman" w:hAnsi="Times New Roman" w:eastAsia="仿宋_GB2312" w:cs="Times New Roman"/>
          <w:color w:val="auto"/>
          <w:sz w:val="32"/>
          <w:szCs w:val="32"/>
        </w:rPr>
        <w:t>报告撰写</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个阶段，组织实施项目绩效评价工作。</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zh-CN" w:eastAsia="zh-CN"/>
        </w:rPr>
        <w:t>（二）评价指标体系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color w:val="auto"/>
          <w:sz w:val="32"/>
          <w:szCs w:val="32"/>
          <w:lang w:val="zh-CN" w:eastAsia="zh-CN"/>
        </w:rPr>
      </w:pPr>
      <w:r>
        <w:rPr>
          <w:rFonts w:hint="default" w:ascii="Times New Roman" w:hAnsi="Times New Roman" w:eastAsia="仿宋_GB2312" w:cs="Times New Roman"/>
          <w:color w:val="auto"/>
          <w:sz w:val="32"/>
          <w:szCs w:val="32"/>
          <w:lang w:val="en-US" w:eastAsia="zh-CN"/>
        </w:rPr>
        <w:t>根据绩效评价工作部署要求，省民族宗教委细化制定了《省民族宗教委2021年度部门预算项目支出绩效评价指标体系》，重点对部门预算管理、绩效结果运用及自评质量进行考核。重点对单位预算编制、预算执行、完成结果、整改反馈及自评质量进行定量和定性评价。具体涉及目标制定、目标实现、编制准确、支出控制、动态调整、执行进度、预算完成、违规记录、结果整改、应用反馈、自评准确等指标。</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zh-CN" w:eastAsia="zh-CN"/>
        </w:rPr>
        <w:t>（三）评价方法和评价标准等内容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整理汇总出刊情况</w:t>
      </w:r>
      <w:r>
        <w:rPr>
          <w:rFonts w:hint="default" w:ascii="Times New Roman" w:hAnsi="Times New Roman" w:eastAsia="仿宋_GB2312" w:cs="Times New Roman"/>
          <w:color w:val="auto"/>
          <w:sz w:val="32"/>
          <w:szCs w:val="32"/>
        </w:rPr>
        <w:t>资料、</w:t>
      </w:r>
      <w:r>
        <w:rPr>
          <w:rFonts w:hint="default" w:ascii="Times New Roman" w:hAnsi="Times New Roman" w:eastAsia="仿宋_GB2312" w:cs="Times New Roman"/>
          <w:color w:val="auto"/>
          <w:sz w:val="32"/>
          <w:szCs w:val="32"/>
          <w:lang w:eastAsia="zh-CN"/>
        </w:rPr>
        <w:t>明确</w:t>
      </w:r>
      <w:r>
        <w:rPr>
          <w:rFonts w:hint="default" w:ascii="Times New Roman" w:hAnsi="Times New Roman" w:eastAsia="仿宋_GB2312" w:cs="Times New Roman"/>
          <w:color w:val="auto"/>
          <w:sz w:val="32"/>
          <w:szCs w:val="32"/>
        </w:rPr>
        <w:t>评价指标及评价标准的基础上，查看</w:t>
      </w:r>
      <w:r>
        <w:rPr>
          <w:rFonts w:hint="default" w:ascii="Times New Roman" w:hAnsi="Times New Roman" w:eastAsia="仿宋_GB2312" w:cs="Times New Roman"/>
          <w:color w:val="auto"/>
          <w:sz w:val="32"/>
          <w:szCs w:val="32"/>
          <w:lang w:eastAsia="zh-CN"/>
        </w:rPr>
        <w:t>资金</w:t>
      </w:r>
      <w:r>
        <w:rPr>
          <w:rFonts w:hint="default" w:ascii="Times New Roman" w:hAnsi="Times New Roman" w:eastAsia="仿宋_GB2312" w:cs="Times New Roman"/>
          <w:color w:val="auto"/>
          <w:sz w:val="32"/>
          <w:szCs w:val="32"/>
        </w:rPr>
        <w:t>实施及运行情况，收集相关数据资料，通过汇总整理，通过定量和定性分析，形成评价结论并形成绩效评价自评报告。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bookmarkStart w:id="92" w:name="_Toc22324"/>
      <w:bookmarkStart w:id="93" w:name="_Toc9015"/>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综合</w:t>
      </w:r>
      <w:r>
        <w:rPr>
          <w:rFonts w:hint="default" w:ascii="Times New Roman" w:hAnsi="Times New Roman" w:eastAsia="黑体" w:cs="Times New Roman"/>
          <w:color w:val="auto"/>
          <w:sz w:val="32"/>
          <w:szCs w:val="32"/>
        </w:rPr>
        <w:t>评价结论</w:t>
      </w:r>
      <w:r>
        <w:rPr>
          <w:rFonts w:hint="default" w:ascii="Times New Roman" w:hAnsi="Times New Roman" w:eastAsia="黑体" w:cs="Times New Roman"/>
          <w:color w:val="auto"/>
          <w:sz w:val="32"/>
          <w:szCs w:val="32"/>
          <w:lang w:eastAsia="zh-CN"/>
        </w:rPr>
        <w:t>（附评分表）</w:t>
      </w:r>
      <w:bookmarkEnd w:id="92"/>
      <w:bookmarkEnd w:id="93"/>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按照《省民族宗教委2021年度部门预算项目支出绩效评价指标体系》，单位自评得分71.32分，部门考核自评质量得分10分，总计得分为81.32分。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扣分原因说明：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目标实现：因《智者入门广释》目前达不到古籍公开出版体例标准，书稿应附古籍原书影印版；《觉囊派续部海坛城仪轨·图集》稿件内容不符合当前古籍整理工作标准，于9月暂停这两个项目搜集、整理工作，按评分要求扣5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2.动态调整：年终结余注销数为17万元，超过预算数10%，扣10分。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3.执行进度：因古籍达不到公开出版体例标准、稿件内容不符合当前古籍整理工作标准等因素原定的《觉囊派续部海坛城·图集》《智者入门广释》于9月起暂停项目搜集、整理工作，扣2.26分。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4.预算完成：2020古籍出版经费</w:t>
      </w:r>
      <w:r>
        <w:rPr>
          <w:rFonts w:hint="default" w:ascii="Times New Roman" w:hAnsi="Times New Roman" w:eastAsia="仿宋_GB2312" w:cs="Times New Roman"/>
          <w:b w:val="0"/>
          <w:bCs w:val="0"/>
          <w:color w:val="auto"/>
          <w:sz w:val="32"/>
          <w:szCs w:val="32"/>
          <w:lang w:val="en-US" w:eastAsia="zh-CN"/>
        </w:rPr>
        <w:t>预算120万元，当年实际完成103万元，按预算完成评分</w:t>
      </w:r>
      <w:r>
        <w:rPr>
          <w:rFonts w:hint="default" w:ascii="Times New Roman" w:hAnsi="Times New Roman" w:eastAsia="仿宋_GB2312" w:cs="Times New Roman"/>
          <w:color w:val="auto"/>
          <w:sz w:val="32"/>
          <w:szCs w:val="32"/>
          <w:lang w:val="en-US" w:eastAsia="zh-CN"/>
        </w:rPr>
        <w:t>标准扣分1.42分。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b w:val="0"/>
          <w:bCs/>
          <w:color w:val="auto"/>
          <w:sz w:val="32"/>
          <w:szCs w:val="32"/>
          <w:lang w:eastAsia="zh-CN"/>
        </w:rPr>
      </w:pPr>
      <w:bookmarkStart w:id="94" w:name="_Toc29501"/>
      <w:bookmarkStart w:id="95" w:name="_Toc5099"/>
      <w:r>
        <w:rPr>
          <w:rFonts w:hint="default" w:ascii="Times New Roman" w:hAnsi="Times New Roman" w:eastAsia="黑体" w:cs="Times New Roman"/>
          <w:b w:val="0"/>
          <w:bCs/>
          <w:color w:val="auto"/>
          <w:sz w:val="32"/>
          <w:szCs w:val="32"/>
          <w:lang w:eastAsia="zh-CN"/>
        </w:rPr>
        <w:t>四、绩效评价分析</w:t>
      </w:r>
      <w:bookmarkEnd w:id="94"/>
      <w:bookmarkEnd w:id="95"/>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（一）项目决策情况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1.决策依据充分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2019年在广州召开的南方回族古籍整理第十六次协作会和南方回族古籍丛书编委会的工作任务要求，省古籍办作为成员单位，承担《中国南方回族历史人物资料补遗》（四川和重庆部分）稿件编纂工作；根据《四川省民族宗教事务委员会关于印发全省少数民族古籍重点项目出版规划（2016——2020年）的通知》（川民宗委〔2016〕116号）文件要求，进行《藏族古籍经典系列丛书》《凉山彝族古彝语词典》《中国羌族资料选编》《智者入门广释》《觉囊派续部海坛城仪轨·图集》的搜集、整理、翻译、录入、排版、校对和出版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2.决策程序严谨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召开办务会决定项目初稿，报委领导或委党组决定项目定稿并按照预算编制要求，于年初预算编制时，填报了《部门预算项目立项审核表》，报经委计财处审定。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3.成本核算科学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lang w:val="en-US" w:eastAsia="zh-CN"/>
        </w:rPr>
        <w:t>相关经费预算，严格按照相关业务成本进行测算，坚持“厉行节约”，确保财政资金使用绩效。</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（二）项目管理情况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lang w:val="en-US" w:eastAsia="zh-CN"/>
        </w:rPr>
        <w:t>项目支出均按照有关规章制度和项目实施完成情况进行支付。专项经费使用由办公室为主管理，各部门协助，严格按照委相关财务管理制度执行，并按要求完善记录，确保专款专用。</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firstLine="642"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项目产出情况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有效保障了编外职工的工资</w:t>
      </w:r>
      <w:r>
        <w:rPr>
          <w:rFonts w:hint="default" w:ascii="Times New Roman" w:hAnsi="Times New Roman" w:eastAsia="仿宋_GB2312" w:cs="Times New Roman"/>
          <w:color w:val="auto"/>
          <w:sz w:val="32"/>
          <w:szCs w:val="32"/>
          <w:lang w:val="en-US" w:eastAsia="zh-CN"/>
        </w:rPr>
        <w:t>发放</w:t>
      </w:r>
      <w:r>
        <w:rPr>
          <w:rFonts w:hint="default" w:ascii="Times New Roman" w:hAnsi="Times New Roman" w:eastAsia="仿宋_GB2312" w:cs="Times New Roman"/>
          <w:color w:val="auto"/>
          <w:sz w:val="32"/>
          <w:szCs w:val="32"/>
          <w:lang w:eastAsia="zh-CN"/>
        </w:rPr>
        <w:t>及社会保险缴纳</w:t>
      </w:r>
      <w:r>
        <w:rPr>
          <w:rFonts w:hint="default" w:ascii="Times New Roman" w:hAnsi="Times New Roman" w:eastAsia="仿宋_GB2312" w:cs="Times New Roman"/>
          <w:color w:val="auto"/>
          <w:sz w:val="32"/>
          <w:szCs w:val="32"/>
          <w:lang w:val="en-US" w:eastAsia="zh-CN"/>
        </w:rPr>
        <w:t>、古籍整理的评定费、古籍调研的租车费等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按时按量完成了《藏族古籍经典系列丛书》《凉山彝族古彝语词典》《中国羌族资料选编》《中国南方回族历史人物文史资料补遗》当年的搜集、整理、翻译、录入、排版、校对和出版工作。</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left="0" w:leftChars="0" w:firstLine="642"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项目效益情况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顺利完成了《中国羌族资料汇编》项目启动会筹备、举办等工作，围绕少数民族古籍助力铸牢中华民族共同体意识工作，起草撰写简报《&lt;中国羌族资料汇编&gt;搜集整理工作正式启动》，先后被《民族》杂志、委系统官网、省委统战部、中央统战部采用。截止目前，已指导课题组搜集整理历史类资料150余万字。并完成少数民族书库整理和</w:t>
      </w:r>
      <w:r>
        <w:rPr>
          <w:rFonts w:hint="eastAsia" w:eastAsia="仿宋_GB2312" w:cs="Times New Roman"/>
          <w:b w:val="0"/>
          <w:bCs/>
          <w:color w:val="auto"/>
          <w:sz w:val="32"/>
          <w:szCs w:val="32"/>
          <w:lang w:val="en-US" w:eastAsia="zh-CN"/>
        </w:rPr>
        <w:t>送</w:t>
      </w:r>
      <w:r>
        <w:rPr>
          <w:rFonts w:hint="default" w:ascii="Times New Roman" w:hAnsi="Times New Roman" w:eastAsia="仿宋_GB2312" w:cs="Times New Roman"/>
          <w:b w:val="0"/>
          <w:bCs/>
          <w:color w:val="auto"/>
          <w:sz w:val="32"/>
          <w:szCs w:val="32"/>
          <w:lang w:val="en-US" w:eastAsia="zh-CN"/>
        </w:rPr>
        <w:t>古籍图书下基层的相关事宜，得到省委统战部主要领导和委领导肯定性批示。</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藏族古籍经典系列丛书》之三《小五明文献分类集成》项目自2017年启动搜集整理工作，2020年，完成该书全部的搜集、整理、对勘、录入、校对和编辑工作，共计4800万字，193册。于2020年4月完成《小五明文献分类集成》出版任务，8月完成印刷工作。</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3.《中国南方回族历史人物文史资料补遗》完成四川部分和重庆部分的编纂，已交广西古籍办总稿。</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4.《凉山彝族古彝语词典》已完成2003条词条搜集整理验收。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bookmarkStart w:id="96" w:name="_Toc18611"/>
      <w:bookmarkStart w:id="97" w:name="_Toc9860"/>
      <w:r>
        <w:rPr>
          <w:rFonts w:hint="default" w:ascii="Times New Roman" w:hAnsi="Times New Roman" w:eastAsia="黑体" w:cs="Times New Roman"/>
          <w:color w:val="auto"/>
          <w:sz w:val="32"/>
          <w:szCs w:val="32"/>
        </w:rPr>
        <w:t>五、存在主要问题</w:t>
      </w:r>
      <w:bookmarkEnd w:id="96"/>
      <w:bookmarkEnd w:id="97"/>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因《智者入门广释》目前达不到古籍公开出版体例标准，书稿应附古籍原书影印版的原因；《觉囊派续部海坛城仪轨·图集》稿件内容不符合当前古籍整理工作标准，造成项目预期目标未完成，年终项目经费结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bookmarkStart w:id="98" w:name="_Toc32621"/>
      <w:bookmarkStart w:id="99" w:name="_Toc14762"/>
      <w:r>
        <w:rPr>
          <w:rFonts w:hint="default" w:ascii="Times New Roman" w:hAnsi="Times New Roman" w:eastAsia="黑体" w:cs="Times New Roman"/>
          <w:color w:val="auto"/>
          <w:sz w:val="32"/>
          <w:szCs w:val="32"/>
        </w:rPr>
        <w:t>六、相关措施建议</w:t>
      </w:r>
      <w:bookmarkEnd w:id="98"/>
      <w:bookmarkEnd w:id="99"/>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一是提高预算编制的精准性。进一步细化量化古籍出版经费，更加精确把控项目的可行性，将项目的实施和预算与国家大政方针</w:t>
      </w:r>
      <w:r>
        <w:rPr>
          <w:rFonts w:hint="eastAsia" w:eastAsia="仿宋_GB2312" w:cs="Times New Roman"/>
          <w:color w:val="auto"/>
          <w:sz w:val="32"/>
          <w:szCs w:val="32"/>
          <w:lang w:val="en-US" w:eastAsia="zh-CN"/>
        </w:rPr>
        <w:t>和重大战略</w:t>
      </w:r>
      <w:r>
        <w:rPr>
          <w:rFonts w:hint="default" w:ascii="Times New Roman" w:hAnsi="Times New Roman" w:eastAsia="仿宋_GB2312" w:cs="Times New Roman"/>
          <w:color w:val="auto"/>
          <w:sz w:val="32"/>
          <w:szCs w:val="32"/>
          <w:lang w:val="en-US" w:eastAsia="zh-CN"/>
        </w:rPr>
        <w:t>有机结合，严格遵守《中华人民共和国预算法》。合理测算预算，确保预算刚性约束。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二是加强执行中的动态监控。在预算执行过程中加强对预算及绩效的“双监控”。按照财政有关要求，动态调整预算，提高预算执行率，切实发挥财政资金的使用绩效。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cs="Times New Roman"/>
          <w:color w:val="auto"/>
          <w:szCs w:val="21"/>
          <w:lang w:val="en-US" w:eastAsia="zh-CN"/>
        </w:rPr>
      </w:pPr>
      <w:r>
        <w:rPr>
          <w:rFonts w:hint="default" w:ascii="Times New Roman" w:hAnsi="Times New Roman" w:eastAsia="仿宋_GB2312" w:cs="Times New Roman"/>
          <w:color w:val="auto"/>
          <w:sz w:val="32"/>
          <w:szCs w:val="32"/>
          <w:lang w:val="en-US" w:eastAsia="zh-CN"/>
        </w:rPr>
        <w:t>三是严格预算安排与绩效挂钩。2021年年初预算编制时，已将2020年度预算执行进度和绩效目标实现情况纳入预算安排挂钩，适当减少该项目的2021年预算安排数。</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rPr>
          <w:rFonts w:hint="eastAsia" w:ascii="黑体" w:hAnsi="黑体" w:eastAsia="黑体"/>
          <w:color w:val="000000"/>
          <w:sz w:val="44"/>
          <w:szCs w:val="44"/>
        </w:rPr>
      </w:pPr>
    </w:p>
    <w:p>
      <w:pPr>
        <w:rPr>
          <w:rFonts w:hint="eastAsia"/>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仿宋" w:hAnsi="仿宋" w:eastAsia="仿宋"/>
          <w:b w:val="0"/>
          <w:color w:val="000000"/>
        </w:rPr>
      </w:pPr>
      <w:bookmarkStart w:id="100" w:name="_Toc3308"/>
      <w:bookmarkStart w:id="101" w:name="_Toc16833"/>
      <w:r>
        <w:rPr>
          <w:rFonts w:hint="eastAsia" w:ascii="黑体" w:hAnsi="黑体" w:eastAsia="黑体"/>
          <w:color w:val="000000"/>
          <w:sz w:val="44"/>
          <w:szCs w:val="44"/>
        </w:rPr>
        <w:t>第</w:t>
      </w:r>
      <w:r>
        <w:rPr>
          <w:rStyle w:val="25"/>
          <w:rFonts w:hint="eastAsia" w:ascii="黑体" w:hAnsi="黑体" w:eastAsia="黑体"/>
          <w:b w:val="0"/>
        </w:rPr>
        <w:t>五部分 附表</w:t>
      </w:r>
      <w:bookmarkEnd w:id="81"/>
      <w:bookmarkEnd w:id="87"/>
      <w:bookmarkEnd w:id="100"/>
      <w:bookmarkEnd w:id="101"/>
      <w:bookmarkStart w:id="102" w:name="_Toc15396619"/>
    </w:p>
    <w:p>
      <w:pPr>
        <w:pStyle w:val="4"/>
        <w:rPr>
          <w:rFonts w:hint="eastAsia" w:ascii="仿宋_GB2312" w:hAnsi="仿宋_GB2312" w:eastAsia="仿宋_GB2312" w:cs="仿宋_GB2312"/>
          <w:color w:val="000000"/>
        </w:rPr>
      </w:pPr>
      <w:bookmarkStart w:id="103" w:name="_Toc29222"/>
      <w:bookmarkStart w:id="104" w:name="_Toc22029"/>
      <w:r>
        <w:rPr>
          <w:rFonts w:hint="eastAsia" w:ascii="仿宋_GB2312" w:hAnsi="仿宋_GB2312" w:eastAsia="仿宋_GB2312" w:cs="仿宋_GB2312"/>
          <w:b w:val="0"/>
          <w:color w:val="000000"/>
        </w:rPr>
        <w:t>一、收</w:t>
      </w:r>
      <w:r>
        <w:rPr>
          <w:rStyle w:val="26"/>
          <w:rFonts w:hint="eastAsia" w:ascii="仿宋_GB2312" w:hAnsi="仿宋_GB2312" w:eastAsia="仿宋_GB2312" w:cs="仿宋_GB2312"/>
          <w:b w:val="0"/>
          <w:bCs w:val="0"/>
        </w:rPr>
        <w:t>入支出决算总表</w:t>
      </w:r>
      <w:bookmarkEnd w:id="102"/>
      <w:bookmarkEnd w:id="103"/>
      <w:bookmarkEnd w:id="104"/>
    </w:p>
    <w:p>
      <w:pPr>
        <w:pStyle w:val="4"/>
        <w:rPr>
          <w:rFonts w:hint="eastAsia" w:ascii="仿宋_GB2312" w:hAnsi="仿宋_GB2312" w:eastAsia="仿宋_GB2312" w:cs="仿宋_GB2312"/>
          <w:color w:val="000000"/>
        </w:rPr>
      </w:pPr>
      <w:bookmarkStart w:id="105" w:name="_Toc28969"/>
      <w:bookmarkStart w:id="106" w:name="_Toc15396620"/>
      <w:bookmarkStart w:id="107" w:name="_Toc5"/>
      <w:r>
        <w:rPr>
          <w:rFonts w:hint="eastAsia" w:ascii="仿宋_GB2312" w:hAnsi="仿宋_GB2312" w:eastAsia="仿宋_GB2312" w:cs="仿宋_GB2312"/>
          <w:b w:val="0"/>
          <w:color w:val="000000"/>
        </w:rPr>
        <w:t>二、收</w:t>
      </w:r>
      <w:r>
        <w:rPr>
          <w:rStyle w:val="26"/>
          <w:rFonts w:hint="eastAsia" w:ascii="仿宋_GB2312" w:hAnsi="仿宋_GB2312" w:eastAsia="仿宋_GB2312" w:cs="仿宋_GB2312"/>
          <w:b w:val="0"/>
          <w:bCs w:val="0"/>
        </w:rPr>
        <w:t>入决算表</w:t>
      </w:r>
      <w:bookmarkEnd w:id="105"/>
      <w:bookmarkEnd w:id="106"/>
      <w:bookmarkEnd w:id="107"/>
    </w:p>
    <w:p>
      <w:pPr>
        <w:pStyle w:val="4"/>
        <w:rPr>
          <w:rFonts w:hint="eastAsia" w:ascii="仿宋_GB2312" w:hAnsi="仿宋_GB2312" w:eastAsia="仿宋_GB2312" w:cs="仿宋_GB2312"/>
          <w:color w:val="000000"/>
        </w:rPr>
      </w:pPr>
      <w:bookmarkStart w:id="108" w:name="_Toc9078"/>
      <w:bookmarkStart w:id="109" w:name="_Toc15396621"/>
      <w:bookmarkStart w:id="110" w:name="_Toc17658"/>
      <w:r>
        <w:rPr>
          <w:rStyle w:val="26"/>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26"/>
          <w:rFonts w:hint="eastAsia" w:ascii="仿宋_GB2312" w:hAnsi="仿宋_GB2312" w:eastAsia="仿宋_GB2312" w:cs="仿宋_GB2312"/>
          <w:b w:val="0"/>
          <w:bCs w:val="0"/>
        </w:rPr>
        <w:t>出决算表</w:t>
      </w:r>
      <w:bookmarkEnd w:id="108"/>
      <w:bookmarkEnd w:id="109"/>
      <w:bookmarkEnd w:id="110"/>
    </w:p>
    <w:p>
      <w:pPr>
        <w:pStyle w:val="4"/>
        <w:rPr>
          <w:rFonts w:hint="eastAsia" w:ascii="仿宋_GB2312" w:hAnsi="仿宋_GB2312" w:eastAsia="仿宋_GB2312" w:cs="仿宋_GB2312"/>
          <w:b w:val="0"/>
          <w:color w:val="000000"/>
        </w:rPr>
      </w:pPr>
      <w:bookmarkStart w:id="111" w:name="_Toc15396622"/>
      <w:bookmarkStart w:id="112" w:name="_Toc4932"/>
      <w:bookmarkStart w:id="113" w:name="_Toc44"/>
      <w:r>
        <w:rPr>
          <w:rStyle w:val="26"/>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26"/>
          <w:rFonts w:hint="eastAsia" w:ascii="仿宋_GB2312" w:hAnsi="仿宋_GB2312" w:eastAsia="仿宋_GB2312" w:cs="仿宋_GB2312"/>
          <w:b w:val="0"/>
          <w:bCs w:val="0"/>
        </w:rPr>
        <w:t>政拨款收入支出决算总表</w:t>
      </w:r>
      <w:bookmarkEnd w:id="111"/>
      <w:bookmarkEnd w:id="112"/>
      <w:bookmarkEnd w:id="113"/>
    </w:p>
    <w:p>
      <w:pPr>
        <w:pStyle w:val="4"/>
        <w:rPr>
          <w:rStyle w:val="26"/>
          <w:rFonts w:hint="eastAsia" w:ascii="仿宋_GB2312" w:hAnsi="仿宋_GB2312" w:eastAsia="仿宋_GB2312" w:cs="仿宋_GB2312"/>
          <w:b w:val="0"/>
          <w:bCs w:val="0"/>
        </w:rPr>
      </w:pPr>
      <w:bookmarkStart w:id="114" w:name="_Toc15075"/>
      <w:bookmarkStart w:id="115" w:name="_Toc28434"/>
      <w:bookmarkStart w:id="116" w:name="_Toc15396623"/>
      <w:r>
        <w:rPr>
          <w:rStyle w:val="26"/>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26"/>
          <w:rFonts w:hint="eastAsia" w:ascii="仿宋_GB2312" w:hAnsi="仿宋_GB2312" w:eastAsia="仿宋_GB2312" w:cs="仿宋_GB2312"/>
          <w:b w:val="0"/>
          <w:bCs w:val="0"/>
        </w:rPr>
        <w:t>政拨款支出决算明细表</w:t>
      </w:r>
      <w:bookmarkEnd w:id="114"/>
      <w:bookmarkEnd w:id="115"/>
      <w:bookmarkEnd w:id="116"/>
      <w:bookmarkStart w:id="117" w:name="_Toc15396624"/>
    </w:p>
    <w:p>
      <w:pPr>
        <w:pStyle w:val="4"/>
        <w:rPr>
          <w:rFonts w:hint="eastAsia" w:ascii="仿宋_GB2312" w:hAnsi="仿宋_GB2312" w:eastAsia="仿宋_GB2312" w:cs="仿宋_GB2312"/>
          <w:color w:val="000000"/>
        </w:rPr>
      </w:pPr>
      <w:bookmarkStart w:id="118" w:name="_Toc3743"/>
      <w:bookmarkStart w:id="119" w:name="_Toc13209"/>
      <w:r>
        <w:rPr>
          <w:rStyle w:val="26"/>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般公共预算财政拨款支出决算表</w:t>
      </w:r>
      <w:bookmarkEnd w:id="117"/>
      <w:bookmarkEnd w:id="118"/>
      <w:bookmarkEnd w:id="119"/>
    </w:p>
    <w:p>
      <w:pPr>
        <w:pStyle w:val="4"/>
        <w:rPr>
          <w:rFonts w:hint="eastAsia" w:ascii="仿宋_GB2312" w:hAnsi="仿宋_GB2312" w:eastAsia="仿宋_GB2312" w:cs="仿宋_GB2312"/>
          <w:color w:val="000000"/>
        </w:rPr>
      </w:pPr>
      <w:bookmarkStart w:id="120" w:name="_Toc6729"/>
      <w:bookmarkStart w:id="121" w:name="_Toc25748"/>
      <w:bookmarkStart w:id="122" w:name="_Toc15396625"/>
      <w:r>
        <w:rPr>
          <w:rStyle w:val="26"/>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般公共预算财政拨款支出决算明细表</w:t>
      </w:r>
      <w:bookmarkEnd w:id="120"/>
      <w:bookmarkEnd w:id="121"/>
      <w:bookmarkEnd w:id="122"/>
    </w:p>
    <w:p>
      <w:pPr>
        <w:pStyle w:val="4"/>
        <w:rPr>
          <w:rFonts w:hint="eastAsia" w:ascii="仿宋_GB2312" w:hAnsi="仿宋_GB2312" w:eastAsia="仿宋_GB2312" w:cs="仿宋_GB2312"/>
          <w:color w:val="000000"/>
        </w:rPr>
      </w:pPr>
      <w:bookmarkStart w:id="123" w:name="_Toc7273"/>
      <w:bookmarkStart w:id="124" w:name="_Toc15396626"/>
      <w:bookmarkStart w:id="125" w:name="_Toc20893"/>
      <w:r>
        <w:rPr>
          <w:rStyle w:val="26"/>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般公共预算财政拨款基本支出决算表</w:t>
      </w:r>
      <w:bookmarkEnd w:id="123"/>
      <w:bookmarkEnd w:id="124"/>
      <w:bookmarkEnd w:id="125"/>
    </w:p>
    <w:p>
      <w:pPr>
        <w:pStyle w:val="4"/>
        <w:rPr>
          <w:rFonts w:hint="eastAsia" w:ascii="仿宋_GB2312" w:hAnsi="仿宋_GB2312" w:eastAsia="仿宋_GB2312" w:cs="仿宋_GB2312"/>
          <w:color w:val="000000"/>
        </w:rPr>
      </w:pPr>
      <w:bookmarkStart w:id="126" w:name="_Toc4329"/>
      <w:bookmarkStart w:id="127" w:name="_Toc15396627"/>
      <w:bookmarkStart w:id="128" w:name="_Toc63"/>
      <w:r>
        <w:rPr>
          <w:rStyle w:val="26"/>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般公共预算财政拨款项目支出决算表</w:t>
      </w:r>
      <w:bookmarkEnd w:id="126"/>
      <w:bookmarkEnd w:id="127"/>
      <w:bookmarkEnd w:id="128"/>
    </w:p>
    <w:p>
      <w:pPr>
        <w:pStyle w:val="4"/>
        <w:rPr>
          <w:rFonts w:hint="eastAsia" w:ascii="仿宋_GB2312" w:hAnsi="仿宋_GB2312" w:eastAsia="仿宋_GB2312" w:cs="仿宋_GB2312"/>
          <w:color w:val="000000"/>
        </w:rPr>
      </w:pPr>
      <w:bookmarkStart w:id="129" w:name="_Toc18794"/>
      <w:bookmarkStart w:id="130" w:name="_Toc15396628"/>
      <w:bookmarkStart w:id="131" w:name="_Toc27872"/>
      <w:r>
        <w:rPr>
          <w:rStyle w:val="26"/>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般公共预算财政拨款“三公”经费支出决算表</w:t>
      </w:r>
      <w:bookmarkEnd w:id="129"/>
      <w:bookmarkEnd w:id="130"/>
      <w:bookmarkEnd w:id="131"/>
    </w:p>
    <w:p>
      <w:pPr>
        <w:pStyle w:val="4"/>
        <w:rPr>
          <w:rFonts w:hint="eastAsia" w:ascii="仿宋_GB2312" w:hAnsi="仿宋_GB2312" w:eastAsia="仿宋_GB2312" w:cs="仿宋_GB2312"/>
          <w:color w:val="000000"/>
        </w:rPr>
      </w:pPr>
      <w:bookmarkStart w:id="132" w:name="_Toc15396629"/>
      <w:bookmarkStart w:id="133" w:name="_Toc28248"/>
      <w:bookmarkStart w:id="134" w:name="_Toc3023"/>
      <w:r>
        <w:rPr>
          <w:rStyle w:val="26"/>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26"/>
          <w:rFonts w:hint="eastAsia" w:ascii="仿宋_GB2312" w:hAnsi="仿宋_GB2312" w:eastAsia="仿宋_GB2312" w:cs="仿宋_GB2312"/>
          <w:b w:val="0"/>
          <w:bCs w:val="0"/>
        </w:rPr>
        <w:t>府性基金预算财政拨款收入支出决算表</w:t>
      </w:r>
      <w:bookmarkEnd w:id="132"/>
      <w:bookmarkEnd w:id="133"/>
      <w:bookmarkEnd w:id="134"/>
    </w:p>
    <w:p>
      <w:pPr>
        <w:pStyle w:val="4"/>
        <w:rPr>
          <w:rFonts w:hint="eastAsia" w:ascii="仿宋_GB2312" w:hAnsi="仿宋_GB2312" w:eastAsia="仿宋_GB2312" w:cs="仿宋_GB2312"/>
          <w:color w:val="000000"/>
        </w:rPr>
      </w:pPr>
      <w:bookmarkStart w:id="135" w:name="_Toc16652"/>
      <w:bookmarkStart w:id="136" w:name="_Toc14112"/>
      <w:bookmarkStart w:id="137" w:name="_Toc15396630"/>
      <w:r>
        <w:rPr>
          <w:rStyle w:val="26"/>
          <w:rFonts w:hint="eastAsia" w:ascii="仿宋_GB2312" w:hAnsi="仿宋_GB2312" w:eastAsia="仿宋_GB2312" w:cs="仿宋_GB2312"/>
          <w:b w:val="0"/>
          <w:bCs w:val="0"/>
        </w:rPr>
        <w:t>十二、</w:t>
      </w:r>
      <w:r>
        <w:rPr>
          <w:rFonts w:hint="eastAsia" w:ascii="仿宋_GB2312" w:hAnsi="仿宋_GB2312" w:eastAsia="仿宋_GB2312" w:cs="仿宋_GB2312"/>
          <w:b w:val="0"/>
          <w:color w:val="000000"/>
        </w:rPr>
        <w:t>政</w:t>
      </w:r>
      <w:r>
        <w:rPr>
          <w:rStyle w:val="26"/>
          <w:rFonts w:hint="eastAsia" w:ascii="仿宋_GB2312" w:hAnsi="仿宋_GB2312" w:eastAsia="仿宋_GB2312" w:cs="仿宋_GB2312"/>
          <w:b w:val="0"/>
          <w:bCs w:val="0"/>
        </w:rPr>
        <w:t>府性基金预算财政拨款“三公”经费支出决算表</w:t>
      </w:r>
      <w:bookmarkEnd w:id="135"/>
      <w:bookmarkEnd w:id="136"/>
      <w:bookmarkEnd w:id="137"/>
    </w:p>
    <w:p>
      <w:pPr>
        <w:pStyle w:val="4"/>
        <w:rPr>
          <w:rStyle w:val="26"/>
          <w:rFonts w:hint="eastAsia" w:ascii="仿宋_GB2312" w:hAnsi="仿宋_GB2312" w:eastAsia="仿宋_GB2312" w:cs="仿宋_GB2312"/>
          <w:b w:val="0"/>
          <w:bCs w:val="0"/>
        </w:rPr>
      </w:pPr>
      <w:bookmarkStart w:id="138" w:name="_Toc15884"/>
      <w:bookmarkStart w:id="139" w:name="_Toc14621"/>
      <w:bookmarkStart w:id="140" w:name="_Toc15396631"/>
      <w:r>
        <w:rPr>
          <w:rStyle w:val="26"/>
          <w:rFonts w:hint="eastAsia" w:ascii="仿宋_GB2312" w:hAnsi="仿宋_GB2312" w:eastAsia="仿宋_GB2312" w:cs="仿宋_GB2312"/>
          <w:b w:val="0"/>
          <w:bCs w:val="0"/>
        </w:rPr>
        <w:t>十三、</w:t>
      </w:r>
      <w:r>
        <w:rPr>
          <w:rFonts w:hint="eastAsia" w:ascii="仿宋_GB2312" w:hAnsi="仿宋_GB2312" w:eastAsia="仿宋_GB2312" w:cs="仿宋_GB2312"/>
          <w:b w:val="0"/>
          <w:color w:val="000000"/>
        </w:rPr>
        <w:t>国</w:t>
      </w:r>
      <w:r>
        <w:rPr>
          <w:rStyle w:val="26"/>
          <w:rFonts w:hint="eastAsia" w:ascii="仿宋_GB2312" w:hAnsi="仿宋_GB2312" w:eastAsia="仿宋_GB2312" w:cs="仿宋_GB2312"/>
          <w:b w:val="0"/>
          <w:bCs w:val="0"/>
        </w:rPr>
        <w:t>有资本经营预算</w:t>
      </w:r>
      <w:r>
        <w:rPr>
          <w:rStyle w:val="26"/>
          <w:rFonts w:hint="eastAsia" w:ascii="仿宋_GB2312" w:hAnsi="仿宋_GB2312" w:eastAsia="仿宋_GB2312" w:cs="仿宋_GB2312"/>
          <w:b w:val="0"/>
          <w:bCs w:val="0"/>
          <w:lang w:eastAsia="zh-CN"/>
        </w:rPr>
        <w:t>财政拨款收入</w:t>
      </w:r>
      <w:r>
        <w:rPr>
          <w:rStyle w:val="26"/>
          <w:rFonts w:hint="eastAsia" w:ascii="仿宋_GB2312" w:hAnsi="仿宋_GB2312" w:eastAsia="仿宋_GB2312" w:cs="仿宋_GB2312"/>
          <w:b w:val="0"/>
          <w:bCs w:val="0"/>
        </w:rPr>
        <w:t>支出决算表</w:t>
      </w:r>
      <w:bookmarkEnd w:id="138"/>
      <w:bookmarkEnd w:id="139"/>
      <w:bookmarkEnd w:id="140"/>
    </w:p>
    <w:p>
      <w:pPr>
        <w:rPr>
          <w:rFonts w:hint="eastAsia" w:ascii="仿宋_GB2312" w:hAnsi="仿宋_GB2312" w:eastAsia="仿宋_GB2312" w:cs="仿宋_GB2312"/>
          <w:lang w:eastAsia="zh-CN"/>
        </w:rPr>
      </w:pPr>
      <w:bookmarkStart w:id="141" w:name="_Toc14437"/>
      <w:bookmarkStart w:id="142" w:name="_Toc21768"/>
      <w:r>
        <w:rPr>
          <w:rStyle w:val="26"/>
          <w:rFonts w:hint="eastAsia" w:ascii="仿宋_GB2312" w:hAnsi="仿宋_GB2312" w:eastAsia="仿宋_GB2312" w:cs="仿宋_GB2312"/>
          <w:b w:val="0"/>
          <w:bCs w:val="0"/>
          <w:lang w:eastAsia="zh-CN"/>
        </w:rPr>
        <w:t>十四、国有资本经营预算财政拨款支出决算表</w:t>
      </w:r>
      <w:bookmarkEnd w:id="141"/>
      <w:bookmarkEnd w:id="14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AFA0A"/>
    <w:multiLevelType w:val="singleLevel"/>
    <w:tmpl w:val="ACEAFA0A"/>
    <w:lvl w:ilvl="0" w:tentative="0">
      <w:start w:val="3"/>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D3A6364"/>
    <w:rsid w:val="10C055FF"/>
    <w:rsid w:val="11373BD7"/>
    <w:rsid w:val="118107EC"/>
    <w:rsid w:val="16073BB1"/>
    <w:rsid w:val="16BB723D"/>
    <w:rsid w:val="18015F3F"/>
    <w:rsid w:val="19F203C5"/>
    <w:rsid w:val="1A384B6E"/>
    <w:rsid w:val="1BE8440E"/>
    <w:rsid w:val="1D155CEE"/>
    <w:rsid w:val="20F57F95"/>
    <w:rsid w:val="240371BF"/>
    <w:rsid w:val="29FD04D3"/>
    <w:rsid w:val="2ABE7A3E"/>
    <w:rsid w:val="2C1531AC"/>
    <w:rsid w:val="319F7F4E"/>
    <w:rsid w:val="333C005D"/>
    <w:rsid w:val="3B6F01E9"/>
    <w:rsid w:val="3C0C0783"/>
    <w:rsid w:val="42E360EB"/>
    <w:rsid w:val="47EB27DD"/>
    <w:rsid w:val="48C72172"/>
    <w:rsid w:val="496F39ED"/>
    <w:rsid w:val="4BE068DB"/>
    <w:rsid w:val="4BF6002B"/>
    <w:rsid w:val="4ECE2238"/>
    <w:rsid w:val="5E3521A6"/>
    <w:rsid w:val="613526D2"/>
    <w:rsid w:val="64CA39A1"/>
    <w:rsid w:val="6C4A05C8"/>
    <w:rsid w:val="72734D90"/>
    <w:rsid w:val="740D13BE"/>
    <w:rsid w:val="755F36B0"/>
    <w:rsid w:val="78A44F9F"/>
    <w:rsid w:val="79A70C23"/>
    <w:rsid w:val="7BDA4918"/>
    <w:rsid w:val="7DFAC54A"/>
    <w:rsid w:val="7FFCC0BE"/>
    <w:rsid w:val="CFD92012"/>
    <w:rsid w:val="EEEE4A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table of figures1"/>
    <w:basedOn w:val="1"/>
    <w:next w:val="1"/>
    <w:qFormat/>
    <w:uiPriority w:val="0"/>
    <w:pPr>
      <w:jc w:val="left"/>
    </w:pPr>
    <w:rPr>
      <w:rFonts w:ascii="Calibri" w:hAnsi="Calibri"/>
      <w:kern w:val="0"/>
      <w:szCs w:val="21"/>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：收、支决算总计变动情况图</a:t>
            </a:r>
            <a:r>
              <a:rPr lang="en-US" altLang="zh-CN"/>
              <a:t>       </a:t>
            </a:r>
            <a:r>
              <a:rPr altLang="en-US"/>
              <a:t>                      </a:t>
            </a:r>
            <a:endParaRPr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2019年度</c:v>
                </c:pt>
              </c:strCache>
            </c:strRef>
          </c:tx>
          <c:spPr>
            <a:solidFill>
              <a:schemeClr val="accent3">
                <a:lumMod val="60000"/>
                <a:lumOff val="40000"/>
              </a:schemeClr>
            </a:solidFill>
            <a:ln>
              <a:noFill/>
            </a:ln>
            <a:effectLst/>
          </c:spPr>
          <c:invertIfNegative val="false"/>
          <c:dLbls>
            <c:dLbl>
              <c:idx val="0"/>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delete val="true"/>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收支总计</c:v>
                </c:pt>
              </c:strCache>
            </c:strRef>
          </c:cat>
          <c:val>
            <c:numRef>
              <c:f>Sheet1!$B$2:$B$3</c:f>
              <c:numCache>
                <c:formatCode>General</c:formatCode>
                <c:ptCount val="2"/>
                <c:pt idx="0">
                  <c:v>307.51</c:v>
                </c:pt>
              </c:numCache>
            </c:numRef>
          </c:val>
        </c:ser>
        <c:ser>
          <c:idx val="1"/>
          <c:order val="1"/>
          <c:tx>
            <c:strRef>
              <c:f>Sheet1!$C$1</c:f>
              <c:strCache>
                <c:ptCount val="1"/>
                <c:pt idx="0">
                  <c:v>2020年度</c:v>
                </c:pt>
              </c:strCache>
            </c:strRef>
          </c:tx>
          <c:spPr>
            <a:solidFill>
              <a:schemeClr val="accent4">
                <a:lumMod val="60000"/>
                <a:lumOff val="40000"/>
              </a:schemeClr>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收支总计</c:v>
                </c:pt>
              </c:strCache>
            </c:strRef>
          </c:cat>
          <c:val>
            <c:numRef>
              <c:f>Sheet1!$C$2:$C$3</c:f>
              <c:numCache>
                <c:formatCode>General</c:formatCode>
                <c:ptCount val="2"/>
                <c:pt idx="0">
                  <c:v>281.01</c:v>
                </c:pt>
              </c:numCache>
            </c:numRef>
          </c:val>
        </c:ser>
        <c:ser>
          <c:idx val="2"/>
          <c:order val="2"/>
          <c:tx>
            <c:strRef>
              <c:f>Sheet1!$D$1</c:f>
              <c:strCache>
                <c:ptCount val="1"/>
                <c:pt idx="0">
                  <c:v/>
                </c:pt>
              </c:strCache>
            </c:strRef>
          </c:tx>
          <c:spPr>
            <a:solidFill>
              <a:schemeClr val="accent3"/>
            </a:solidFill>
            <a:ln>
              <a:noFill/>
            </a:ln>
            <a:effectLst/>
          </c:spPr>
          <c:invertIfNegative val="false"/>
          <c:dLbls>
            <c:delete val="true"/>
          </c:dLbls>
          <c:cat>
            <c:strRef>
              <c:f>Sheet1!$A$2:$A$3</c:f>
              <c:strCache>
                <c:ptCount val="2"/>
                <c:pt idx="0">
                  <c:v>收支总计</c:v>
                </c:pt>
              </c:strCache>
            </c:strRef>
          </c:cat>
          <c:val>
            <c:numRef>
              <c:f>Sheet1!$D$2:$D$3</c:f>
              <c:numCache>
                <c:formatCode>General</c:formatCode>
                <c:ptCount val="2"/>
              </c:numCache>
            </c:numRef>
          </c:val>
        </c:ser>
        <c:dLbls>
          <c:showLegendKey val="false"/>
          <c:showVal val="false"/>
          <c:showCatName val="false"/>
          <c:showSerName val="false"/>
          <c:showPercent val="false"/>
          <c:showBubbleSize val="false"/>
        </c:dLbls>
        <c:gapWidth val="150"/>
        <c:overlap val="0"/>
        <c:axId val="993432829"/>
        <c:axId val="265725943"/>
      </c:barChart>
      <c:catAx>
        <c:axId val="993432829"/>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5725943"/>
        <c:crosses val="autoZero"/>
        <c:auto val="true"/>
        <c:lblAlgn val="ctr"/>
        <c:lblOffset val="100"/>
        <c:noMultiLvlLbl val="false"/>
      </c:catAx>
      <c:valAx>
        <c:axId val="265725943"/>
        <c:scaling>
          <c:orientation val="minMax"/>
          <c:max val="400"/>
          <c:min val="10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93432829"/>
        <c:crosses val="autoZero"/>
        <c:crossBetween val="between"/>
        <c:majorUnit val="40"/>
      </c:valAx>
      <c:spPr>
        <a:noFill/>
        <a:ln>
          <a:noFill/>
        </a:ln>
        <a:effectLst/>
      </c:spPr>
    </c:plotArea>
    <c:legend>
      <c:legendPos val="r"/>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a:t>
            </a:r>
            <a:r>
              <a:t>收入决算结构图</a:t>
            </a:r>
          </a:p>
        </c:rich>
      </c:tx>
      <c:layout>
        <c:manualLayout>
          <c:xMode val="edge"/>
          <c:yMode val="edge"/>
          <c:x val="0.219285553226482"/>
          <c:y val="0.0472575626950179"/>
        </c:manualLayout>
      </c:layout>
      <c:overlay val="false"/>
      <c:spPr>
        <a:noFill/>
        <a:ln>
          <a:noFill/>
        </a:ln>
        <a:effectLst/>
      </c:spPr>
    </c:title>
    <c:autoTitleDeleted val="false"/>
    <c:plotArea>
      <c:layout/>
      <c:pieChart>
        <c:varyColors val="true"/>
        <c:ser>
          <c:idx val="0"/>
          <c:order val="0"/>
          <c:tx>
            <c:strRef>
              <c:f>Sheet1!$B$1</c:f>
              <c:strCache>
                <c:ptCount val="1"/>
                <c:pt idx="0">
                  <c:v>本年收入</c:v>
                </c:pt>
              </c:strCache>
            </c:strRef>
          </c:tx>
          <c:spPr>
            <a:solidFill>
              <a:schemeClr val="accent4">
                <a:lumMod val="60000"/>
                <a:lumOff val="40000"/>
              </a:schemeClr>
            </a:solidFill>
          </c:spPr>
          <c:explosion val="0"/>
          <c:dPt>
            <c:idx val="0"/>
            <c:bubble3D val="false"/>
            <c:spPr>
              <a:solidFill>
                <a:schemeClr val="accent4">
                  <a:lumMod val="60000"/>
                  <a:lumOff val="40000"/>
                </a:schemeClr>
              </a:solidFill>
              <a:ln w="19050">
                <a:solidFill>
                  <a:schemeClr val="lt1"/>
                </a:solidFill>
              </a:ln>
              <a:effectLst/>
            </c:spPr>
          </c:dPt>
          <c:dPt>
            <c:idx val="1"/>
            <c:bubble3D val="false"/>
            <c:spPr>
              <a:solidFill>
                <a:schemeClr val="accent3">
                  <a:lumMod val="60000"/>
                  <a:lumOff val="40000"/>
                </a:schemeClr>
              </a:solidFill>
              <a:ln w="19050">
                <a:solidFill>
                  <a:schemeClr val="lt1"/>
                </a:solidFill>
              </a:ln>
              <a:effectLst/>
            </c:spPr>
          </c:dPt>
          <c:dLbls>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eparator> </c:separator>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c:v>
                </c:pt>
                <c:pt idx="1">
                  <c:v>其他收入</c:v>
                </c:pt>
              </c:strCache>
            </c:strRef>
          </c:cat>
          <c:val>
            <c:numRef>
              <c:f>Sheet1!$B$2:$B$3</c:f>
              <c:numCache>
                <c:formatCode>General</c:formatCode>
                <c:ptCount val="2"/>
                <c:pt idx="0">
                  <c:v>278.67</c:v>
                </c:pt>
                <c:pt idx="1">
                  <c:v>0.09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cap="none" spc="0" normalizeH="0" baseline="0">
                <a:solidFill>
                  <a:schemeClr val="tx1"/>
                </a:solidFill>
                <a:uFill>
                  <a:solidFill>
                    <a:schemeClr val="tx1"/>
                  </a:solidFill>
                </a:uFill>
                <a:latin typeface="+mn-lt"/>
                <a:ea typeface="+mn-ea"/>
                <a:cs typeface="+mn-cs"/>
              </a:defRPr>
            </a:pPr>
            <a:r>
              <a:rPr u="none" strike="noStrike" cap="none" normalizeH="0">
                <a:solidFill>
                  <a:schemeClr val="tx1"/>
                </a:solidFill>
                <a:uFill>
                  <a:solidFill>
                    <a:schemeClr val="tx1"/>
                  </a:solidFill>
                </a:uFill>
              </a:rPr>
              <a:t>图三：支出决算结构图</a:t>
            </a:r>
            <a:endParaRPr u="none" strike="noStrike" cap="none" normalizeH="0">
              <a:solidFill>
                <a:schemeClr val="tx1"/>
              </a:solidFill>
              <a:uFill>
                <a:solidFill>
                  <a:schemeClr val="tx1"/>
                </a:solidFill>
              </a:uFill>
            </a:endParaRPr>
          </a:p>
        </c:rich>
      </c:tx>
      <c:layout/>
      <c:overlay val="false"/>
      <c:spPr>
        <a:noFill/>
        <a:ln>
          <a:noFill/>
        </a:ln>
        <a:effectLst/>
      </c:spPr>
    </c:title>
    <c:autoTitleDeleted val="false"/>
    <c:plotArea>
      <c:layout/>
      <c:pieChart>
        <c:varyColors val="true"/>
        <c:ser>
          <c:idx val="0"/>
          <c:order val="0"/>
          <c:tx>
            <c:strRef>
              <c:f>Sheet1!$B$1</c:f>
              <c:strCache>
                <c:ptCount val="1"/>
                <c:pt idx="0">
                  <c:v>支出决算结构图</c:v>
                </c:pt>
              </c:strCache>
            </c:strRef>
          </c:tx>
          <c:spPr/>
          <c:explosion val="0"/>
          <c:dPt>
            <c:idx val="0"/>
            <c:bubble3D val="false"/>
            <c:spPr>
              <a:solidFill>
                <a:schemeClr val="accent3">
                  <a:lumMod val="60000"/>
                  <a:lumOff val="40000"/>
                </a:schemeClr>
              </a:solidFill>
              <a:ln w="19050">
                <a:solidFill>
                  <a:schemeClr val="lt1"/>
                </a:solidFill>
              </a:ln>
              <a:effectLst/>
            </c:spPr>
          </c:dPt>
          <c:dPt>
            <c:idx val="1"/>
            <c:bubble3D val="false"/>
            <c:explosion val="2"/>
            <c:spPr>
              <a:solidFill>
                <a:schemeClr val="accent4">
                  <a:lumMod val="40000"/>
                  <a:lumOff val="60000"/>
                </a:schemeClr>
              </a:solidFill>
              <a:ln w="19050">
                <a:solidFill>
                  <a:schemeClr val="lt1"/>
                </a:solidFill>
              </a:ln>
              <a:effectLst/>
            </c:spPr>
          </c:dPt>
          <c:dLbls>
            <c:dLbl>
              <c:idx val="0"/>
              <c:layout>
                <c:manualLayout>
                  <c:x val="-0.1171929287598"/>
                  <c:y val="-0.11431214961674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122314875411391"/>
                  <c:y val="0.129426624458944"/>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57.18</c:v>
                </c:pt>
                <c:pt idx="1">
                  <c:v>42.82</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legendEntry>
      <c:legendEntry>
        <c:idx val="1"/>
        <c:txPr>
          <a:bodyPr rot="0" spcFirstLastPara="0" vertOverflow="ellipsis" vert="horz" wrap="square" anchor="ctr" anchorCtr="true"/>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u="none" strike="noStrike" kern="1200" cap="none" spc="0" normalizeH="0">
          <a:solidFill>
            <a:schemeClr val="tx1"/>
          </a:solidFill>
          <a:uFill>
            <a:solidFill>
              <a:schemeClr val="tx1"/>
            </a:solidFill>
          </a:uFill>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图四：财政拨款收、支总计变动情况</a:t>
            </a:r>
          </a:p>
        </c:rich>
      </c:tx>
      <c:layout>
        <c:manualLayout>
          <c:xMode val="edge"/>
          <c:yMode val="edge"/>
          <c:x val="0.0378702055348762"/>
          <c:y val="0.0236877971527677"/>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2019年度</c:v>
                </c:pt>
              </c:strCache>
            </c:strRef>
          </c:tx>
          <c:spPr>
            <a:solidFill>
              <a:schemeClr val="accent3">
                <a:lumMod val="60000"/>
                <a:lumOff val="40000"/>
              </a:schemeClr>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财政拨款收、支总计</c:v>
                </c:pt>
              </c:strCache>
            </c:strRef>
          </c:cat>
          <c:val>
            <c:numRef>
              <c:f>Sheet1!$B$2:$B$3</c:f>
              <c:numCache>
                <c:formatCode>General</c:formatCode>
                <c:ptCount val="2"/>
                <c:pt idx="0">
                  <c:v>274.33</c:v>
                </c:pt>
              </c:numCache>
            </c:numRef>
          </c:val>
        </c:ser>
        <c:ser>
          <c:idx val="1"/>
          <c:order val="1"/>
          <c:tx>
            <c:strRef>
              <c:f>Sheet1!$C$1</c:f>
              <c:strCache>
                <c:ptCount val="1"/>
                <c:pt idx="0">
                  <c:v>2020年度</c:v>
                </c:pt>
              </c:strCache>
            </c:strRef>
          </c:tx>
          <c:spPr>
            <a:solidFill>
              <a:schemeClr val="accent4">
                <a:lumMod val="60000"/>
                <a:lumOff val="40000"/>
              </a:schemeClr>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财政拨款收、支总计</c:v>
                </c:pt>
              </c:strCache>
            </c:strRef>
          </c:cat>
          <c:val>
            <c:numRef>
              <c:f>Sheet1!$C$2:$C$3</c:f>
              <c:numCache>
                <c:formatCode>General</c:formatCode>
                <c:ptCount val="2"/>
                <c:pt idx="0">
                  <c:v>278.67</c:v>
                </c:pt>
              </c:numCache>
            </c:numRef>
          </c:val>
        </c:ser>
        <c:dLbls>
          <c:showLegendKey val="false"/>
          <c:showVal val="true"/>
          <c:showCatName val="false"/>
          <c:showSerName val="false"/>
          <c:showPercent val="false"/>
          <c:showBubbleSize val="false"/>
        </c:dLbls>
        <c:gapWidth val="150"/>
        <c:overlap val="0"/>
        <c:axId val="869982217"/>
        <c:axId val="480266717"/>
      </c:barChart>
      <c:catAx>
        <c:axId val="869982217"/>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80266717"/>
        <c:crosses val="autoZero"/>
        <c:auto val="true"/>
        <c:lblAlgn val="ctr"/>
        <c:lblOffset val="100"/>
        <c:noMultiLvlLbl val="false"/>
      </c:catAx>
      <c:valAx>
        <c:axId val="480266717"/>
        <c:scaling>
          <c:orientation val="minMax"/>
          <c:min val="20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69982217"/>
        <c:crosses val="autoZero"/>
        <c:crossBetween val="between"/>
        <c:majorUnit val="10"/>
      </c:valAx>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图五：一般公共预算财政拨款支出决算变动情况</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2019年度</c:v>
                </c:pt>
              </c:strCache>
            </c:strRef>
          </c:tx>
          <c:spPr>
            <a:solidFill>
              <a:schemeClr val="accent3">
                <a:lumMod val="60000"/>
                <a:lumOff val="40000"/>
              </a:schemeClr>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274.33</c:v>
                </c:pt>
              </c:numCache>
            </c:numRef>
          </c:val>
        </c:ser>
        <c:ser>
          <c:idx val="1"/>
          <c:order val="1"/>
          <c:tx>
            <c:strRef>
              <c:f>Sheet1!$C$1</c:f>
              <c:strCache>
                <c:ptCount val="1"/>
                <c:pt idx="0">
                  <c:v>2020年度</c:v>
                </c:pt>
              </c:strCache>
            </c:strRef>
          </c:tx>
          <c:spPr>
            <a:solidFill>
              <a:schemeClr val="accent4">
                <a:lumMod val="60000"/>
                <a:lumOff val="40000"/>
              </a:schemeClr>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pt idx="0">
                  <c:v>278.67</c:v>
                </c:pt>
              </c:numCache>
            </c:numRef>
          </c:val>
        </c:ser>
        <c:dLbls>
          <c:showLegendKey val="false"/>
          <c:showVal val="true"/>
          <c:showCatName val="false"/>
          <c:showSerName val="false"/>
          <c:showPercent val="false"/>
          <c:showBubbleSize val="false"/>
        </c:dLbls>
        <c:gapWidth val="219"/>
        <c:overlap val="-27"/>
        <c:axId val="662969087"/>
        <c:axId val="9740102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c15:sqref>
                        </c15:formulaRef>
                      </c:ext>
                    </c:extLst>
                    <c:strCache>
                      <c:ptCount val="1"/>
                      <c:pt idx="0">
                        <c:v>一般公共预算财政拨款</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6296908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7401024"/>
        <c:crosses val="autoZero"/>
        <c:auto val="true"/>
        <c:lblAlgn val="ctr"/>
        <c:lblOffset val="100"/>
        <c:noMultiLvlLbl val="false"/>
      </c:catAx>
      <c:valAx>
        <c:axId val="97401024"/>
        <c:scaling>
          <c:orientation val="minMax"/>
          <c:max val="300"/>
          <c:min val="20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62969087"/>
        <c:crosses val="autoZero"/>
        <c:crossBetween val="between"/>
        <c:majorUnit val="10"/>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图六：一般公共预算财政拨款支出决算结构</a:t>
            </a:r>
          </a:p>
        </c:rich>
      </c:tx>
      <c:layout>
        <c:manualLayout>
          <c:xMode val="edge"/>
          <c:yMode val="edge"/>
          <c:x val="0.168669527896996"/>
          <c:y val="0.0342757067800851"/>
        </c:manualLayout>
      </c:layout>
      <c:overlay val="false"/>
      <c:spPr>
        <a:noFill/>
        <a:ln>
          <a:noFill/>
        </a:ln>
        <a:effectLst/>
      </c:spPr>
    </c:title>
    <c:autoTitleDeleted val="false"/>
    <c:plotArea>
      <c:layout>
        <c:manualLayout>
          <c:layoutTarget val="inner"/>
          <c:xMode val="edge"/>
          <c:yMode val="edge"/>
          <c:x val="0.190006131207848"/>
          <c:y val="0.162097476066144"/>
          <c:w val="0.44316370324954"/>
          <c:h val="0.786335944299391"/>
        </c:manualLayout>
      </c:layout>
      <c:pieChart>
        <c:varyColors val="true"/>
        <c:ser>
          <c:idx val="0"/>
          <c:order val="0"/>
          <c:tx>
            <c:strRef>
              <c:f>Sheet1!$B$1</c:f>
              <c:strCache>
                <c:ptCount val="1"/>
                <c:pt idx="0">
                  <c:v>一般公共预算财政拨款支出决算结构</c:v>
                </c:pt>
              </c:strCache>
            </c:strRef>
          </c:tx>
          <c:spPr/>
          <c:explosion val="0"/>
          <c:dPt>
            <c:idx val="0"/>
            <c:bubble3D val="false"/>
            <c:spPr>
              <a:solidFill>
                <a:schemeClr val="accent5">
                  <a:lumMod val="40000"/>
                  <a:lumOff val="60000"/>
                </a:schemeClr>
              </a:solidFill>
              <a:ln w="19050">
                <a:solidFill>
                  <a:schemeClr val="lt1"/>
                </a:solidFill>
              </a:ln>
              <a:effectLst/>
            </c:spPr>
          </c:dPt>
          <c:dPt>
            <c:idx val="1"/>
            <c:bubble3D val="false"/>
            <c:spPr>
              <a:solidFill>
                <a:schemeClr val="accent2">
                  <a:lumMod val="40000"/>
                  <a:lumOff val="60000"/>
                </a:schemeClr>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c:v>
                </c:pt>
                <c:pt idx="1">
                  <c:v>社会保障和就业</c:v>
                </c:pt>
                <c:pt idx="2">
                  <c:v>医疗卫生支出</c:v>
                </c:pt>
                <c:pt idx="3">
                  <c:v>住房保障支出</c:v>
                </c:pt>
              </c:strCache>
            </c:strRef>
          </c:cat>
          <c:val>
            <c:numRef>
              <c:f>Sheet1!$B$2:$B$5</c:f>
              <c:numCache>
                <c:formatCode>General</c:formatCode>
                <c:ptCount val="4"/>
                <c:pt idx="0">
                  <c:v>223.03</c:v>
                </c:pt>
                <c:pt idx="1">
                  <c:v>14.33</c:v>
                </c:pt>
                <c:pt idx="2">
                  <c:v>8.31</c:v>
                </c:pt>
                <c:pt idx="3">
                  <c:v>33</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fbe7945-02a4-4afc-9b03-f69c1c9ef3f7}"/>
        <w:style w:val=""/>
        <w:category>
          <w:name w:val="常规"/>
          <w:gallery w:val="placeholder"/>
        </w:category>
        <w:types>
          <w:type w:val="bbPlcHdr"/>
        </w:types>
        <w:behaviors>
          <w:behavior w:val="content"/>
        </w:behaviors>
        <w:description w:val=""/>
        <w:guid w:val="{5fbe7945-02a4-4afc-9b03-f69c1c9ef3f7}"/>
      </w:docPartPr>
      <w:docPartBody>
        <w:p>
          <w:r>
            <w:rPr>
              <w:color w:val="808080"/>
            </w:rPr>
            <w:t>单击此处输入文字。</w:t>
          </w:r>
        </w:p>
      </w:docPartBody>
    </w:docPart>
    <w:docPart>
      <w:docPartPr>
        <w:name w:val="{4747ac12-6bc7-4850-bcd0-9d129f1b2a8f}"/>
        <w:style w:val=""/>
        <w:category>
          <w:name w:val="常规"/>
          <w:gallery w:val="placeholder"/>
        </w:category>
        <w:types>
          <w:type w:val="bbPlcHdr"/>
        </w:types>
        <w:behaviors>
          <w:behavior w:val="content"/>
        </w:behaviors>
        <w:description w:val=""/>
        <w:guid w:val="{4747ac12-6bc7-4850-bcd0-9d129f1b2a8f}"/>
      </w:docPartPr>
      <w:docPartBody>
        <w:p>
          <w:r>
            <w:rPr>
              <w:color w:val="808080"/>
            </w:rPr>
            <w:t>单击此处输入文字。</w:t>
          </w:r>
        </w:p>
      </w:docPartBody>
    </w:docPart>
    <w:docPart>
      <w:docPartPr>
        <w:name w:val="{4804a689-a61a-4198-8222-1837c96f656e}"/>
        <w:style w:val=""/>
        <w:category>
          <w:name w:val="常规"/>
          <w:gallery w:val="placeholder"/>
        </w:category>
        <w:types>
          <w:type w:val="bbPlcHdr"/>
        </w:types>
        <w:behaviors>
          <w:behavior w:val="content"/>
        </w:behaviors>
        <w:description w:val=""/>
        <w:guid w:val="{4804a689-a61a-4198-8222-1837c96f656e}"/>
      </w:docPartPr>
      <w:docPartBody>
        <w:p>
          <w:r>
            <w:rPr>
              <w:color w:val="808080"/>
            </w:rPr>
            <w:t>单击此处输入文字。</w:t>
          </w:r>
        </w:p>
      </w:docPartBody>
    </w:docPart>
    <w:docPart>
      <w:docPartPr>
        <w:name w:val="{5953c8e1-f1b8-44e3-803e-bc1ef5ba53ab}"/>
        <w:style w:val=""/>
        <w:category>
          <w:name w:val="常规"/>
          <w:gallery w:val="placeholder"/>
        </w:category>
        <w:types>
          <w:type w:val="bbPlcHdr"/>
        </w:types>
        <w:behaviors>
          <w:behavior w:val="content"/>
        </w:behaviors>
        <w:description w:val=""/>
        <w:guid w:val="{5953c8e1-f1b8-44e3-803e-bc1ef5ba53ab}"/>
      </w:docPartPr>
      <w:docPartBody>
        <w:p>
          <w:r>
            <w:rPr>
              <w:color w:val="808080"/>
            </w:rPr>
            <w:t>单击此处输入文字。</w:t>
          </w:r>
        </w:p>
      </w:docPartBody>
    </w:docPart>
    <w:docPart>
      <w:docPartPr>
        <w:name w:val="{cc65de0f-12fb-4a59-8d73-a3aba956da93}"/>
        <w:style w:val=""/>
        <w:category>
          <w:name w:val="常规"/>
          <w:gallery w:val="placeholder"/>
        </w:category>
        <w:types>
          <w:type w:val="bbPlcHdr"/>
        </w:types>
        <w:behaviors>
          <w:behavior w:val="content"/>
        </w:behaviors>
        <w:description w:val=""/>
        <w:guid w:val="{cc65de0f-12fb-4a59-8d73-a3aba956da93}"/>
      </w:docPartPr>
      <w:docPartBody>
        <w:p>
          <w:r>
            <w:rPr>
              <w:color w:val="808080"/>
            </w:rPr>
            <w:t>单击此处输入文字。</w:t>
          </w:r>
        </w:p>
      </w:docPartBody>
    </w:docPart>
    <w:docPart>
      <w:docPartPr>
        <w:name w:val="{64ea0b77-01a1-480a-8972-8fcc96311de4}"/>
        <w:style w:val=""/>
        <w:category>
          <w:name w:val="常规"/>
          <w:gallery w:val="placeholder"/>
        </w:category>
        <w:types>
          <w:type w:val="bbPlcHdr"/>
        </w:types>
        <w:behaviors>
          <w:behavior w:val="content"/>
        </w:behaviors>
        <w:description w:val=""/>
        <w:guid w:val="{64ea0b77-01a1-480a-8972-8fcc96311de4}"/>
      </w:docPartPr>
      <w:docPartBody>
        <w:p>
          <w:r>
            <w:rPr>
              <w:color w:val="808080"/>
            </w:rPr>
            <w:t>单击此处输入文字。</w:t>
          </w:r>
        </w:p>
      </w:docPartBody>
    </w:docPart>
    <w:docPart>
      <w:docPartPr>
        <w:name w:val="{12f68e46-def9-4cd0-8961-adb3082734f9}"/>
        <w:style w:val=""/>
        <w:category>
          <w:name w:val="常规"/>
          <w:gallery w:val="placeholder"/>
        </w:category>
        <w:types>
          <w:type w:val="bbPlcHdr"/>
        </w:types>
        <w:behaviors>
          <w:behavior w:val="content"/>
        </w:behaviors>
        <w:description w:val=""/>
        <w:guid w:val="{12f68e46-def9-4cd0-8961-adb3082734f9}"/>
      </w:docPartPr>
      <w:docPartBody>
        <w:p>
          <w:r>
            <w:rPr>
              <w:color w:val="808080"/>
            </w:rPr>
            <w:t>单击此处输入文字。</w:t>
          </w:r>
        </w:p>
      </w:docPartBody>
    </w:docPart>
    <w:docPart>
      <w:docPartPr>
        <w:name w:val="{e466c11a-5008-4331-b17b-1a2ef8e2bb4e}"/>
        <w:style w:val=""/>
        <w:category>
          <w:name w:val="常规"/>
          <w:gallery w:val="placeholder"/>
        </w:category>
        <w:types>
          <w:type w:val="bbPlcHdr"/>
        </w:types>
        <w:behaviors>
          <w:behavior w:val="content"/>
        </w:behaviors>
        <w:description w:val=""/>
        <w:guid w:val="{e466c11a-5008-4331-b17b-1a2ef8e2bb4e}"/>
      </w:docPartPr>
      <w:docPartBody>
        <w:p>
          <w:r>
            <w:rPr>
              <w:color w:val="808080"/>
            </w:rPr>
            <w:t>单击此处输入文字。</w:t>
          </w:r>
        </w:p>
      </w:docPartBody>
    </w:docPart>
    <w:docPart>
      <w:docPartPr>
        <w:name w:val="{128893f9-dc5b-4d1e-9b18-c864c54978f8}"/>
        <w:style w:val=""/>
        <w:category>
          <w:name w:val="常规"/>
          <w:gallery w:val="placeholder"/>
        </w:category>
        <w:types>
          <w:type w:val="bbPlcHdr"/>
        </w:types>
        <w:behaviors>
          <w:behavior w:val="content"/>
        </w:behaviors>
        <w:description w:val=""/>
        <w:guid w:val="{128893f9-dc5b-4d1e-9b18-c864c54978f8}"/>
      </w:docPartPr>
      <w:docPartBody>
        <w:p>
          <w:r>
            <w:rPr>
              <w:color w:val="808080"/>
            </w:rPr>
            <w:t>单击此处输入文字。</w:t>
          </w:r>
        </w:p>
      </w:docPartBody>
    </w:docPart>
    <w:docPart>
      <w:docPartPr>
        <w:name w:val="{39bf75df-d8e8-405a-becb-f731b0d10e02}"/>
        <w:style w:val=""/>
        <w:category>
          <w:name w:val="常规"/>
          <w:gallery w:val="placeholder"/>
        </w:category>
        <w:types>
          <w:type w:val="bbPlcHdr"/>
        </w:types>
        <w:behaviors>
          <w:behavior w:val="content"/>
        </w:behaviors>
        <w:description w:val=""/>
        <w:guid w:val="{39bf75df-d8e8-405a-becb-f731b0d10e02}"/>
      </w:docPartPr>
      <w:docPartBody>
        <w:p>
          <w:r>
            <w:rPr>
              <w:color w:val="808080"/>
            </w:rPr>
            <w:t>单击此处输入文字。</w:t>
          </w:r>
        </w:p>
      </w:docPartBody>
    </w:docPart>
    <w:docPart>
      <w:docPartPr>
        <w:name w:val="{71372029-dfac-4ddd-837a-844547f927e9}"/>
        <w:style w:val=""/>
        <w:category>
          <w:name w:val="常规"/>
          <w:gallery w:val="placeholder"/>
        </w:category>
        <w:types>
          <w:type w:val="bbPlcHdr"/>
        </w:types>
        <w:behaviors>
          <w:behavior w:val="content"/>
        </w:behaviors>
        <w:description w:val=""/>
        <w:guid w:val="{71372029-dfac-4ddd-837a-844547f927e9}"/>
      </w:docPartPr>
      <w:docPartBody>
        <w:p>
          <w:r>
            <w:rPr>
              <w:color w:val="808080"/>
            </w:rPr>
            <w:t>单击此处输入文字。</w:t>
          </w:r>
        </w:p>
      </w:docPartBody>
    </w:docPart>
    <w:docPart>
      <w:docPartPr>
        <w:name w:val="{39a6a35b-4738-4c38-a32c-f8c02aa21584}"/>
        <w:style w:val=""/>
        <w:category>
          <w:name w:val="常规"/>
          <w:gallery w:val="placeholder"/>
        </w:category>
        <w:types>
          <w:type w:val="bbPlcHdr"/>
        </w:types>
        <w:behaviors>
          <w:behavior w:val="content"/>
        </w:behaviors>
        <w:description w:val=""/>
        <w:guid w:val="{39a6a35b-4738-4c38-a32c-f8c02aa21584}"/>
      </w:docPartPr>
      <w:docPartBody>
        <w:p>
          <w:r>
            <w:rPr>
              <w:color w:val="808080"/>
            </w:rPr>
            <w:t>单击此处输入文字。</w:t>
          </w:r>
        </w:p>
      </w:docPartBody>
    </w:docPart>
    <w:docPart>
      <w:docPartPr>
        <w:name w:val="{82ec7189-81fe-46be-9845-120a45d0dd6a}"/>
        <w:style w:val=""/>
        <w:category>
          <w:name w:val="常规"/>
          <w:gallery w:val="placeholder"/>
        </w:category>
        <w:types>
          <w:type w:val="bbPlcHdr"/>
        </w:types>
        <w:behaviors>
          <w:behavior w:val="content"/>
        </w:behaviors>
        <w:description w:val=""/>
        <w:guid w:val="{82ec7189-81fe-46be-9845-120a45d0dd6a}"/>
      </w:docPartPr>
      <w:docPartBody>
        <w:p>
          <w:r>
            <w:rPr>
              <w:color w:val="808080"/>
            </w:rPr>
            <w:t>单击此处输入文字。</w:t>
          </w:r>
        </w:p>
      </w:docPartBody>
    </w:docPart>
    <w:docPart>
      <w:docPartPr>
        <w:name w:val="{2326c559-18a7-4ac8-8154-57adf4736b4f}"/>
        <w:style w:val=""/>
        <w:category>
          <w:name w:val="常规"/>
          <w:gallery w:val="placeholder"/>
        </w:category>
        <w:types>
          <w:type w:val="bbPlcHdr"/>
        </w:types>
        <w:behaviors>
          <w:behavior w:val="content"/>
        </w:behaviors>
        <w:description w:val=""/>
        <w:guid w:val="{2326c559-18a7-4ac8-8154-57adf4736b4f}"/>
      </w:docPartPr>
      <w:docPartBody>
        <w:p>
          <w:r>
            <w:rPr>
              <w:color w:val="808080"/>
            </w:rPr>
            <w:t>单击此处输入文字。</w:t>
          </w:r>
        </w:p>
      </w:docPartBody>
    </w:docPart>
    <w:docPart>
      <w:docPartPr>
        <w:name w:val="{3dffa96b-e1f6-40bb-8ada-895d5b8d187c}"/>
        <w:style w:val=""/>
        <w:category>
          <w:name w:val="常规"/>
          <w:gallery w:val="placeholder"/>
        </w:category>
        <w:types>
          <w:type w:val="bbPlcHdr"/>
        </w:types>
        <w:behaviors>
          <w:behavior w:val="content"/>
        </w:behaviors>
        <w:description w:val=""/>
        <w:guid w:val="{3dffa96b-e1f6-40bb-8ada-895d5b8d187c}"/>
      </w:docPartPr>
      <w:docPartBody>
        <w:p>
          <w:r>
            <w:rPr>
              <w:color w:val="808080"/>
            </w:rPr>
            <w:t>单击此处输入文字。</w:t>
          </w:r>
        </w:p>
      </w:docPartBody>
    </w:docPart>
    <w:docPart>
      <w:docPartPr>
        <w:name w:val="{23a4be5c-38ea-4932-9d0f-1893c42dae72}"/>
        <w:style w:val=""/>
        <w:category>
          <w:name w:val="常规"/>
          <w:gallery w:val="placeholder"/>
        </w:category>
        <w:types>
          <w:type w:val="bbPlcHdr"/>
        </w:types>
        <w:behaviors>
          <w:behavior w:val="content"/>
        </w:behaviors>
        <w:description w:val=""/>
        <w:guid w:val="{23a4be5c-38ea-4932-9d0f-1893c42dae72}"/>
      </w:docPartPr>
      <w:docPartBody>
        <w:p>
          <w:r>
            <w:rPr>
              <w:color w:val="808080"/>
            </w:rPr>
            <w:t>单击此处输入文字。</w:t>
          </w:r>
        </w:p>
      </w:docPartBody>
    </w:docPart>
    <w:docPart>
      <w:docPartPr>
        <w:name w:val="{e7a59a56-745e-40dc-b7f9-505a42e1c159}"/>
        <w:style w:val=""/>
        <w:category>
          <w:name w:val="常规"/>
          <w:gallery w:val="placeholder"/>
        </w:category>
        <w:types>
          <w:type w:val="bbPlcHdr"/>
        </w:types>
        <w:behaviors>
          <w:behavior w:val="content"/>
        </w:behaviors>
        <w:description w:val=""/>
        <w:guid w:val="{e7a59a56-745e-40dc-b7f9-505a42e1c159}"/>
      </w:docPartPr>
      <w:docPartBody>
        <w:p>
          <w:r>
            <w:rPr>
              <w:color w:val="808080"/>
            </w:rPr>
            <w:t>单击此处输入文字。</w:t>
          </w:r>
        </w:p>
      </w:docPartBody>
    </w:docPart>
    <w:docPart>
      <w:docPartPr>
        <w:name w:val="{65dbad01-3cf6-4760-83d0-40acc65cfa3b}"/>
        <w:style w:val=""/>
        <w:category>
          <w:name w:val="常规"/>
          <w:gallery w:val="placeholder"/>
        </w:category>
        <w:types>
          <w:type w:val="bbPlcHdr"/>
        </w:types>
        <w:behaviors>
          <w:behavior w:val="content"/>
        </w:behaviors>
        <w:description w:val=""/>
        <w:guid w:val="{65dbad01-3cf6-4760-83d0-40acc65cfa3b}"/>
      </w:docPartPr>
      <w:docPartBody>
        <w:p>
          <w:r>
            <w:rPr>
              <w:color w:val="808080"/>
            </w:rPr>
            <w:t>单击此处输入文字。</w:t>
          </w:r>
        </w:p>
      </w:docPartBody>
    </w:docPart>
    <w:docPart>
      <w:docPartPr>
        <w:name w:val="{7f2a909f-ddc5-4ba4-a7f3-14f9bbb260ad}"/>
        <w:style w:val=""/>
        <w:category>
          <w:name w:val="常规"/>
          <w:gallery w:val="placeholder"/>
        </w:category>
        <w:types>
          <w:type w:val="bbPlcHdr"/>
        </w:types>
        <w:behaviors>
          <w:behavior w:val="content"/>
        </w:behaviors>
        <w:description w:val=""/>
        <w:guid w:val="{7f2a909f-ddc5-4ba4-a7f3-14f9bbb260ad}"/>
      </w:docPartPr>
      <w:docPartBody>
        <w:p>
          <w:r>
            <w:rPr>
              <w:color w:val="808080"/>
            </w:rPr>
            <w:t>单击此处输入文字。</w:t>
          </w:r>
        </w:p>
      </w:docPartBody>
    </w:docPart>
    <w:docPart>
      <w:docPartPr>
        <w:name w:val="{2bc1911b-6385-4867-af96-bd6e77d5b76d}"/>
        <w:style w:val=""/>
        <w:category>
          <w:name w:val="常规"/>
          <w:gallery w:val="placeholder"/>
        </w:category>
        <w:types>
          <w:type w:val="bbPlcHdr"/>
        </w:types>
        <w:behaviors>
          <w:behavior w:val="content"/>
        </w:behaviors>
        <w:description w:val=""/>
        <w:guid w:val="{2bc1911b-6385-4867-af96-bd6e77d5b76d}"/>
      </w:docPartPr>
      <w:docPartBody>
        <w:p>
          <w:r>
            <w:rPr>
              <w:color w:val="808080"/>
            </w:rPr>
            <w:t>单击此处输入文字。</w:t>
          </w:r>
        </w:p>
      </w:docPartBody>
    </w:docPart>
    <w:docPart>
      <w:docPartPr>
        <w:name w:val="{c1c80db8-be26-4e08-a0dd-47f37cca329d}"/>
        <w:style w:val=""/>
        <w:category>
          <w:name w:val="常规"/>
          <w:gallery w:val="placeholder"/>
        </w:category>
        <w:types>
          <w:type w:val="bbPlcHdr"/>
        </w:types>
        <w:behaviors>
          <w:behavior w:val="content"/>
        </w:behaviors>
        <w:description w:val=""/>
        <w:guid w:val="{c1c80db8-be26-4e08-a0dd-47f37cca329d}"/>
      </w:docPartPr>
      <w:docPartBody>
        <w:p>
          <w:r>
            <w:rPr>
              <w:color w:val="808080"/>
            </w:rPr>
            <w:t>单击此处输入文字。</w:t>
          </w:r>
        </w:p>
      </w:docPartBody>
    </w:docPart>
    <w:docPart>
      <w:docPartPr>
        <w:name w:val="{93fd4f8f-3ab5-423d-b398-8d3250a73699}"/>
        <w:style w:val=""/>
        <w:category>
          <w:name w:val="常规"/>
          <w:gallery w:val="placeholder"/>
        </w:category>
        <w:types>
          <w:type w:val="bbPlcHdr"/>
        </w:types>
        <w:behaviors>
          <w:behavior w:val="content"/>
        </w:behaviors>
        <w:description w:val=""/>
        <w:guid w:val="{93fd4f8f-3ab5-423d-b398-8d3250a73699}"/>
      </w:docPartPr>
      <w:docPartBody>
        <w:p>
          <w:r>
            <w:rPr>
              <w:color w:val="808080"/>
            </w:rPr>
            <w:t>单击此处输入文字。</w:t>
          </w:r>
        </w:p>
      </w:docPartBody>
    </w:docPart>
    <w:docPart>
      <w:docPartPr>
        <w:name w:val="{5f84dc24-9c9e-4924-b13f-78c3df8d496f}"/>
        <w:style w:val=""/>
        <w:category>
          <w:name w:val="常规"/>
          <w:gallery w:val="placeholder"/>
        </w:category>
        <w:types>
          <w:type w:val="bbPlcHdr"/>
        </w:types>
        <w:behaviors>
          <w:behavior w:val="content"/>
        </w:behaviors>
        <w:description w:val=""/>
        <w:guid w:val="{5f84dc24-9c9e-4924-b13f-78c3df8d496f}"/>
      </w:docPartPr>
      <w:docPartBody>
        <w:p>
          <w:r>
            <w:rPr>
              <w:color w:val="808080"/>
            </w:rPr>
            <w:t>单击此处输入文字。</w:t>
          </w:r>
        </w:p>
      </w:docPartBody>
    </w:docPart>
    <w:docPart>
      <w:docPartPr>
        <w:name w:val="{cd05f097-9065-4550-8c48-cd9de6c189c6}"/>
        <w:style w:val=""/>
        <w:category>
          <w:name w:val="常规"/>
          <w:gallery w:val="placeholder"/>
        </w:category>
        <w:types>
          <w:type w:val="bbPlcHdr"/>
        </w:types>
        <w:behaviors>
          <w:behavior w:val="content"/>
        </w:behaviors>
        <w:description w:val=""/>
        <w:guid w:val="{cd05f097-9065-4550-8c48-cd9de6c189c6}"/>
      </w:docPartPr>
      <w:docPartBody>
        <w:p>
          <w:r>
            <w:rPr>
              <w:color w:val="808080"/>
            </w:rPr>
            <w:t>单击此处输入文字。</w:t>
          </w:r>
        </w:p>
      </w:docPartBody>
    </w:docPart>
    <w:docPart>
      <w:docPartPr>
        <w:name w:val="{6c81f3c1-b7c8-4d36-9820-127a379e2567}"/>
        <w:style w:val=""/>
        <w:category>
          <w:name w:val="常规"/>
          <w:gallery w:val="placeholder"/>
        </w:category>
        <w:types>
          <w:type w:val="bbPlcHdr"/>
        </w:types>
        <w:behaviors>
          <w:behavior w:val="content"/>
        </w:behaviors>
        <w:description w:val=""/>
        <w:guid w:val="{6c81f3c1-b7c8-4d36-9820-127a379e2567}"/>
      </w:docPartPr>
      <w:docPartBody>
        <w:p>
          <w:r>
            <w:rPr>
              <w:color w:val="808080"/>
            </w:rPr>
            <w:t>单击此处输入文字。</w:t>
          </w:r>
        </w:p>
      </w:docPartBody>
    </w:docPart>
    <w:docPart>
      <w:docPartPr>
        <w:name w:val="{369a6668-af89-41a5-9743-5705e90a7086}"/>
        <w:style w:val=""/>
        <w:category>
          <w:name w:val="常规"/>
          <w:gallery w:val="placeholder"/>
        </w:category>
        <w:types>
          <w:type w:val="bbPlcHdr"/>
        </w:types>
        <w:behaviors>
          <w:behavior w:val="content"/>
        </w:behaviors>
        <w:description w:val=""/>
        <w:guid w:val="{369a6668-af89-41a5-9743-5705e90a7086}"/>
      </w:docPartPr>
      <w:docPartBody>
        <w:p>
          <w:r>
            <w:rPr>
              <w:color w:val="808080"/>
            </w:rPr>
            <w:t>单击此处输入文字。</w:t>
          </w:r>
        </w:p>
      </w:docPartBody>
    </w:docPart>
    <w:docPart>
      <w:docPartPr>
        <w:name w:val="{83487fe1-77b3-43bd-b35d-05fd7398c039}"/>
        <w:style w:val=""/>
        <w:category>
          <w:name w:val="常规"/>
          <w:gallery w:val="placeholder"/>
        </w:category>
        <w:types>
          <w:type w:val="bbPlcHdr"/>
        </w:types>
        <w:behaviors>
          <w:behavior w:val="content"/>
        </w:behaviors>
        <w:description w:val=""/>
        <w:guid w:val="{83487fe1-77b3-43bd-b35d-05fd7398c039}"/>
      </w:docPartPr>
      <w:docPartBody>
        <w:p>
          <w:r>
            <w:rPr>
              <w:color w:val="808080"/>
            </w:rPr>
            <w:t>单击此处输入文字。</w:t>
          </w:r>
        </w:p>
      </w:docPartBody>
    </w:docPart>
    <w:docPart>
      <w:docPartPr>
        <w:name w:val="{38df3650-e8de-4ded-a6e9-5d9c7ff30875}"/>
        <w:style w:val=""/>
        <w:category>
          <w:name w:val="常规"/>
          <w:gallery w:val="placeholder"/>
        </w:category>
        <w:types>
          <w:type w:val="bbPlcHdr"/>
        </w:types>
        <w:behaviors>
          <w:behavior w:val="content"/>
        </w:behaviors>
        <w:description w:val=""/>
        <w:guid w:val="{38df3650-e8de-4ded-a6e9-5d9c7ff30875}"/>
      </w:docPartPr>
      <w:docPartBody>
        <w:p>
          <w:r>
            <w:rPr>
              <w:color w:val="808080"/>
            </w:rPr>
            <w:t>单击此处输入文字。</w:t>
          </w:r>
        </w:p>
      </w:docPartBody>
    </w:docPart>
    <w:docPart>
      <w:docPartPr>
        <w:name w:val="{7d2b8af4-cb69-47c6-8e66-051e74eaae92}"/>
        <w:style w:val=""/>
        <w:category>
          <w:name w:val="常规"/>
          <w:gallery w:val="placeholder"/>
        </w:category>
        <w:types>
          <w:type w:val="bbPlcHdr"/>
        </w:types>
        <w:behaviors>
          <w:behavior w:val="content"/>
        </w:behaviors>
        <w:description w:val=""/>
        <w:guid w:val="{7d2b8af4-cb69-47c6-8e66-051e74eaae92}"/>
      </w:docPartPr>
      <w:docPartBody>
        <w:p>
          <w:r>
            <w:rPr>
              <w:color w:val="808080"/>
            </w:rPr>
            <w:t>单击此处输入文字。</w:t>
          </w:r>
        </w:p>
      </w:docPartBody>
    </w:docPart>
    <w:docPart>
      <w:docPartPr>
        <w:name w:val="{53d17ee2-3aa4-48c0-9789-a52b51407e00}"/>
        <w:style w:val=""/>
        <w:category>
          <w:name w:val="常规"/>
          <w:gallery w:val="placeholder"/>
        </w:category>
        <w:types>
          <w:type w:val="bbPlcHdr"/>
        </w:types>
        <w:behaviors>
          <w:behavior w:val="content"/>
        </w:behaviors>
        <w:description w:val=""/>
        <w:guid w:val="{53d17ee2-3aa4-48c0-9789-a52b51407e00}"/>
      </w:docPartPr>
      <w:docPartBody>
        <w:p>
          <w:r>
            <w:rPr>
              <w:color w:val="808080"/>
            </w:rPr>
            <w:t>单击此处输入文字。</w:t>
          </w:r>
        </w:p>
      </w:docPartBody>
    </w:docPart>
    <w:docPart>
      <w:docPartPr>
        <w:name w:val="{48e76943-3cae-4620-848a-0e7ae5160a94}"/>
        <w:style w:val=""/>
        <w:category>
          <w:name w:val="常规"/>
          <w:gallery w:val="placeholder"/>
        </w:category>
        <w:types>
          <w:type w:val="bbPlcHdr"/>
        </w:types>
        <w:behaviors>
          <w:behavior w:val="content"/>
        </w:behaviors>
        <w:description w:val=""/>
        <w:guid w:val="{48e76943-3cae-4620-848a-0e7ae5160a94}"/>
      </w:docPartPr>
      <w:docPartBody>
        <w:p>
          <w:r>
            <w:rPr>
              <w:color w:val="808080"/>
            </w:rPr>
            <w:t>单击此处输入文字。</w:t>
          </w:r>
        </w:p>
      </w:docPartBody>
    </w:docPart>
    <w:docPart>
      <w:docPartPr>
        <w:name w:val="{3dc3f7e1-9144-4d1b-8d0e-247d45e35134}"/>
        <w:style w:val=""/>
        <w:category>
          <w:name w:val="常规"/>
          <w:gallery w:val="placeholder"/>
        </w:category>
        <w:types>
          <w:type w:val="bbPlcHdr"/>
        </w:types>
        <w:behaviors>
          <w:behavior w:val="content"/>
        </w:behaviors>
        <w:description w:val=""/>
        <w:guid w:val="{3dc3f7e1-9144-4d1b-8d0e-247d45e35134}"/>
      </w:docPartPr>
      <w:docPartBody>
        <w:p>
          <w:r>
            <w:rPr>
              <w:color w:val="808080"/>
            </w:rPr>
            <w:t>单击此处输入文字。</w:t>
          </w:r>
        </w:p>
      </w:docPartBody>
    </w:docPart>
    <w:docPart>
      <w:docPartPr>
        <w:name w:val="{3e198581-28ae-4285-a4e0-c041a16de52e}"/>
        <w:style w:val=""/>
        <w:category>
          <w:name w:val="常规"/>
          <w:gallery w:val="placeholder"/>
        </w:category>
        <w:types>
          <w:type w:val="bbPlcHdr"/>
        </w:types>
        <w:behaviors>
          <w:behavior w:val="content"/>
        </w:behaviors>
        <w:description w:val=""/>
        <w:guid w:val="{3e198581-28ae-4285-a4e0-c041a16de52e}"/>
      </w:docPartPr>
      <w:docPartBody>
        <w:p>
          <w:r>
            <w:rPr>
              <w:color w:val="808080"/>
            </w:rPr>
            <w:t>单击此处输入文字。</w:t>
          </w:r>
        </w:p>
      </w:docPartBody>
    </w:docPart>
    <w:docPart>
      <w:docPartPr>
        <w:name w:val="{47cf47d5-5d2a-4f12-943c-f653cd6a8b7e}"/>
        <w:style w:val=""/>
        <w:category>
          <w:name w:val="常规"/>
          <w:gallery w:val="placeholder"/>
        </w:category>
        <w:types>
          <w:type w:val="bbPlcHdr"/>
        </w:types>
        <w:behaviors>
          <w:behavior w:val="content"/>
        </w:behaviors>
        <w:description w:val=""/>
        <w:guid w:val="{47cf47d5-5d2a-4f12-943c-f653cd6a8b7e}"/>
      </w:docPartPr>
      <w:docPartBody>
        <w:p>
          <w:r>
            <w:rPr>
              <w:color w:val="808080"/>
            </w:rPr>
            <w:t>单击此处输入文字。</w:t>
          </w:r>
        </w:p>
      </w:docPartBody>
    </w:docPart>
    <w:docPart>
      <w:docPartPr>
        <w:name w:val="{15e5a5eb-a655-4461-834f-d534f8ccca74}"/>
        <w:style w:val=""/>
        <w:category>
          <w:name w:val="常规"/>
          <w:gallery w:val="placeholder"/>
        </w:category>
        <w:types>
          <w:type w:val="bbPlcHdr"/>
        </w:types>
        <w:behaviors>
          <w:behavior w:val="content"/>
        </w:behaviors>
        <w:description w:val=""/>
        <w:guid w:val="{15e5a5eb-a655-4461-834f-d534f8ccca74}"/>
      </w:docPartPr>
      <w:docPartBody>
        <w:p>
          <w:r>
            <w:rPr>
              <w:color w:val="808080"/>
            </w:rPr>
            <w:t>单击此处输入文字。</w:t>
          </w:r>
        </w:p>
      </w:docPartBody>
    </w:docPart>
    <w:docPart>
      <w:docPartPr>
        <w:name w:val="{176b93db-f650-44fb-a7f3-7e3e406ebfca}"/>
        <w:style w:val=""/>
        <w:category>
          <w:name w:val="常规"/>
          <w:gallery w:val="placeholder"/>
        </w:category>
        <w:types>
          <w:type w:val="bbPlcHdr"/>
        </w:types>
        <w:behaviors>
          <w:behavior w:val="content"/>
        </w:behaviors>
        <w:description w:val=""/>
        <w:guid w:val="{176b93db-f650-44fb-a7f3-7e3e406ebfca}"/>
      </w:docPartPr>
      <w:docPartBody>
        <w:p>
          <w:r>
            <w:rPr>
              <w:color w:val="808080"/>
            </w:rPr>
            <w:t>单击此处输入文字。</w:t>
          </w:r>
        </w:p>
      </w:docPartBody>
    </w:docPart>
    <w:docPart>
      <w:docPartPr>
        <w:name w:val="{69cf3a13-c5b6-4502-b71d-3e001d750029}"/>
        <w:style w:val=""/>
        <w:category>
          <w:name w:val="常规"/>
          <w:gallery w:val="placeholder"/>
        </w:category>
        <w:types>
          <w:type w:val="bbPlcHdr"/>
        </w:types>
        <w:behaviors>
          <w:behavior w:val="content"/>
        </w:behaviors>
        <w:description w:val=""/>
        <w:guid w:val="{69cf3a13-c5b6-4502-b71d-3e001d750029}"/>
      </w:docPartPr>
      <w:docPartBody>
        <w:p>
          <w:r>
            <w:rPr>
              <w:color w:val="808080"/>
            </w:rPr>
            <w:t>单击此处输入文字。</w:t>
          </w:r>
        </w:p>
      </w:docPartBody>
    </w:docPart>
    <w:docPart>
      <w:docPartPr>
        <w:name w:val="{a2b276bb-1a89-457d-954f-6ab8fbaa4ee5}"/>
        <w:style w:val=""/>
        <w:category>
          <w:name w:val="常规"/>
          <w:gallery w:val="placeholder"/>
        </w:category>
        <w:types>
          <w:type w:val="bbPlcHdr"/>
        </w:types>
        <w:behaviors>
          <w:behavior w:val="content"/>
        </w:behaviors>
        <w:description w:val=""/>
        <w:guid w:val="{a2b276bb-1a89-457d-954f-6ab8fbaa4ee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0</TotalTime>
  <ScaleCrop>false</ScaleCrop>
  <LinksUpToDate>false</LinksUpToDate>
  <CharactersWithSpaces>8692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2020-08-04T17:49:00Z</dcterms:created>
  <dc:creator>曹颖</dc:creator>
  <cp:lastModifiedBy>马瑞晨</cp:lastModifiedBy>
  <cp:lastPrinted>2021-07-29T19:56:00Z</cp:lastPrinted>
  <dcterms:modified xsi:type="dcterms:W3CDTF">2022-07-28T17:15:32Z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