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52"/>
          <w:szCs w:val="5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7425"/>
      <w:bookmarkStart w:id="2" w:name="_Toc15396597"/>
      <w:bookmarkStart w:id="3" w:name="_Toc15378441"/>
      <w:bookmarkStart w:id="4" w:name="_Toc15377193"/>
      <w:bookmarkStart w:id="5" w:name="_Toc15396475"/>
      <w:r>
        <w:rPr>
          <w:rFonts w:ascii="黑体" w:hAnsi="黑体" w:eastAsia="黑体"/>
          <w:color w:val="000000"/>
          <w:sz w:val="52"/>
          <w:szCs w:val="52"/>
        </w:rPr>
        <w:t>20</w:t>
      </w:r>
      <w:r>
        <w:rPr>
          <w:rFonts w:hint="eastAsia" w:ascii="黑体" w:hAnsi="黑体" w:eastAsia="黑体"/>
          <w:color w:val="000000"/>
          <w:sz w:val="52"/>
          <w:szCs w:val="52"/>
          <w:lang w:val="en-US" w:eastAsia="zh-CN"/>
        </w:rPr>
        <w:t>20</w:t>
      </w:r>
      <w:r>
        <w:rPr>
          <w:rFonts w:hint="eastAsia" w:ascii="方正小标宋简体" w:hAnsi="宋体" w:eastAsia="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52"/>
          <w:szCs w:val="52"/>
          <w:lang w:val="en-US" w:eastAsia="zh-CN"/>
        </w:rPr>
      </w:pPr>
      <w:bookmarkStart w:id="6" w:name="_Toc15377426"/>
      <w:bookmarkStart w:id="7" w:name="_Toc15377194"/>
      <w:bookmarkStart w:id="8" w:name="_Toc15396598"/>
      <w:bookmarkStart w:id="9" w:name="_Toc15396476"/>
      <w:bookmarkStart w:id="10" w:name="_Toc15378442"/>
      <w:r>
        <w:rPr>
          <w:rFonts w:hint="eastAsia" w:ascii="方正小标宋简体" w:hAnsi="宋体" w:eastAsia="方正小标宋简体"/>
          <w:color w:val="000000"/>
          <w:sz w:val="52"/>
          <w:szCs w:val="52"/>
        </w:rPr>
        <w:t>四川省</w:t>
      </w:r>
      <w:bookmarkEnd w:id="0"/>
      <w:bookmarkStart w:id="11" w:name="_Toc15306268"/>
      <w:r>
        <w:rPr>
          <w:rFonts w:hint="eastAsia" w:ascii="方正小标宋简体" w:hAnsi="宋体" w:eastAsia="方正小标宋简体"/>
          <w:color w:val="000000"/>
          <w:sz w:val="52"/>
          <w:szCs w:val="52"/>
          <w:lang w:val="en-US" w:eastAsia="zh-CN"/>
        </w:rPr>
        <w:t>少数民族古籍整理办公室</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lang w:val="en-US" w:eastAsia="zh-CN"/>
        </w:rPr>
        <w:t>单位</w:t>
      </w:r>
      <w:r>
        <w:rPr>
          <w:rFonts w:hint="eastAsia" w:ascii="方正小标宋简体" w:hAnsi="宋体" w:eastAsia="方正小标宋简体"/>
          <w:color w:val="000000"/>
          <w:sz w:val="52"/>
          <w:szCs w:val="52"/>
        </w:rPr>
        <w:t>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w:t>
      </w:r>
      <w:r>
        <w:rPr>
          <w:rFonts w:hint="eastAsia"/>
          <w:lang w:val="en-US" w:eastAsia="zh-CN"/>
        </w:rPr>
        <w:t>21</w:t>
      </w:r>
      <w:r>
        <w:rPr>
          <w:rFonts w:hint="eastAsia"/>
        </w:rPr>
        <w:t>年</w:t>
      </w:r>
      <w:r>
        <w:rPr>
          <w:rFonts w:hint="eastAsia"/>
          <w:lang w:val="en-US" w:eastAsia="zh-CN"/>
        </w:rPr>
        <w:t>9</w:t>
      </w:r>
      <w:r>
        <w:rPr>
          <w:rFonts w:hint="eastAsia"/>
        </w:rPr>
        <w:t>月</w:t>
      </w:r>
      <w:r>
        <w:rPr>
          <w:rFonts w:hint="eastAsia"/>
          <w:lang w:val="en-US" w:eastAsia="zh-CN"/>
        </w:rPr>
        <w:t>10</w:t>
      </w:r>
      <w:r>
        <w:rPr>
          <w:rFonts w:hint="eastAsia"/>
        </w:rPr>
        <w:t>日</w:t>
      </w:r>
      <w:bookmarkStart w:id="143" w:name="_GoBack"/>
      <w:bookmarkEnd w:id="143"/>
    </w:p>
    <w:p/>
    <w:sdt>
      <w:sdtPr>
        <w:rPr>
          <w:rFonts w:ascii="宋体" w:hAnsi="宋体" w:eastAsia="宋体"/>
          <w:sz w:val="21"/>
        </w:rPr>
        <w:id w:val="147479234"/>
        <w:docPartObj>
          <w:docPartGallery w:val="Table of Contents"/>
          <w:docPartUnique/>
        </w:docPartObj>
      </w:sdtPr>
      <w:sdtEndPr>
        <w:rPr>
          <w:rFonts w:ascii="宋体" w:hAnsi="宋体" w:eastAsia="宋体"/>
          <w:sz w:val="20"/>
          <w:szCs w:val="20"/>
        </w:rPr>
      </w:sdtEndPr>
      <w:sdtContent>
        <w:p>
          <w:pPr>
            <w:jc w:val="center"/>
          </w:pPr>
          <w:bookmarkStart w:id="12" w:name="_Toc12958"/>
          <w:bookmarkStart w:id="13" w:name="_Toc15377196"/>
          <w:bookmarkStart w:id="14" w:name="_Toc15396599"/>
        </w:p>
        <w:p>
          <w:pPr>
            <w:pStyle w:val="31"/>
            <w:tabs>
              <w:tab w:val="right" w:leader="dot" w:pos="8306"/>
            </w:tabs>
          </w:pPr>
          <w:r>
            <w:rPr>
              <w:b/>
              <w:bCs/>
            </w:rPr>
            <w:fldChar w:fldCharType="begin"/>
          </w:r>
          <w:r>
            <w:instrText xml:space="preserve"> HYPERLINK \l _Toc21452 </w:instrText>
          </w:r>
          <w:r>
            <w:rPr>
              <w:b/>
              <w:bCs/>
            </w:rPr>
            <w:fldChar w:fldCharType="separate"/>
          </w:r>
          <w:sdt>
            <w:sdtPr>
              <w:rPr>
                <w:rFonts w:ascii="Times New Roman" w:hAnsi="Times New Roman" w:eastAsia="宋体" w:cs="Times New Roman"/>
                <w:b/>
                <w:bCs/>
                <w:kern w:val="44"/>
                <w:sz w:val="44"/>
                <w:szCs w:val="44"/>
                <w:lang w:val="en-US" w:eastAsia="zh-CN" w:bidi="ar-SA"/>
              </w:rPr>
              <w:id w:val="147479237"/>
              <w:placeholder>
                <w:docPart w:val="{5fbe7945-02a4-4afc-9b03-f69c1c9ef3f7}"/>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imes New Roman"/>
                  <w:b/>
                  <w:bCs/>
                </w:rPr>
                <w:t>第一部分 单位概况</w:t>
              </w:r>
            </w:sdtContent>
          </w:sdt>
          <w:r>
            <w:rPr>
              <w:b/>
              <w:bCs/>
            </w:rPr>
            <w:tab/>
          </w:r>
          <w:r>
            <w:rPr>
              <w:b/>
              <w:bCs/>
            </w:rPr>
            <w:t>4</w:t>
          </w:r>
          <w:r>
            <w:rPr>
              <w:b/>
              <w:bCs/>
            </w:rPr>
            <w:fldChar w:fldCharType="end"/>
          </w:r>
        </w:p>
        <w:p>
          <w:pPr>
            <w:pStyle w:val="32"/>
            <w:tabs>
              <w:tab w:val="right" w:leader="dot" w:pos="8306"/>
            </w:tabs>
          </w:pPr>
          <w:r>
            <w:fldChar w:fldCharType="begin"/>
          </w:r>
          <w:r>
            <w:instrText xml:space="preserve"> HYPERLINK \l _Toc31223 </w:instrText>
          </w:r>
          <w:r>
            <w:fldChar w:fldCharType="separate"/>
          </w:r>
          <w:sdt>
            <w:sdtPr>
              <w:rPr>
                <w:rFonts w:ascii="Times New Roman" w:hAnsi="Times New Roman" w:eastAsia="宋体" w:cs="Times New Roman"/>
                <w:b/>
                <w:bCs/>
                <w:kern w:val="44"/>
                <w:sz w:val="44"/>
                <w:szCs w:val="44"/>
                <w:lang w:val="en-US" w:eastAsia="zh-CN" w:bidi="ar-SA"/>
              </w:rPr>
              <w:id w:val="147479237"/>
              <w:placeholder>
                <w:docPart w:val="{4747ac12-6bc7-4850-bcd0-9d129f1b2a8f}"/>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heme="majorBidi"/>
                </w:rPr>
                <w:t>一、职能简介</w:t>
              </w:r>
            </w:sdtContent>
          </w:sdt>
          <w:r>
            <w:tab/>
          </w:r>
          <w:r>
            <w:t>4</w:t>
          </w:r>
          <w:r>
            <w:fldChar w:fldCharType="end"/>
          </w:r>
        </w:p>
        <w:p>
          <w:pPr>
            <w:pStyle w:val="32"/>
            <w:tabs>
              <w:tab w:val="right" w:leader="dot" w:pos="8306"/>
            </w:tabs>
          </w:pPr>
          <w:r>
            <w:fldChar w:fldCharType="begin"/>
          </w:r>
          <w:r>
            <w:instrText xml:space="preserve"> HYPERLINK \l _Toc19639 </w:instrText>
          </w:r>
          <w:r>
            <w:fldChar w:fldCharType="separate"/>
          </w:r>
          <w:sdt>
            <w:sdtPr>
              <w:rPr>
                <w:rFonts w:ascii="Times New Roman" w:hAnsi="Times New Roman" w:eastAsia="宋体" w:cs="Times New Roman"/>
                <w:b/>
                <w:bCs/>
                <w:kern w:val="44"/>
                <w:sz w:val="44"/>
                <w:szCs w:val="44"/>
                <w:lang w:val="en-US" w:eastAsia="zh-CN" w:bidi="ar-SA"/>
              </w:rPr>
              <w:id w:val="147479237"/>
              <w:placeholder>
                <w:docPart w:val="{4804a689-a61a-4198-8222-1837c96f656e}"/>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heme="majorBidi"/>
                </w:rPr>
                <w:t>二、2020年重点工作完成情况</w:t>
              </w:r>
            </w:sdtContent>
          </w:sdt>
          <w:r>
            <w:tab/>
          </w:r>
          <w:r>
            <w:t>4</w:t>
          </w:r>
          <w:r>
            <w:fldChar w:fldCharType="end"/>
          </w:r>
        </w:p>
        <w:p>
          <w:pPr>
            <w:pStyle w:val="31"/>
            <w:tabs>
              <w:tab w:val="right" w:leader="dot" w:pos="8306"/>
            </w:tabs>
          </w:pPr>
          <w:r>
            <w:rPr>
              <w:b/>
              <w:bCs/>
            </w:rPr>
            <w:fldChar w:fldCharType="begin"/>
          </w:r>
          <w:r>
            <w:instrText xml:space="preserve"> HYPERLINK \l _Toc1470 </w:instrText>
          </w:r>
          <w:r>
            <w:rPr>
              <w:b/>
              <w:bCs/>
            </w:rPr>
            <w:fldChar w:fldCharType="separate"/>
          </w:r>
          <w:sdt>
            <w:sdtPr>
              <w:rPr>
                <w:rFonts w:ascii="Times New Roman" w:hAnsi="Times New Roman" w:eastAsia="宋体" w:cs="Times New Roman"/>
                <w:b/>
                <w:bCs/>
                <w:kern w:val="44"/>
                <w:sz w:val="44"/>
                <w:szCs w:val="44"/>
                <w:lang w:val="en-US" w:eastAsia="zh-CN" w:bidi="ar-SA"/>
              </w:rPr>
              <w:id w:val="147479237"/>
              <w:placeholder>
                <w:docPart w:val="{5953c8e1-f1b8-44e3-803e-bc1ef5ba53ab}"/>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imes New Roman"/>
                  <w:b/>
                  <w:bCs/>
                </w:rPr>
                <w:t>第二部分 2020年度</w:t>
              </w:r>
              <w:r>
                <w:rPr>
                  <w:rFonts w:hint="eastAsia" w:ascii="黑体" w:hAnsi="黑体" w:eastAsia="黑体" w:cs="Times New Roman"/>
                  <w:b/>
                  <w:bCs/>
                  <w:lang w:eastAsia="zh-CN"/>
                </w:rPr>
                <w:t>单位决算</w:t>
              </w:r>
              <w:r>
                <w:rPr>
                  <w:rFonts w:hint="eastAsia" w:ascii="黑体" w:hAnsi="黑体" w:eastAsia="黑体" w:cs="Times New Roman"/>
                  <w:b/>
                  <w:bCs/>
                </w:rPr>
                <w:t>情况说明</w:t>
              </w:r>
            </w:sdtContent>
          </w:sdt>
          <w:r>
            <w:rPr>
              <w:b/>
              <w:bCs/>
            </w:rPr>
            <w:tab/>
          </w:r>
          <w:r>
            <w:rPr>
              <w:b/>
              <w:bCs/>
            </w:rPr>
            <w:t>6</w:t>
          </w:r>
          <w:r>
            <w:rPr>
              <w:b/>
              <w:bCs/>
            </w:rPr>
            <w:fldChar w:fldCharType="end"/>
          </w:r>
        </w:p>
        <w:p>
          <w:pPr>
            <w:pStyle w:val="32"/>
            <w:tabs>
              <w:tab w:val="right" w:leader="dot" w:pos="8306"/>
            </w:tabs>
          </w:pPr>
          <w:r>
            <w:fldChar w:fldCharType="begin"/>
          </w:r>
          <w:r>
            <w:instrText xml:space="preserve"> HYPERLINK \l _Toc32324 </w:instrText>
          </w:r>
          <w:r>
            <w:fldChar w:fldCharType="separate"/>
          </w:r>
          <w:sdt>
            <w:sdtPr>
              <w:rPr>
                <w:rFonts w:ascii="Times New Roman" w:hAnsi="Times New Roman" w:eastAsia="宋体" w:cs="Times New Roman"/>
                <w:b/>
                <w:bCs/>
                <w:kern w:val="44"/>
                <w:sz w:val="44"/>
                <w:szCs w:val="44"/>
                <w:lang w:val="en-US" w:eastAsia="zh-CN" w:bidi="ar-SA"/>
              </w:rPr>
              <w:id w:val="147479237"/>
              <w:placeholder>
                <w:docPart w:val="{cc65de0f-12fb-4a59-8d73-a3aba956da93}"/>
              </w:placeholder>
            </w:sdtPr>
            <w:sdtEndPr>
              <w:rPr>
                <w:rFonts w:ascii="Times New Roman" w:hAnsi="Times New Roman" w:eastAsia="宋体" w:cs="Times New Roman"/>
                <w:b/>
                <w:bCs/>
                <w:kern w:val="44"/>
                <w:sz w:val="44"/>
                <w:szCs w:val="44"/>
                <w:lang w:val="en-US" w:eastAsia="zh-CN" w:bidi="ar-SA"/>
              </w:rPr>
            </w:sdtEndPr>
            <w:sdtContent>
              <w:r>
                <w:rPr>
                  <w:rFonts w:hint="default" w:ascii="黑体" w:hAnsi="黑体" w:eastAsia="黑体" w:cstheme="majorBidi"/>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r>
            <w:t>6</w:t>
          </w:r>
          <w:r>
            <w:fldChar w:fldCharType="end"/>
          </w:r>
        </w:p>
        <w:p>
          <w:pPr>
            <w:pStyle w:val="32"/>
            <w:tabs>
              <w:tab w:val="right" w:leader="dot" w:pos="8306"/>
            </w:tabs>
          </w:pPr>
          <w:r>
            <w:fldChar w:fldCharType="begin"/>
          </w:r>
          <w:r>
            <w:instrText xml:space="preserve"> HYPERLINK \l _Toc17298 </w:instrText>
          </w:r>
          <w:r>
            <w:fldChar w:fldCharType="separate"/>
          </w:r>
          <w:sdt>
            <w:sdtPr>
              <w:rPr>
                <w:rFonts w:ascii="Times New Roman" w:hAnsi="Times New Roman" w:eastAsia="宋体" w:cs="Times New Roman"/>
                <w:b/>
                <w:bCs/>
                <w:kern w:val="44"/>
                <w:sz w:val="44"/>
                <w:szCs w:val="44"/>
                <w:lang w:val="en-US" w:eastAsia="zh-CN" w:bidi="ar-SA"/>
              </w:rPr>
              <w:id w:val="147479237"/>
              <w:placeholder>
                <w:docPart w:val="{64ea0b77-01a1-480a-8972-8fcc96311de4}"/>
              </w:placeholder>
            </w:sdtPr>
            <w:sdtEndPr>
              <w:rPr>
                <w:rFonts w:ascii="Times New Roman" w:hAnsi="Times New Roman" w:eastAsia="宋体" w:cs="Times New Roman"/>
                <w:b/>
                <w:bCs/>
                <w:kern w:val="44"/>
                <w:sz w:val="44"/>
                <w:szCs w:val="44"/>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r>
            <w:t>6</w:t>
          </w:r>
          <w:r>
            <w:fldChar w:fldCharType="end"/>
          </w:r>
        </w:p>
        <w:p>
          <w:pPr>
            <w:pStyle w:val="32"/>
            <w:tabs>
              <w:tab w:val="right" w:leader="dot" w:pos="8306"/>
            </w:tabs>
          </w:pPr>
          <w:r>
            <w:fldChar w:fldCharType="begin"/>
          </w:r>
          <w:r>
            <w:instrText xml:space="preserve"> HYPERLINK \l _Toc23031 </w:instrText>
          </w:r>
          <w:r>
            <w:fldChar w:fldCharType="separate"/>
          </w:r>
          <w:sdt>
            <w:sdtPr>
              <w:rPr>
                <w:rFonts w:ascii="Times New Roman" w:hAnsi="Times New Roman" w:eastAsia="宋体" w:cs="Times New Roman"/>
                <w:b/>
                <w:bCs/>
                <w:kern w:val="44"/>
                <w:sz w:val="44"/>
                <w:szCs w:val="44"/>
                <w:lang w:val="en-US" w:eastAsia="zh-CN" w:bidi="ar-SA"/>
              </w:rPr>
              <w:id w:val="147479237"/>
              <w:placeholder>
                <w:docPart w:val="{12f68e46-def9-4cd0-8961-adb3082734f9}"/>
              </w:placeholder>
            </w:sdtPr>
            <w:sdtEndPr>
              <w:rPr>
                <w:rFonts w:ascii="Times New Roman" w:hAnsi="Times New Roman" w:eastAsia="宋体" w:cs="Times New Roman"/>
                <w:b/>
                <w:bCs/>
                <w:kern w:val="44"/>
                <w:sz w:val="44"/>
                <w:szCs w:val="44"/>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r>
            <w:t>7</w:t>
          </w:r>
          <w:r>
            <w:fldChar w:fldCharType="end"/>
          </w:r>
        </w:p>
        <w:p>
          <w:pPr>
            <w:pStyle w:val="32"/>
            <w:tabs>
              <w:tab w:val="right" w:leader="dot" w:pos="8306"/>
            </w:tabs>
          </w:pPr>
          <w:r>
            <w:fldChar w:fldCharType="begin"/>
          </w:r>
          <w:r>
            <w:instrText xml:space="preserve"> HYPERLINK \l _Toc19208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e466c11a-5008-4331-b17b-1a2ef8e2bb4e}"/>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r>
            <w:t>7</w:t>
          </w:r>
          <w:r>
            <w:fldChar w:fldCharType="end"/>
          </w:r>
        </w:p>
        <w:p>
          <w:pPr>
            <w:pStyle w:val="32"/>
            <w:tabs>
              <w:tab w:val="right" w:leader="dot" w:pos="8306"/>
            </w:tabs>
          </w:pPr>
          <w:r>
            <w:fldChar w:fldCharType="begin"/>
          </w:r>
          <w:r>
            <w:instrText xml:space="preserve"> HYPERLINK \l _Toc9203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128893f9-dc5b-4d1e-9b18-c864c54978f8}"/>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r>
            <w:t>8</w:t>
          </w:r>
          <w:r>
            <w:fldChar w:fldCharType="end"/>
          </w:r>
        </w:p>
        <w:p>
          <w:pPr>
            <w:pStyle w:val="32"/>
            <w:tabs>
              <w:tab w:val="right" w:leader="dot" w:pos="8306"/>
            </w:tabs>
          </w:pPr>
          <w:r>
            <w:fldChar w:fldCharType="begin"/>
          </w:r>
          <w:r>
            <w:instrText xml:space="preserve"> HYPERLINK \l _Toc4735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39bf75df-d8e8-405a-becb-f731b0d10e02}"/>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r>
            <w:t>10</w:t>
          </w:r>
          <w:r>
            <w:fldChar w:fldCharType="end"/>
          </w:r>
        </w:p>
        <w:p>
          <w:pPr>
            <w:pStyle w:val="32"/>
            <w:tabs>
              <w:tab w:val="right" w:leader="dot" w:pos="8306"/>
            </w:tabs>
          </w:pPr>
          <w:r>
            <w:fldChar w:fldCharType="begin"/>
          </w:r>
          <w:r>
            <w:instrText xml:space="preserve"> HYPERLINK \l _Toc25533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71372029-dfac-4ddd-837a-844547f927e9}"/>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r>
            <w:t>11</w:t>
          </w:r>
          <w:r>
            <w:fldChar w:fldCharType="end"/>
          </w:r>
        </w:p>
        <w:p>
          <w:pPr>
            <w:pStyle w:val="32"/>
            <w:tabs>
              <w:tab w:val="right" w:leader="dot" w:pos="8306"/>
            </w:tabs>
          </w:pPr>
          <w:r>
            <w:fldChar w:fldCharType="begin"/>
          </w:r>
          <w:r>
            <w:instrText xml:space="preserve"> HYPERLINK \l _Toc9870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39a6a35b-4738-4c38-a32c-f8c02aa21584}"/>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r>
            <w:t>12</w:t>
          </w:r>
          <w:r>
            <w:fldChar w:fldCharType="end"/>
          </w:r>
        </w:p>
        <w:p>
          <w:pPr>
            <w:pStyle w:val="32"/>
            <w:tabs>
              <w:tab w:val="right" w:leader="dot" w:pos="8306"/>
            </w:tabs>
          </w:pPr>
          <w:r>
            <w:fldChar w:fldCharType="begin"/>
          </w:r>
          <w:r>
            <w:instrText xml:space="preserve"> HYPERLINK \l _Toc21225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82ec7189-81fe-46be-9845-120a45d0dd6a}"/>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heme="majorBidi"/>
                </w:rPr>
                <w:t>九、 国有资本经营预算支出决算情况说明</w:t>
              </w:r>
            </w:sdtContent>
          </w:sdt>
          <w:r>
            <w:tab/>
          </w:r>
          <w:r>
            <w:t>12</w:t>
          </w:r>
          <w:r>
            <w:fldChar w:fldCharType="end"/>
          </w:r>
        </w:p>
        <w:p>
          <w:pPr>
            <w:pStyle w:val="32"/>
            <w:tabs>
              <w:tab w:val="right" w:leader="dot" w:pos="8306"/>
            </w:tabs>
          </w:pPr>
          <w:r>
            <w:fldChar w:fldCharType="begin"/>
          </w:r>
          <w:r>
            <w:instrText xml:space="preserve"> HYPERLINK \l _Toc26144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2326c559-18a7-4ac8-8154-57adf4736b4f}"/>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heme="majorBidi"/>
                </w:rPr>
                <w:t>十、 其他重要事项的情况说明</w:t>
              </w:r>
            </w:sdtContent>
          </w:sdt>
          <w:r>
            <w:tab/>
          </w:r>
          <w:r>
            <w:t>12</w:t>
          </w:r>
          <w:r>
            <w:fldChar w:fldCharType="end"/>
          </w:r>
        </w:p>
        <w:p>
          <w:pPr>
            <w:pStyle w:val="31"/>
            <w:tabs>
              <w:tab w:val="right" w:leader="dot" w:pos="8306"/>
            </w:tabs>
          </w:pPr>
          <w:r>
            <w:rPr>
              <w:b/>
              <w:bCs/>
            </w:rPr>
            <w:fldChar w:fldCharType="begin"/>
          </w:r>
          <w:r>
            <w:instrText xml:space="preserve"> HYPERLINK \l _Toc16281 </w:instrText>
          </w:r>
          <w:r>
            <w:rPr>
              <w:b/>
              <w:bCs/>
            </w:rPr>
            <w:fldChar w:fldCharType="separate"/>
          </w:r>
          <w:sdt>
            <w:sdtPr>
              <w:rPr>
                <w:rFonts w:ascii="Times New Roman" w:hAnsi="Times New Roman" w:eastAsia="宋体" w:cs="Times New Roman"/>
                <w:b/>
                <w:bCs/>
                <w:kern w:val="44"/>
                <w:sz w:val="44"/>
                <w:szCs w:val="44"/>
                <w:lang w:val="en-US" w:eastAsia="zh-CN" w:bidi="ar-SA"/>
              </w:rPr>
              <w:id w:val="147479234"/>
              <w:placeholder>
                <w:docPart w:val="{3dffa96b-e1f6-40bb-8ada-895d5b8d187c}"/>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r>
            <w:rPr>
              <w:b/>
              <w:bCs/>
            </w:rPr>
            <w:t>17</w:t>
          </w:r>
          <w:r>
            <w:rPr>
              <w:b/>
              <w:bCs/>
            </w:rPr>
            <w:fldChar w:fldCharType="end"/>
          </w:r>
        </w:p>
        <w:p>
          <w:pPr>
            <w:pStyle w:val="31"/>
            <w:tabs>
              <w:tab w:val="right" w:leader="dot" w:pos="8306"/>
            </w:tabs>
          </w:pPr>
          <w:r>
            <w:rPr>
              <w:b/>
              <w:bCs/>
            </w:rPr>
            <w:fldChar w:fldCharType="begin"/>
          </w:r>
          <w:r>
            <w:instrText xml:space="preserve"> HYPERLINK \l _Toc9733 </w:instrText>
          </w:r>
          <w:r>
            <w:rPr>
              <w:b/>
              <w:bCs/>
            </w:rPr>
            <w:fldChar w:fldCharType="separate"/>
          </w:r>
          <w:sdt>
            <w:sdtPr>
              <w:rPr>
                <w:rFonts w:ascii="Times New Roman" w:hAnsi="Times New Roman" w:eastAsia="宋体" w:cs="Times New Roman"/>
                <w:b/>
                <w:bCs/>
                <w:kern w:val="44"/>
                <w:sz w:val="44"/>
                <w:szCs w:val="44"/>
                <w:lang w:val="en-US" w:eastAsia="zh-CN" w:bidi="ar-SA"/>
              </w:rPr>
              <w:id w:val="147479234"/>
              <w:placeholder>
                <w:docPart w:val="{23a4be5c-38ea-4932-9d0f-1893c42dae72}"/>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黑体"/>
                  <w:b/>
                  <w:bCs/>
                </w:rPr>
                <w:t xml:space="preserve">第四部分 </w:t>
              </w:r>
              <w:r>
                <w:rPr>
                  <w:rFonts w:hint="eastAsia" w:ascii="黑体" w:hAnsi="黑体" w:eastAsia="黑体" w:cs="Times New Roman"/>
                  <w:b/>
                  <w:bCs/>
                </w:rPr>
                <w:t>附件</w:t>
              </w:r>
            </w:sdtContent>
          </w:sdt>
          <w:r>
            <w:rPr>
              <w:b/>
              <w:bCs/>
            </w:rPr>
            <w:tab/>
          </w:r>
          <w:r>
            <w:rPr>
              <w:b/>
              <w:bCs/>
            </w:rPr>
            <w:t>20</w:t>
          </w:r>
          <w:r>
            <w:rPr>
              <w:b/>
              <w:bCs/>
            </w:rPr>
            <w:fldChar w:fldCharType="end"/>
          </w:r>
        </w:p>
        <w:p>
          <w:pPr>
            <w:pStyle w:val="32"/>
            <w:tabs>
              <w:tab w:val="right" w:leader="dot" w:pos="8306"/>
            </w:tabs>
          </w:pPr>
          <w:r>
            <w:fldChar w:fldCharType="begin"/>
          </w:r>
          <w:r>
            <w:instrText xml:space="preserve"> HYPERLINK \l _Toc21928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e7a59a56-745e-40dc-b7f9-505a42e1c159}"/>
              </w:placeholder>
            </w:sdtPr>
            <w:sdtEndPr>
              <w:rPr>
                <w:rFonts w:ascii="Times New Roman" w:hAnsi="Times New Roman" w:eastAsia="宋体" w:cs="Times New Roman"/>
                <w:b/>
                <w:bCs/>
                <w:kern w:val="44"/>
                <w:sz w:val="44"/>
                <w:szCs w:val="44"/>
                <w:lang w:val="en-US" w:eastAsia="zh-CN" w:bidi="ar-SA"/>
              </w:rPr>
            </w:sdtEndPr>
            <w:sdtContent>
              <w:r>
                <w:rPr>
                  <w:rFonts w:hint="eastAsia" w:ascii="Times New Roman" w:hAnsi="Times New Roman" w:eastAsia="方正小标宋简体" w:cs="Times New Roman"/>
                </w:rPr>
                <w:t>2020年</w:t>
              </w:r>
              <w:r>
                <w:rPr>
                  <w:rFonts w:hint="default" w:ascii="Times New Roman" w:hAnsi="Times New Roman" w:eastAsia="方正小标宋简体" w:cs="Times New Roman"/>
                </w:rPr>
                <w:t>古籍出版经费项目支出绩效自评报告</w:t>
              </w:r>
            </w:sdtContent>
          </w:sdt>
          <w:r>
            <w:tab/>
          </w:r>
          <w:r>
            <w:t>20</w:t>
          </w:r>
          <w:r>
            <w:fldChar w:fldCharType="end"/>
          </w:r>
        </w:p>
        <w:p>
          <w:pPr>
            <w:pStyle w:val="32"/>
            <w:tabs>
              <w:tab w:val="right" w:leader="dot" w:pos="8306"/>
            </w:tabs>
          </w:pPr>
          <w:r>
            <w:fldChar w:fldCharType="begin"/>
          </w:r>
          <w:r>
            <w:instrText xml:space="preserve"> HYPERLINK \l _Toc11193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65dbad01-3cf6-4760-83d0-40acc65cfa3b}"/>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一、基本情况</w:t>
              </w:r>
            </w:sdtContent>
          </w:sdt>
          <w:r>
            <w:tab/>
          </w:r>
          <w:r>
            <w:t>20</w:t>
          </w:r>
          <w:r>
            <w:fldChar w:fldCharType="end"/>
          </w:r>
        </w:p>
        <w:p>
          <w:pPr>
            <w:pStyle w:val="32"/>
            <w:tabs>
              <w:tab w:val="right" w:leader="dot" w:pos="8306"/>
            </w:tabs>
          </w:pPr>
          <w:r>
            <w:fldChar w:fldCharType="begin"/>
          </w:r>
          <w:r>
            <w:instrText xml:space="preserve"> HYPERLINK \l _Toc4490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7f2a909f-ddc5-4ba4-a7f3-14f9bbb260ad}"/>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二、评价工作开展情况</w:t>
              </w:r>
            </w:sdtContent>
          </w:sdt>
          <w:r>
            <w:tab/>
          </w:r>
          <w:r>
            <w:t>23</w:t>
          </w:r>
          <w:r>
            <w:fldChar w:fldCharType="end"/>
          </w:r>
        </w:p>
        <w:p>
          <w:pPr>
            <w:pStyle w:val="32"/>
            <w:tabs>
              <w:tab w:val="right" w:leader="dot" w:pos="8306"/>
            </w:tabs>
          </w:pPr>
          <w:r>
            <w:fldChar w:fldCharType="begin"/>
          </w:r>
          <w:r>
            <w:instrText xml:space="preserve"> HYPERLINK \l _Toc9015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2bc1911b-6385-4867-af96-bd6e77d5b76d}"/>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三、综合评价结论（附评分表）</w:t>
              </w:r>
            </w:sdtContent>
          </w:sdt>
          <w:r>
            <w:tab/>
          </w:r>
          <w:r>
            <w:t>24</w:t>
          </w:r>
          <w:r>
            <w:fldChar w:fldCharType="end"/>
          </w:r>
        </w:p>
        <w:p>
          <w:pPr>
            <w:pStyle w:val="32"/>
            <w:tabs>
              <w:tab w:val="right" w:leader="dot" w:pos="8306"/>
            </w:tabs>
          </w:pPr>
          <w:r>
            <w:fldChar w:fldCharType="begin"/>
          </w:r>
          <w:r>
            <w:instrText xml:space="preserve"> HYPERLINK \l _Toc29501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c1c80db8-be26-4e08-a0dd-47f37cca329d}"/>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四、绩效评价分析</w:t>
              </w:r>
            </w:sdtContent>
          </w:sdt>
          <w:r>
            <w:tab/>
          </w:r>
          <w:r>
            <w:t>24</w:t>
          </w:r>
          <w:r>
            <w:fldChar w:fldCharType="end"/>
          </w:r>
        </w:p>
        <w:p>
          <w:pPr>
            <w:pStyle w:val="32"/>
            <w:tabs>
              <w:tab w:val="right" w:leader="dot" w:pos="8306"/>
            </w:tabs>
          </w:pPr>
          <w:r>
            <w:fldChar w:fldCharType="begin"/>
          </w:r>
          <w:r>
            <w:instrText xml:space="preserve"> HYPERLINK \l _Toc18611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93fd4f8f-3ab5-423d-b398-8d3250a73699}"/>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五、存在主要问题</w:t>
              </w:r>
            </w:sdtContent>
          </w:sdt>
          <w:r>
            <w:tab/>
          </w:r>
          <w:r>
            <w:t>27</w:t>
          </w:r>
          <w:r>
            <w:fldChar w:fldCharType="end"/>
          </w:r>
        </w:p>
        <w:p>
          <w:pPr>
            <w:pStyle w:val="32"/>
            <w:tabs>
              <w:tab w:val="right" w:leader="dot" w:pos="8306"/>
            </w:tabs>
          </w:pPr>
          <w:r>
            <w:fldChar w:fldCharType="begin"/>
          </w:r>
          <w:r>
            <w:instrText xml:space="preserve"> HYPERLINK \l _Toc14762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5f84dc24-9c9e-4924-b13f-78c3df8d496f}"/>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六、相关措施建议</w:t>
              </w:r>
            </w:sdtContent>
          </w:sdt>
          <w:r>
            <w:tab/>
          </w:r>
          <w:r>
            <w:t>27</w:t>
          </w:r>
          <w:r>
            <w:fldChar w:fldCharType="end"/>
          </w:r>
        </w:p>
        <w:p>
          <w:pPr>
            <w:pStyle w:val="31"/>
            <w:tabs>
              <w:tab w:val="right" w:leader="dot" w:pos="8306"/>
            </w:tabs>
          </w:pPr>
          <w:r>
            <w:rPr>
              <w:b/>
              <w:bCs/>
            </w:rPr>
            <w:fldChar w:fldCharType="begin"/>
          </w:r>
          <w:r>
            <w:instrText xml:space="preserve"> HYPERLINK \l _Toc3308 </w:instrText>
          </w:r>
          <w:r>
            <w:rPr>
              <w:b/>
              <w:bCs/>
            </w:rPr>
            <w:fldChar w:fldCharType="separate"/>
          </w:r>
          <w:sdt>
            <w:sdtPr>
              <w:rPr>
                <w:rFonts w:ascii="Times New Roman" w:hAnsi="Times New Roman" w:eastAsia="宋体" w:cs="Times New Roman"/>
                <w:b/>
                <w:bCs/>
                <w:kern w:val="44"/>
                <w:sz w:val="44"/>
                <w:szCs w:val="44"/>
                <w:lang w:val="en-US" w:eastAsia="zh-CN" w:bidi="ar-SA"/>
              </w:rPr>
              <w:id w:val="147479234"/>
              <w:placeholder>
                <w:docPart w:val="{cd05f097-9065-4550-8c48-cd9de6c189c6}"/>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imes New Roman"/>
                  <w:b/>
                  <w:bCs/>
                </w:rPr>
                <w:t>第五部分 附表</w:t>
              </w:r>
            </w:sdtContent>
          </w:sdt>
          <w:r>
            <w:rPr>
              <w:b/>
              <w:bCs/>
            </w:rPr>
            <w:tab/>
          </w:r>
          <w:r>
            <w:rPr>
              <w:b/>
              <w:bCs/>
            </w:rPr>
            <w:t>28</w:t>
          </w:r>
          <w:r>
            <w:rPr>
              <w:b/>
              <w:bCs/>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_Toc29222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6c81f3c1-b7c8-4d36-9820-127a379e2567}"/>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一、收入支出决算总表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_Toc28969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369a6668-af89-41a5-9743-5705e90a7086}"/>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二、收入决算表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_Toc17658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83487fe1-77b3-43bd-b35d-05fd7398c039}"/>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三、支出决算表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_Toc44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38df3650-e8de-4ded-a6e9-5d9c7ff30875}"/>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四、财政拨款收入支出决算总表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_Toc28434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7d2b8af4-cb69-47c6-8e66-051e74eaae92}"/>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五、财政拨款支出决算明细表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_Toc13209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53d17ee2-3aa4-48c0-9789-a52b51407e00}"/>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六、一般公共预算财政拨款支出决算表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_Toc6729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48e76943-3cae-4620-848a-0e7ae5160a94}"/>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七、一般公共预算财政拨款支出决算明细表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_Toc20893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3dc3f7e1-9144-4d1b-8d0e-247d45e35134}"/>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八、一般公共预算财政拨款基本支出决算表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_Toc4329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3e198581-28ae-4285-a4e0-c041a16de52e}"/>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九、一般公共预算财政拨款项目支出决算表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_Toc27872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47cf47d5-5d2a-4f12-943c-f653cd6a8b7e}"/>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十、一般公共预算财政拨款“三公”经费支出决算表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_Toc28248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15e5a5eb-a655-4461-834f-d534f8ccca74}"/>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十一、政府性基金预算财政拨款收入支出决算表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_Toc16652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176b93db-f650-44fb-a7f3-7e3e406ebfca}"/>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十二、政府性基金预算财政拨款“三公”经费支出决算表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_Toc15884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69cf3a13-c5b6-4502-b71d-3e001d750029}"/>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十三、国有资本经营预算财政拨款收入支出决算表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pPr>
          <w:r>
            <w:rPr>
              <w:rFonts w:hint="eastAsia" w:ascii="黑体" w:hAnsi="黑体" w:eastAsia="黑体" w:cs="黑体"/>
            </w:rPr>
            <w:fldChar w:fldCharType="begin"/>
          </w:r>
          <w:r>
            <w:rPr>
              <w:rFonts w:hint="eastAsia" w:ascii="黑体" w:hAnsi="黑体" w:eastAsia="黑体" w:cs="黑体"/>
            </w:rPr>
            <w:instrText xml:space="preserve"> HYPERLINK \l _Toc14437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a2b276bb-1a89-457d-954f-6ab8fbaa4ee5}"/>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十四、国有资本经营预算财政拨款支出决算表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sdtContent>
    </w:sdt>
    <w:p>
      <w:pPr>
        <w:pStyle w:val="3"/>
        <w:jc w:val="center"/>
        <w:rPr>
          <w:rStyle w:val="25"/>
          <w:rFonts w:ascii="黑体" w:hAnsi="黑体" w:eastAsia="黑体"/>
          <w:b/>
          <w:bCs w:val="0"/>
        </w:rPr>
      </w:pPr>
      <w:bookmarkStart w:id="15" w:name="_Toc21452"/>
      <w:r>
        <w:rPr>
          <w:rFonts w:hint="eastAsia" w:ascii="黑体" w:hAnsi="黑体" w:eastAsia="黑体"/>
          <w:b w:val="0"/>
        </w:rPr>
        <w:t xml:space="preserve">第一部分 </w:t>
      </w:r>
      <w:r>
        <w:rPr>
          <w:rFonts w:hint="eastAsia" w:ascii="黑体" w:hAnsi="黑体" w:eastAsia="黑体"/>
          <w:b w:val="0"/>
          <w:lang w:eastAsia="zh-CN"/>
        </w:rPr>
        <w:t>单位</w:t>
      </w:r>
      <w:r>
        <w:rPr>
          <w:rStyle w:val="25"/>
          <w:rFonts w:hint="eastAsia" w:ascii="黑体" w:hAnsi="黑体" w:eastAsia="黑体"/>
          <w:b w:val="0"/>
          <w:bCs w:val="0"/>
        </w:rPr>
        <w:t>概况</w:t>
      </w:r>
      <w:bookmarkEnd w:id="12"/>
      <w:bookmarkEnd w:id="13"/>
      <w:bookmarkEnd w:id="14"/>
      <w:bookmarkEnd w:id="15"/>
    </w:p>
    <w:p>
      <w:pPr>
        <w:widowControl/>
        <w:jc w:val="left"/>
        <w:rPr>
          <w:rFonts w:ascii="黑体" w:eastAsia="黑体"/>
          <w:color w:val="000000"/>
          <w:sz w:val="32"/>
          <w:szCs w:val="32"/>
        </w:rPr>
      </w:pPr>
    </w:p>
    <w:p>
      <w:pPr>
        <w:pStyle w:val="4"/>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color w:val="000000" w:themeColor="text1"/>
          <w14:textFill>
            <w14:solidFill>
              <w14:schemeClr w14:val="tx1"/>
            </w14:solidFill>
          </w14:textFill>
        </w:rPr>
      </w:pPr>
      <w:bookmarkStart w:id="16" w:name="_Toc31223"/>
      <w:bookmarkStart w:id="17" w:name="_Toc8199"/>
      <w:bookmarkStart w:id="18" w:name="_Toc15377197"/>
      <w:bookmarkStart w:id="19" w:name="_Toc15396600"/>
      <w:r>
        <w:rPr>
          <w:rStyle w:val="26"/>
          <w:rFonts w:hint="eastAsia" w:ascii="黑体" w:hAnsi="黑体" w:eastAsia="黑体"/>
          <w:b w:val="0"/>
          <w:bCs w:val="0"/>
          <w:color w:val="000000" w:themeColor="text1"/>
          <w:lang w:val="en-US" w:eastAsia="zh-CN"/>
          <w14:textFill>
            <w14:solidFill>
              <w14:schemeClr w14:val="tx1"/>
            </w14:solidFill>
          </w14:textFill>
        </w:rPr>
        <w:t>一、</w:t>
      </w:r>
      <w:r>
        <w:rPr>
          <w:rStyle w:val="26"/>
          <w:rFonts w:hint="eastAsia" w:ascii="黑体" w:hAnsi="黑体" w:eastAsia="黑体"/>
          <w:b w:val="0"/>
          <w:bCs w:val="0"/>
          <w:color w:val="000000" w:themeColor="text1"/>
          <w14:textFill>
            <w14:solidFill>
              <w14:schemeClr w14:val="tx1"/>
            </w14:solidFill>
          </w14:textFill>
        </w:rPr>
        <w:t>职能</w:t>
      </w:r>
      <w:r>
        <w:rPr>
          <w:rStyle w:val="26"/>
          <w:rFonts w:hint="eastAsia" w:ascii="黑体" w:hAnsi="黑体" w:eastAsia="黑体"/>
          <w:b w:val="0"/>
          <w:bCs w:val="0"/>
          <w:color w:val="000000" w:themeColor="text1"/>
          <w:lang w:eastAsia="zh-CN"/>
          <w14:textFill>
            <w14:solidFill>
              <w14:schemeClr w14:val="tx1"/>
            </w14:solidFill>
          </w14:textFill>
        </w:rPr>
        <w:t>简介</w:t>
      </w:r>
      <w:bookmarkEnd w:id="16"/>
      <w:bookmarkEnd w:id="17"/>
    </w:p>
    <w:p>
      <w:pPr>
        <w:pStyle w:val="2"/>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基本职能是组织、协调、指导全省少数民族古籍的抢救、搜集、整理、出版和研究工作。</w:t>
      </w:r>
    </w:p>
    <w:p>
      <w:pPr>
        <w:pStyle w:val="4"/>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Style w:val="26"/>
          <w:rFonts w:hint="eastAsia" w:ascii="黑体" w:hAnsi="黑体" w:eastAsia="黑体"/>
          <w:b w:val="0"/>
          <w:bCs w:val="0"/>
          <w:color w:val="000000" w:themeColor="text1"/>
          <w:lang w:val="en-US" w:eastAsia="zh-CN"/>
          <w14:textFill>
            <w14:solidFill>
              <w14:schemeClr w14:val="tx1"/>
            </w14:solidFill>
          </w14:textFill>
        </w:rPr>
      </w:pPr>
      <w:bookmarkStart w:id="20" w:name="_Toc2797"/>
      <w:bookmarkStart w:id="21" w:name="_Toc19639"/>
      <w:r>
        <w:rPr>
          <w:rStyle w:val="26"/>
          <w:rFonts w:hint="eastAsia" w:ascii="黑体" w:hAnsi="黑体" w:eastAsia="黑体"/>
          <w:b w:val="0"/>
          <w:bCs w:val="0"/>
          <w:color w:val="000000" w:themeColor="text1"/>
          <w:lang w:val="en-US" w:eastAsia="zh-CN"/>
          <w14:textFill>
            <w14:solidFill>
              <w14:schemeClr w14:val="tx1"/>
            </w14:solidFill>
          </w14:textFill>
        </w:rPr>
        <w:t>二、2020年重点</w:t>
      </w:r>
      <w:r>
        <w:rPr>
          <w:rStyle w:val="26"/>
          <w:rFonts w:hint="eastAsia" w:ascii="黑体" w:hAnsi="黑体" w:eastAsia="黑体"/>
          <w:b w:val="0"/>
          <w:bCs w:val="0"/>
          <w:color w:val="000000" w:themeColor="text1"/>
          <w14:textFill>
            <w14:solidFill>
              <w14:schemeClr w14:val="tx1"/>
            </w14:solidFill>
          </w14:textFill>
        </w:rPr>
        <w:t>工作</w:t>
      </w:r>
      <w:bookmarkEnd w:id="18"/>
      <w:bookmarkEnd w:id="19"/>
      <w:r>
        <w:rPr>
          <w:rStyle w:val="26"/>
          <w:rFonts w:hint="eastAsia" w:ascii="黑体" w:hAnsi="黑体" w:eastAsia="黑体"/>
          <w:b w:val="0"/>
          <w:bCs w:val="0"/>
          <w:color w:val="000000" w:themeColor="text1"/>
          <w:lang w:eastAsia="zh-CN"/>
          <w14:textFill>
            <w14:solidFill>
              <w14:schemeClr w14:val="tx1"/>
            </w14:solidFill>
          </w14:textFill>
        </w:rPr>
        <w:t>完成情况</w:t>
      </w:r>
      <w:bookmarkEnd w:id="20"/>
      <w:bookmarkEnd w:id="21"/>
    </w:p>
    <w:p>
      <w:pPr>
        <w:pStyle w:val="4"/>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一是扎实推进国家和省“十三五”少数民族古籍重点项目出版规划。完成全国少数民族古籍“十三五”重点项目《藏族古籍经典系列丛书》之《小五明文献分类集成》、省少数民族古籍“十三五”重点项目《</w:t>
      </w:r>
      <w:r>
        <w:rPr>
          <w:rFonts w:hint="eastAsia" w:ascii="仿宋_GB2312" w:hAnsi="仿宋_GB2312" w:eastAsia="仿宋_GB2312" w:cs="仿宋_GB2312"/>
          <w:b w:val="0"/>
          <w:bCs/>
          <w:sz w:val="32"/>
          <w:szCs w:val="32"/>
          <w:lang w:val="en-US" w:eastAsia="zh-CN"/>
        </w:rPr>
        <w:t>凉山州彝族古籍文献定级测试资料汇编</w:t>
      </w:r>
      <w:r>
        <w:rPr>
          <w:rFonts w:hint="eastAsia" w:ascii="仿宋_GB2312" w:hAnsi="仿宋_GB2312" w:eastAsia="仿宋_GB2312" w:cs="仿宋_GB2312"/>
          <w:b w:val="0"/>
          <w:bCs/>
          <w:color w:val="auto"/>
          <w:sz w:val="32"/>
          <w:szCs w:val="32"/>
          <w:lang w:val="en-US" w:eastAsia="zh-CN"/>
        </w:rPr>
        <w:t>》《四川珙县苗族蜡染图谱》出版工作。完成《凉山彝族古彝语词典》本年度搜集整理词条搜集、整理工作。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是继续推进少数民族古籍数字化建设。完成《俄堪钦巴登却兄传记》《彝历百科》《羌族萨朗》《四川珙县苗族蜡染图谱》等20种、12万页少数民族古籍图书数字化处理工作，导入“四川少数民族古籍文献中心”平台并完成调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是开展“十四五”时期我省少数民族古籍重点项目出版规划前期工作。下发《四川省民族宗教事务委员会关于申报“十四五”时期全省少数民族古籍重点项目出版规划的通知》，年底前完成各市（州）申报项目的收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是开展送少数民族古籍图书到基层活动。主动联系甘孜、阿坝、凉山、绵阳、乐山、宜宾、陕西略阳、凤县、宁强等地民宗、民语、文化部门及相关院校，根据需要将部分少数民族古籍图书送到基层，取得了良好的社会效果，受到了广泛好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楷体_GB2312" w:hAnsi="楷体_GB2312" w:eastAsia="楷体_GB2312" w:cs="楷体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楷体_GB2312" w:hAnsi="楷体_GB2312" w:eastAsia="楷体_GB2312" w:cs="楷体_GB2312"/>
          <w:b w:val="0"/>
          <w:bCs/>
          <w:color w:val="auto"/>
          <w:sz w:val="32"/>
          <w:szCs w:val="32"/>
          <w:lang w:val="en-US" w:eastAsia="zh-CN"/>
        </w:rPr>
      </w:pPr>
    </w:p>
    <w:p>
      <w:pPr>
        <w:pStyle w:val="2"/>
        <w:pageBreakBefore w:val="0"/>
        <w:kinsoku/>
        <w:wordWrap/>
        <w:overflowPunct/>
        <w:topLinePunct w:val="0"/>
        <w:autoSpaceDE/>
        <w:autoSpaceDN/>
        <w:bidi w:val="0"/>
        <w:adjustRightInd/>
        <w:snapToGrid/>
        <w:spacing w:line="600" w:lineRule="exact"/>
        <w:ind w:firstLine="420" w:firstLineChars="200"/>
        <w:textAlignment w:val="auto"/>
        <w:rPr>
          <w:rFonts w:hint="eastAsia"/>
          <w:lang w:val="en-US" w:eastAsia="zh-CN"/>
        </w:rPr>
      </w:pPr>
    </w:p>
    <w:p>
      <w:pPr>
        <w:pageBreakBefore w:val="0"/>
        <w:kinsoku/>
        <w:wordWrap/>
        <w:overflowPunct/>
        <w:topLinePunct w:val="0"/>
        <w:autoSpaceDE/>
        <w:autoSpaceDN/>
        <w:bidi w:val="0"/>
        <w:adjustRightInd/>
        <w:snapToGrid/>
        <w:spacing w:line="600" w:lineRule="exact"/>
        <w:ind w:firstLine="420" w:firstLineChars="200"/>
        <w:textAlignment w:val="auto"/>
        <w:rPr>
          <w:rFonts w:hint="eastAsia"/>
        </w:rPr>
      </w:pP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center"/>
        <w:rPr>
          <w:rStyle w:val="25"/>
          <w:rFonts w:ascii="黑体" w:hAnsi="黑体" w:eastAsia="黑体"/>
          <w:b w:val="0"/>
          <w:bCs/>
          <w:color w:val="auto"/>
        </w:rPr>
      </w:pPr>
      <w:bookmarkStart w:id="22" w:name="_Toc15377204"/>
      <w:bookmarkStart w:id="23" w:name="_Toc26342"/>
      <w:bookmarkStart w:id="24" w:name="_Toc15396602"/>
      <w:bookmarkStart w:id="25" w:name="_Toc1470"/>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5"/>
          <w:rFonts w:hint="eastAsia" w:ascii="黑体" w:hAnsi="黑体" w:eastAsia="黑体"/>
          <w:b w:val="0"/>
          <w:bCs/>
          <w:color w:val="auto"/>
          <w:lang w:eastAsia="zh-CN"/>
        </w:rPr>
        <w:t>单位决算</w:t>
      </w:r>
      <w:r>
        <w:rPr>
          <w:rStyle w:val="25"/>
          <w:rFonts w:hint="eastAsia" w:ascii="黑体" w:hAnsi="黑体" w:eastAsia="黑体"/>
          <w:b w:val="0"/>
          <w:bCs/>
          <w:color w:val="auto"/>
        </w:rPr>
        <w:t>情况说明</w:t>
      </w:r>
      <w:bookmarkEnd w:id="22"/>
      <w:bookmarkEnd w:id="23"/>
      <w:bookmarkEnd w:id="24"/>
      <w:bookmarkEnd w:id="25"/>
    </w:p>
    <w:p/>
    <w:p>
      <w:pPr>
        <w:pStyle w:val="24"/>
        <w:numPr>
          <w:ilvl w:val="0"/>
          <w:numId w:val="1"/>
        </w:numPr>
        <w:spacing w:line="600" w:lineRule="exact"/>
        <w:ind w:firstLineChars="0"/>
        <w:outlineLvl w:val="1"/>
        <w:rPr>
          <w:rStyle w:val="26"/>
          <w:rFonts w:ascii="黑体" w:hAnsi="黑体" w:eastAsia="黑体"/>
          <w:b w:val="0"/>
        </w:rPr>
      </w:pPr>
      <w:bookmarkStart w:id="26" w:name="_Toc15396603"/>
      <w:bookmarkStart w:id="27" w:name="_Toc32324"/>
      <w:bookmarkStart w:id="28" w:name="_Toc15377205"/>
      <w:bookmarkStart w:id="29" w:name="_Toc108"/>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年度收、支总计</w:t>
      </w:r>
      <w:r>
        <w:rPr>
          <w:rFonts w:hint="default" w:ascii="Times New Roman" w:hAnsi="Times New Roman" w:eastAsia="仿宋_GB2312" w:cs="Times New Roman"/>
          <w:color w:val="000000"/>
          <w:sz w:val="32"/>
          <w:szCs w:val="32"/>
          <w:lang w:val="en-US" w:eastAsia="zh-CN"/>
        </w:rPr>
        <w:t>280.01</w:t>
      </w:r>
      <w:r>
        <w:rPr>
          <w:rFonts w:hint="default" w:ascii="Times New Roman" w:hAnsi="Times New Roman" w:eastAsia="仿宋_GB2312" w:cs="Times New Roman"/>
          <w:color w:val="000000"/>
          <w:sz w:val="32"/>
          <w:szCs w:val="32"/>
        </w:rPr>
        <w:t>万元。与201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年相比，收、支总计各减少</w:t>
      </w:r>
      <w:r>
        <w:rPr>
          <w:rFonts w:hint="default" w:ascii="Times New Roman" w:hAnsi="Times New Roman" w:eastAsia="仿宋_GB2312" w:cs="Times New Roman"/>
          <w:color w:val="000000"/>
          <w:sz w:val="32"/>
          <w:szCs w:val="32"/>
          <w:lang w:val="en-US" w:eastAsia="zh-CN"/>
        </w:rPr>
        <w:t>26.5</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8.62</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val="en-US" w:eastAsia="zh-CN"/>
        </w:rPr>
        <w:t>受疫情影响，支出减少。</w:t>
      </w:r>
    </w:p>
    <w:p>
      <w:pPr>
        <w:spacing w:line="600" w:lineRule="exact"/>
        <w:ind w:firstLine="640" w:firstLineChars="200"/>
        <w:jc w:val="left"/>
        <w:rPr>
          <w:rFonts w:ascii="仿宋_GB2312" w:eastAsia="仿宋_GB2312"/>
          <w:color w:val="000000"/>
          <w:sz w:val="32"/>
          <w:szCs w:val="32"/>
        </w:rPr>
      </w:pPr>
      <w:r>
        <w:rPr>
          <w:rFonts w:hint="default" w:ascii="Times New Roman" w:hAnsi="Times New Roman" w:eastAsia="仿宋" w:cs="Times New Roman"/>
          <w:color w:val="auto"/>
          <w:sz w:val="32"/>
          <w:szCs w:val="32"/>
        </w:rPr>
        <w:drawing>
          <wp:anchor distT="0" distB="0" distL="114300" distR="114300" simplePos="0" relativeHeight="251659264" behindDoc="0" locked="0" layoutInCell="1" allowOverlap="1">
            <wp:simplePos x="0" y="0"/>
            <wp:positionH relativeFrom="column">
              <wp:posOffset>73025</wp:posOffset>
            </wp:positionH>
            <wp:positionV relativeFrom="paragraph">
              <wp:posOffset>40005</wp:posOffset>
            </wp:positionV>
            <wp:extent cx="4401185" cy="2705735"/>
            <wp:effectExtent l="4445" t="4445" r="13970" b="1397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4"/>
        <w:numPr>
          <w:ilvl w:val="0"/>
          <w:numId w:val="1"/>
        </w:numPr>
        <w:spacing w:line="600" w:lineRule="exact"/>
        <w:ind w:firstLineChars="0"/>
        <w:outlineLvl w:val="1"/>
        <w:rPr>
          <w:rStyle w:val="26"/>
          <w:rFonts w:ascii="黑体" w:hAnsi="黑体" w:eastAsia="黑体"/>
          <w:b w:val="0"/>
        </w:rPr>
      </w:pPr>
      <w:bookmarkStart w:id="30" w:name="_Toc15377206"/>
      <w:bookmarkStart w:id="31" w:name="_Toc15396604"/>
      <w:bookmarkStart w:id="32" w:name="_Toc17298"/>
      <w:bookmarkStart w:id="33" w:name="_Toc24887"/>
      <w:r>
        <w:rPr>
          <w:rFonts w:hint="eastAsia" w:ascii="黑体" w:hAnsi="黑体" w:eastAsia="黑体"/>
          <w:color w:val="000000"/>
          <w:sz w:val="32"/>
          <w:szCs w:val="32"/>
        </w:rPr>
        <w:t>收</w:t>
      </w:r>
      <w:r>
        <w:rPr>
          <w:rStyle w:val="26"/>
          <w:rFonts w:hint="eastAsia" w:ascii="黑体" w:hAnsi="黑体" w:eastAsia="黑体"/>
          <w:b w:val="0"/>
        </w:rPr>
        <w:t>入决算情况说明</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年本年收入合计</w:t>
      </w:r>
      <w:r>
        <w:rPr>
          <w:rFonts w:hint="default" w:ascii="Times New Roman" w:hAnsi="Times New Roman" w:eastAsia="仿宋_GB2312" w:cs="Times New Roman"/>
          <w:color w:val="000000"/>
          <w:sz w:val="32"/>
          <w:szCs w:val="32"/>
          <w:lang w:val="en-US" w:eastAsia="zh-CN"/>
        </w:rPr>
        <w:t>278.76</w:t>
      </w:r>
      <w:r>
        <w:rPr>
          <w:rFonts w:hint="default" w:ascii="Times New Roman" w:hAnsi="Times New Roman" w:eastAsia="仿宋_GB2312" w:cs="Times New Roman"/>
          <w:color w:val="000000"/>
          <w:sz w:val="32"/>
          <w:szCs w:val="32"/>
        </w:rPr>
        <w:t>万元，其中：一般公共预算财政拨款收入</w:t>
      </w:r>
      <w:r>
        <w:rPr>
          <w:rFonts w:hint="default" w:ascii="Times New Roman" w:hAnsi="Times New Roman" w:eastAsia="仿宋_GB2312" w:cs="Times New Roman"/>
          <w:color w:val="000000"/>
          <w:sz w:val="32"/>
          <w:szCs w:val="32"/>
          <w:lang w:val="en-US" w:eastAsia="zh-CN"/>
        </w:rPr>
        <w:t>278.67</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99.97</w:t>
      </w:r>
      <w:r>
        <w:rPr>
          <w:rFonts w:hint="default" w:ascii="Times New Roman" w:hAnsi="Times New Roman" w:eastAsia="仿宋_GB2312" w:cs="Times New Roman"/>
          <w:color w:val="000000"/>
          <w:sz w:val="32"/>
          <w:szCs w:val="32"/>
        </w:rPr>
        <w:t>%；政府性基金预算财政拨款收入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上级补助收入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%；事业收入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%；经营收入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%；附属单位上缴收入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%；其他收入</w:t>
      </w:r>
      <w:r>
        <w:rPr>
          <w:rFonts w:hint="default" w:ascii="Times New Roman" w:hAnsi="Times New Roman" w:eastAsia="仿宋_GB2312" w:cs="Times New Roman"/>
          <w:color w:val="000000"/>
          <w:sz w:val="32"/>
          <w:szCs w:val="32"/>
          <w:lang w:val="en-US" w:eastAsia="zh-CN"/>
        </w:rPr>
        <w:t>0.09</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0.03</w:t>
      </w:r>
      <w:r>
        <w:rPr>
          <w:rFonts w:hint="default" w:ascii="Times New Roman" w:hAnsi="Times New Roman" w:eastAsia="仿宋_GB2312" w:cs="Times New Roman"/>
          <w:color w:val="000000"/>
          <w:sz w:val="32"/>
          <w:szCs w:val="32"/>
        </w:rPr>
        <w:t>%。</w:t>
      </w:r>
    </w:p>
    <w:p>
      <w:pPr>
        <w:spacing w:line="600" w:lineRule="exact"/>
        <w:ind w:firstLine="640" w:firstLineChars="200"/>
        <w:outlineLvl w:val="1"/>
        <w:rPr>
          <w:rFonts w:ascii="仿宋_GB2312" w:eastAsia="仿宋_GB2312"/>
          <w:color w:val="FF0000"/>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4384" behindDoc="0" locked="0" layoutInCell="1" allowOverlap="1">
            <wp:simplePos x="0" y="0"/>
            <wp:positionH relativeFrom="column">
              <wp:posOffset>507365</wp:posOffset>
            </wp:positionH>
            <wp:positionV relativeFrom="paragraph">
              <wp:posOffset>-8710930</wp:posOffset>
            </wp:positionV>
            <wp:extent cx="4349115" cy="2573020"/>
            <wp:effectExtent l="4445" t="4445" r="8890" b="1333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1"/>
        </w:numPr>
        <w:spacing w:line="600" w:lineRule="exact"/>
        <w:ind w:firstLineChars="0"/>
        <w:outlineLvl w:val="1"/>
        <w:rPr>
          <w:rStyle w:val="26"/>
          <w:rFonts w:ascii="黑体" w:hAnsi="黑体" w:eastAsia="黑体"/>
          <w:b w:val="0"/>
        </w:rPr>
      </w:pPr>
      <w:bookmarkStart w:id="34" w:name="_Toc23031"/>
      <w:bookmarkStart w:id="35" w:name="_Toc15396605"/>
      <w:bookmarkStart w:id="36" w:name="_Toc15377207"/>
      <w:bookmarkStart w:id="37" w:name="_Toc21940"/>
      <w:r>
        <w:rPr>
          <w:rFonts w:hint="eastAsia" w:ascii="黑体" w:hAnsi="黑体" w:eastAsia="黑体"/>
          <w:color w:val="000000"/>
          <w:sz w:val="32"/>
          <w:szCs w:val="32"/>
        </w:rPr>
        <w:t>支</w:t>
      </w:r>
      <w:r>
        <w:rPr>
          <w:rStyle w:val="26"/>
          <w:rFonts w:hint="eastAsia" w:ascii="黑体" w:hAnsi="黑体" w:eastAsia="黑体"/>
          <w:b w:val="0"/>
        </w:rPr>
        <w:t>出决算情况说明</w:t>
      </w:r>
      <w:bookmarkEnd w:id="34"/>
      <w:bookmarkEnd w:id="35"/>
      <w:bookmarkEnd w:id="36"/>
      <w:bookmarkEnd w:id="37"/>
    </w:p>
    <w:p>
      <w:pPr>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auto"/>
          <w:sz w:val="32"/>
          <w:szCs w:val="32"/>
          <w:lang w:eastAsia="zh-CN"/>
        </w:rPr>
        <w:drawing>
          <wp:anchor distT="0" distB="0" distL="114300" distR="114300" simplePos="0" relativeHeight="251673600" behindDoc="0" locked="0" layoutInCell="1" allowOverlap="1">
            <wp:simplePos x="0" y="0"/>
            <wp:positionH relativeFrom="column">
              <wp:posOffset>30480</wp:posOffset>
            </wp:positionH>
            <wp:positionV relativeFrom="paragraph">
              <wp:posOffset>1803400</wp:posOffset>
            </wp:positionV>
            <wp:extent cx="5207000" cy="2856865"/>
            <wp:effectExtent l="4445" t="4445" r="8255" b="1524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年本年支出合计</w:t>
      </w:r>
      <w:r>
        <w:rPr>
          <w:rFonts w:hint="default" w:ascii="Times New Roman" w:hAnsi="Times New Roman" w:eastAsia="仿宋_GB2312" w:cs="Times New Roman"/>
          <w:color w:val="000000"/>
          <w:sz w:val="32"/>
          <w:szCs w:val="32"/>
          <w:lang w:val="en-US" w:eastAsia="zh-CN"/>
        </w:rPr>
        <w:t>281.01</w:t>
      </w:r>
      <w:r>
        <w:rPr>
          <w:rFonts w:hint="default" w:ascii="Times New Roman" w:hAnsi="Times New Roman" w:eastAsia="仿宋_GB2312" w:cs="Times New Roman"/>
          <w:color w:val="000000"/>
          <w:sz w:val="32"/>
          <w:szCs w:val="32"/>
        </w:rPr>
        <w:t>万元，其中：基本支出</w:t>
      </w:r>
      <w:r>
        <w:rPr>
          <w:rFonts w:hint="default" w:ascii="Times New Roman" w:hAnsi="Times New Roman" w:eastAsia="仿宋_GB2312" w:cs="Times New Roman"/>
          <w:color w:val="000000"/>
          <w:sz w:val="32"/>
          <w:szCs w:val="32"/>
          <w:lang w:val="en-US" w:eastAsia="zh-CN"/>
        </w:rPr>
        <w:t>160.67</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57.18</w:t>
      </w:r>
      <w:r>
        <w:rPr>
          <w:rFonts w:hint="default" w:ascii="Times New Roman" w:hAnsi="Times New Roman" w:eastAsia="仿宋_GB2312" w:cs="Times New Roman"/>
          <w:color w:val="000000"/>
          <w:sz w:val="32"/>
          <w:szCs w:val="32"/>
        </w:rPr>
        <w:t>%；项目支出</w:t>
      </w:r>
      <w:r>
        <w:rPr>
          <w:rFonts w:hint="default" w:ascii="Times New Roman" w:hAnsi="Times New Roman" w:eastAsia="仿宋_GB2312" w:cs="Times New Roman"/>
          <w:color w:val="000000"/>
          <w:sz w:val="32"/>
          <w:szCs w:val="32"/>
          <w:lang w:val="en-US" w:eastAsia="zh-CN"/>
        </w:rPr>
        <w:t>120.34</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42.82</w:t>
      </w:r>
      <w:r>
        <w:rPr>
          <w:rFonts w:hint="default" w:ascii="Times New Roman" w:hAnsi="Times New Roman" w:eastAsia="仿宋_GB2312" w:cs="Times New Roman"/>
          <w:color w:val="000000"/>
          <w:sz w:val="32"/>
          <w:szCs w:val="32"/>
        </w:rPr>
        <w:t>%；上缴上级支出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%；经营支出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%；对附属单位补助支出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w:t>
      </w: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8" w:name="_Toc15377208"/>
      <w:bookmarkStart w:id="39" w:name="_Toc5839"/>
      <w:bookmarkStart w:id="40" w:name="_Toc15396606"/>
      <w:bookmarkStart w:id="41" w:name="_Toc19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年财政拨款收、支总计</w:t>
      </w:r>
      <w:r>
        <w:rPr>
          <w:rFonts w:hint="default" w:ascii="Times New Roman" w:hAnsi="Times New Roman" w:eastAsia="仿宋_GB2312" w:cs="Times New Roman"/>
          <w:color w:val="000000"/>
          <w:sz w:val="32"/>
          <w:szCs w:val="32"/>
          <w:lang w:val="en-US" w:eastAsia="zh-CN"/>
        </w:rPr>
        <w:t>278.67</w:t>
      </w:r>
      <w:r>
        <w:rPr>
          <w:rFonts w:hint="default" w:ascii="Times New Roman" w:hAnsi="Times New Roman" w:eastAsia="仿宋_GB2312" w:cs="Times New Roman"/>
          <w:color w:val="000000"/>
          <w:sz w:val="32"/>
          <w:szCs w:val="32"/>
        </w:rPr>
        <w:t>万元。与201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年相比，财政拨款收、支总计各增加</w:t>
      </w:r>
      <w:r>
        <w:rPr>
          <w:rFonts w:hint="default" w:ascii="Times New Roman" w:hAnsi="Times New Roman" w:eastAsia="仿宋_GB2312" w:cs="Times New Roman"/>
          <w:color w:val="000000"/>
          <w:sz w:val="32"/>
          <w:szCs w:val="32"/>
          <w:lang w:val="en-US" w:eastAsia="zh-CN"/>
        </w:rPr>
        <w:t>4.34</w:t>
      </w:r>
      <w:r>
        <w:rPr>
          <w:rFonts w:hint="default" w:ascii="Times New Roman" w:hAnsi="Times New Roman" w:eastAsia="仿宋_GB2312" w:cs="Times New Roman"/>
          <w:color w:val="000000"/>
          <w:sz w:val="32"/>
          <w:szCs w:val="32"/>
        </w:rPr>
        <w:t>万元，增长</w:t>
      </w:r>
      <w:r>
        <w:rPr>
          <w:rFonts w:hint="default" w:ascii="Times New Roman" w:hAnsi="Times New Roman" w:eastAsia="仿宋_GB2312" w:cs="Times New Roman"/>
          <w:color w:val="000000"/>
          <w:sz w:val="32"/>
          <w:szCs w:val="32"/>
          <w:lang w:val="en-US" w:eastAsia="zh-CN"/>
        </w:rPr>
        <w:t>1.58</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val="en-US" w:eastAsia="zh-CN"/>
        </w:rPr>
        <w:t>单位新进工作人员，人员经费增加。</w:t>
      </w:r>
    </w:p>
    <w:p>
      <w:pPr>
        <w:spacing w:line="600" w:lineRule="exact"/>
        <w:rPr>
          <w:rFonts w:ascii="仿宋" w:hAnsi="仿宋" w:eastAsia="仿宋"/>
          <w:b/>
          <w:color w:val="00B050"/>
          <w:sz w:val="32"/>
          <w:szCs w:val="32"/>
        </w:rPr>
      </w:pPr>
      <w:r>
        <w:rPr>
          <w:rFonts w:hint="default" w:ascii="Times New Roman" w:hAnsi="Times New Roman" w:eastAsia="仿宋_GB2312" w:cs="Times New Roman"/>
          <w:b/>
          <w:color w:val="auto"/>
          <w:sz w:val="32"/>
          <w:szCs w:val="32"/>
          <w:lang w:eastAsia="zh-CN"/>
        </w:rPr>
        <w:drawing>
          <wp:anchor distT="0" distB="0" distL="114300" distR="114300" simplePos="0" relativeHeight="251687936" behindDoc="0" locked="0" layoutInCell="1" allowOverlap="1">
            <wp:simplePos x="0" y="0"/>
            <wp:positionH relativeFrom="column">
              <wp:posOffset>584200</wp:posOffset>
            </wp:positionH>
            <wp:positionV relativeFrom="paragraph">
              <wp:posOffset>93980</wp:posOffset>
            </wp:positionV>
            <wp:extent cx="3923665" cy="2963545"/>
            <wp:effectExtent l="4445" t="4445" r="15240" b="2286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6"/>
          <w:rFonts w:ascii="黑体" w:hAnsi="黑体" w:eastAsia="黑体"/>
          <w:b w:val="0"/>
        </w:rPr>
      </w:pPr>
      <w:bookmarkStart w:id="42" w:name="_Toc15377209"/>
      <w:bookmarkStart w:id="43" w:name="_Toc15396607"/>
      <w:bookmarkStart w:id="44" w:name="_Toc9203"/>
      <w:bookmarkStart w:id="45" w:name="_Toc363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42"/>
      <w:bookmarkEnd w:id="43"/>
      <w:bookmarkEnd w:id="44"/>
      <w:bookmarkEnd w:id="45"/>
    </w:p>
    <w:p>
      <w:pPr>
        <w:spacing w:line="600" w:lineRule="exact"/>
        <w:ind w:firstLine="643" w:firstLineChars="200"/>
        <w:outlineLvl w:val="2"/>
        <w:rPr>
          <w:rFonts w:ascii="仿宋" w:hAnsi="仿宋" w:eastAsia="仿宋"/>
          <w:b/>
          <w:color w:val="000000"/>
          <w:sz w:val="32"/>
          <w:szCs w:val="32"/>
        </w:rPr>
      </w:pPr>
      <w:bookmarkStart w:id="46" w:name="_Toc15377210"/>
      <w:r>
        <w:rPr>
          <w:rFonts w:hint="eastAsia" w:ascii="仿宋" w:hAnsi="仿宋" w:eastAsia="仿宋"/>
          <w:b/>
          <w:color w:val="000000"/>
          <w:sz w:val="32"/>
          <w:szCs w:val="32"/>
        </w:rPr>
        <w:t>（一）一般公共预算财政拨款支出决算总体情况</w:t>
      </w:r>
      <w:bookmarkEnd w:id="4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default" w:ascii="Times New Roman" w:hAnsi="Times New Roman" w:eastAsia="仿宋_GB2312" w:cs="Times New Roman"/>
          <w:color w:val="auto"/>
          <w:sz w:val="32"/>
          <w:szCs w:val="32"/>
          <w:lang w:eastAsia="zh-CN"/>
        </w:rPr>
        <w:drawing>
          <wp:anchor distT="0" distB="0" distL="114300" distR="114300" simplePos="0" relativeHeight="251708416" behindDoc="0" locked="0" layoutInCell="1" allowOverlap="1">
            <wp:simplePos x="0" y="0"/>
            <wp:positionH relativeFrom="column">
              <wp:posOffset>869950</wp:posOffset>
            </wp:positionH>
            <wp:positionV relativeFrom="paragraph">
              <wp:posOffset>1555115</wp:posOffset>
            </wp:positionV>
            <wp:extent cx="3684270" cy="2312035"/>
            <wp:effectExtent l="4445" t="4445" r="6985" b="762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年一般公共预算财政拨款支出</w:t>
      </w:r>
      <w:r>
        <w:rPr>
          <w:rFonts w:hint="default" w:ascii="Times New Roman" w:hAnsi="Times New Roman" w:eastAsia="仿宋_GB2312" w:cs="Times New Roman"/>
          <w:color w:val="000000"/>
          <w:sz w:val="32"/>
          <w:szCs w:val="32"/>
          <w:lang w:val="en-US" w:eastAsia="zh-CN"/>
        </w:rPr>
        <w:t>278.67</w:t>
      </w:r>
      <w:r>
        <w:rPr>
          <w:rFonts w:hint="default" w:ascii="Times New Roman" w:hAnsi="Times New Roman" w:eastAsia="仿宋_GB2312" w:cs="Times New Roman"/>
          <w:color w:val="000000"/>
          <w:sz w:val="32"/>
          <w:szCs w:val="32"/>
        </w:rPr>
        <w:t>万元，占本年支出合计的</w:t>
      </w:r>
      <w:r>
        <w:rPr>
          <w:rFonts w:hint="default" w:ascii="Times New Roman" w:hAnsi="Times New Roman" w:eastAsia="仿宋_GB2312" w:cs="Times New Roman"/>
          <w:color w:val="000000"/>
          <w:sz w:val="32"/>
          <w:szCs w:val="32"/>
          <w:lang w:val="en-US" w:eastAsia="zh-CN"/>
        </w:rPr>
        <w:t>99.97</w:t>
      </w:r>
      <w:r>
        <w:rPr>
          <w:rFonts w:hint="default" w:ascii="Times New Roman" w:hAnsi="Times New Roman" w:eastAsia="仿宋_GB2312" w:cs="Times New Roman"/>
          <w:color w:val="000000"/>
          <w:sz w:val="32"/>
          <w:szCs w:val="32"/>
        </w:rPr>
        <w:t>%。与201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年相比，一般公共预算财政拨款增加</w:t>
      </w:r>
      <w:r>
        <w:rPr>
          <w:rFonts w:hint="default" w:ascii="Times New Roman" w:hAnsi="Times New Roman" w:eastAsia="仿宋_GB2312" w:cs="Times New Roman"/>
          <w:color w:val="000000"/>
          <w:sz w:val="32"/>
          <w:szCs w:val="32"/>
          <w:lang w:val="en-US" w:eastAsia="zh-CN"/>
        </w:rPr>
        <w:t>4.34</w:t>
      </w:r>
      <w:r>
        <w:rPr>
          <w:rFonts w:hint="default" w:ascii="Times New Roman" w:hAnsi="Times New Roman" w:eastAsia="仿宋_GB2312" w:cs="Times New Roman"/>
          <w:color w:val="000000"/>
          <w:sz w:val="32"/>
          <w:szCs w:val="32"/>
        </w:rPr>
        <w:t>万元，增长</w:t>
      </w:r>
      <w:r>
        <w:rPr>
          <w:rFonts w:hint="default" w:ascii="Times New Roman" w:hAnsi="Times New Roman" w:eastAsia="仿宋_GB2312" w:cs="Times New Roman"/>
          <w:color w:val="000000"/>
          <w:sz w:val="32"/>
          <w:szCs w:val="32"/>
          <w:lang w:val="en-US" w:eastAsia="zh-CN"/>
        </w:rPr>
        <w:t>1.58</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val="en-US" w:eastAsia="zh-CN"/>
        </w:rPr>
        <w:t>单位新进工作人员，人员经费增加。</w:t>
      </w:r>
    </w:p>
    <w:p>
      <w:pPr>
        <w:spacing w:line="600" w:lineRule="exact"/>
        <w:ind w:firstLine="643" w:firstLineChars="200"/>
        <w:outlineLvl w:val="2"/>
        <w:rPr>
          <w:rFonts w:ascii="仿宋" w:hAnsi="仿宋" w:eastAsia="仿宋"/>
          <w:b/>
          <w:color w:val="000000"/>
          <w:sz w:val="32"/>
          <w:szCs w:val="32"/>
        </w:rPr>
      </w:pPr>
      <w:bookmarkStart w:id="47" w:name="_Toc15377211"/>
      <w:r>
        <w:rPr>
          <w:rFonts w:hint="eastAsia" w:ascii="仿宋" w:hAnsi="仿宋" w:eastAsia="仿宋"/>
          <w:b/>
          <w:color w:val="000000"/>
          <w:sz w:val="32"/>
          <w:szCs w:val="32"/>
        </w:rPr>
        <w:t>（二）一般公共预算财政拨款支出决算结构情况</w:t>
      </w:r>
      <w:bookmarkEnd w:id="4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年一般公共预算财</w:t>
      </w:r>
      <w:r>
        <w:rPr>
          <w:rFonts w:hint="default" w:ascii="Times New Roman" w:hAnsi="Times New Roman" w:eastAsia="仿宋_GB2312" w:cs="Times New Roman"/>
          <w:color w:val="000000" w:themeColor="text1"/>
          <w:sz w:val="32"/>
          <w:szCs w:val="32"/>
          <w14:textFill>
            <w14:solidFill>
              <w14:schemeClr w14:val="tx1"/>
            </w14:solidFill>
          </w14:textFill>
        </w:rPr>
        <w:t>政拨款支出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278.67</w:t>
      </w:r>
      <w:r>
        <w:rPr>
          <w:rFonts w:hint="default" w:ascii="Times New Roman" w:hAnsi="Times New Roman" w:eastAsia="仿宋_GB2312" w:cs="Times New Roman"/>
          <w:color w:val="000000" w:themeColor="text1"/>
          <w:sz w:val="32"/>
          <w:szCs w:val="32"/>
          <w14:textFill>
            <w14:solidFill>
              <w14:schemeClr w14:val="tx1"/>
            </w14:solidFill>
          </w14:textFill>
        </w:rPr>
        <w:t>万元，主要用于以下方面:</w:t>
      </w:r>
      <w:r>
        <w:rPr>
          <w:rFonts w:hint="default" w:ascii="Times New Roman" w:hAnsi="Times New Roman" w:eastAsia="仿宋_GB2312" w:cs="Times New Roman"/>
          <w:b/>
          <w:color w:val="000000" w:themeColor="text1"/>
          <w:sz w:val="32"/>
          <w:szCs w:val="32"/>
          <w14:textFill>
            <w14:solidFill>
              <w14:schemeClr w14:val="tx1"/>
            </w14:solidFill>
          </w14:textFill>
        </w:rPr>
        <w:t>一般公共服务（类）</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223.03</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80.03</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color w:val="000000" w:themeColor="text1"/>
          <w:sz w:val="32"/>
          <w:szCs w:val="32"/>
          <w14:textFill>
            <w14:solidFill>
              <w14:schemeClr w14:val="tx1"/>
            </w14:solidFill>
          </w14:textFill>
        </w:rPr>
        <w:t>社会保障和就业（类）</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14.33</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5.14</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卫生健康支出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8.31</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2.98</w:t>
      </w:r>
      <w:r>
        <w:rPr>
          <w:rFonts w:hint="default" w:ascii="Times New Roman" w:hAnsi="Times New Roman" w:eastAsia="仿宋_GB2312" w:cs="Times New Roman"/>
          <w:color w:val="000000" w:themeColor="text1"/>
          <w:sz w:val="32"/>
          <w:szCs w:val="32"/>
          <w14:textFill>
            <w14:solidFill>
              <w14:schemeClr w14:val="tx1"/>
            </w14:solidFill>
          </w14:textFill>
        </w:rPr>
        <w:t>%；住房保障支出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33</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11.84</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rPr>
          <w:rFonts w:ascii="仿宋" w:hAnsi="仿宋" w:eastAsia="仿宋"/>
          <w:color w:val="000000"/>
          <w:sz w:val="32"/>
          <w:szCs w:val="32"/>
        </w:rPr>
      </w:pPr>
      <w:r>
        <w:rPr>
          <w:rFonts w:hint="default" w:ascii="Times New Roman" w:hAnsi="Times New Roman" w:eastAsia="仿宋_GB2312" w:cs="Times New Roman"/>
          <w:color w:val="auto"/>
          <w:sz w:val="32"/>
          <w:szCs w:val="32"/>
          <w:lang w:eastAsia="zh-CN"/>
        </w:rPr>
        <w:drawing>
          <wp:anchor distT="0" distB="0" distL="114300" distR="114300" simplePos="0" relativeHeight="251736064" behindDoc="0" locked="0" layoutInCell="1" allowOverlap="1">
            <wp:simplePos x="0" y="0"/>
            <wp:positionH relativeFrom="column">
              <wp:posOffset>117475</wp:posOffset>
            </wp:positionH>
            <wp:positionV relativeFrom="paragraph">
              <wp:posOffset>148590</wp:posOffset>
            </wp:positionV>
            <wp:extent cx="5178425" cy="2918460"/>
            <wp:effectExtent l="4445" t="4445" r="17780" b="107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b/>
          <w:color w:val="000000"/>
          <w:sz w:val="32"/>
          <w:szCs w:val="32"/>
        </w:rPr>
      </w:pPr>
      <w:bookmarkStart w:id="48" w:name="_Toc15377212"/>
      <w:r>
        <w:rPr>
          <w:rFonts w:hint="eastAsia" w:ascii="仿宋" w:hAnsi="仿宋" w:eastAsia="仿宋"/>
          <w:b/>
          <w:color w:val="000000"/>
          <w:sz w:val="32"/>
          <w:szCs w:val="32"/>
        </w:rPr>
        <w:t>（三）一般公共预算财政拨款支出决算具体情况</w:t>
      </w:r>
      <w:bookmarkEnd w:id="48"/>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仿宋_GB2312" w:cs="Times New Roman"/>
          <w:color w:val="FF0000"/>
          <w:sz w:val="32"/>
          <w:szCs w:val="32"/>
        </w:rPr>
      </w:pPr>
      <w:bookmarkStart w:id="49" w:name="_Toc15377444"/>
      <w:bookmarkStart w:id="50" w:name="_Toc15377213"/>
      <w:bookmarkStart w:id="51" w:name="_Toc15378460"/>
      <w:r>
        <w:rPr>
          <w:rFonts w:hint="default" w:ascii="Times New Roman" w:hAnsi="Times New Roman" w:eastAsia="仿宋_GB2312" w:cs="Times New Roman"/>
          <w:b/>
          <w:color w:val="000000" w:themeColor="text1"/>
          <w:sz w:val="32"/>
          <w:szCs w:val="32"/>
          <w14:textFill>
            <w14:solidFill>
              <w14:schemeClr w14:val="tx1"/>
            </w14:solidFill>
          </w14:textFill>
        </w:rPr>
        <w:t>20</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b/>
          <w:color w:val="000000" w:themeColor="text1"/>
          <w:sz w:val="32"/>
          <w:szCs w:val="32"/>
          <w14:textFill>
            <w14:solidFill>
              <w14:schemeClr w14:val="tx1"/>
            </w14:solidFill>
          </w14:textFill>
        </w:rPr>
        <w:t>年</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b/>
          <w:color w:val="000000" w:themeColor="text1"/>
          <w:sz w:val="32"/>
          <w:szCs w:val="32"/>
          <w14:textFill>
            <w14:solidFill>
              <w14:schemeClr w14:val="tx1"/>
            </w14:solidFill>
          </w14:textFill>
        </w:rPr>
        <w:t>般公共预算支出决算数为</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278.67万元</w:t>
      </w:r>
      <w:r>
        <w:rPr>
          <w:rFonts w:hint="default" w:ascii="Times New Roman" w:hAnsi="Times New Roman" w:eastAsia="仿宋_GB2312" w:cs="Times New Roman"/>
          <w:color w:val="000000" w:themeColor="text1"/>
          <w:sz w:val="32"/>
          <w:szCs w:val="32"/>
          <w14:textFill>
            <w14:solidFill>
              <w14:schemeClr w14:val="tx1"/>
            </w14:solidFill>
          </w14:textFill>
        </w:rPr>
        <w:t>，</w:t>
      </w:r>
      <w:r>
        <w:rPr>
          <w:rStyle w:val="14"/>
          <w:rFonts w:hint="default" w:ascii="Times New Roman" w:hAnsi="Times New Roman" w:eastAsia="仿宋_GB2312" w:cs="Times New Roman"/>
          <w:bCs/>
          <w:color w:val="000000" w:themeColor="text1"/>
          <w:sz w:val="32"/>
          <w:szCs w:val="32"/>
          <w14:textFill>
            <w14:solidFill>
              <w14:schemeClr w14:val="tx1"/>
            </w14:solidFill>
          </w14:textFill>
        </w:rPr>
        <w:t>完成</w:t>
      </w:r>
      <w:r>
        <w:rPr>
          <w:rStyle w:val="14"/>
          <w:rFonts w:hint="default" w:ascii="Times New Roman" w:hAnsi="Times New Roman" w:eastAsia="仿宋_GB2312" w:cs="Times New Roman"/>
          <w:bCs/>
          <w:color w:val="000000"/>
          <w:sz w:val="32"/>
          <w:szCs w:val="32"/>
        </w:rPr>
        <w:t>预算</w:t>
      </w:r>
      <w:r>
        <w:rPr>
          <w:rStyle w:val="14"/>
          <w:rFonts w:hint="default" w:ascii="Times New Roman" w:hAnsi="Times New Roman" w:eastAsia="仿宋_GB2312" w:cs="Times New Roman"/>
          <w:bCs/>
          <w:color w:val="000000"/>
          <w:sz w:val="32"/>
          <w:szCs w:val="32"/>
          <w:lang w:val="en-US" w:eastAsia="zh-CN"/>
        </w:rPr>
        <w:t>85.55</w:t>
      </w:r>
      <w:r>
        <w:rPr>
          <w:rStyle w:val="14"/>
          <w:rFonts w:hint="default" w:ascii="Times New Roman" w:hAnsi="Times New Roman" w:eastAsia="仿宋_GB2312" w:cs="Times New Roman"/>
          <w:bCs/>
          <w:color w:val="000000"/>
          <w:sz w:val="32"/>
          <w:szCs w:val="32"/>
        </w:rPr>
        <w:t>%。其中：</w:t>
      </w:r>
      <w:bookmarkEnd w:id="49"/>
      <w:bookmarkEnd w:id="50"/>
      <w:bookmarkEnd w:id="5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1.一般公共服务（类）</w:t>
      </w:r>
      <w:r>
        <w:rPr>
          <w:rStyle w:val="14"/>
          <w:rFonts w:hint="default" w:ascii="Times New Roman" w:hAnsi="Times New Roman" w:eastAsia="仿宋_GB2312" w:cs="Times New Roman"/>
          <w:bCs/>
          <w:color w:val="auto"/>
          <w:sz w:val="32"/>
          <w:szCs w:val="32"/>
          <w:lang w:eastAsia="zh-CN"/>
        </w:rPr>
        <w:t>民族事务</w:t>
      </w:r>
      <w:r>
        <w:rPr>
          <w:rStyle w:val="14"/>
          <w:rFonts w:hint="default" w:ascii="Times New Roman" w:hAnsi="Times New Roman" w:eastAsia="仿宋_GB2312" w:cs="Times New Roman"/>
          <w:bCs/>
          <w:color w:val="000000"/>
          <w:sz w:val="32"/>
          <w:szCs w:val="32"/>
        </w:rPr>
        <w:t>（款）</w:t>
      </w:r>
      <w:r>
        <w:rPr>
          <w:rStyle w:val="14"/>
          <w:rFonts w:hint="default" w:ascii="Times New Roman" w:hAnsi="Times New Roman" w:eastAsia="仿宋_GB2312" w:cs="Times New Roman"/>
          <w:bCs/>
          <w:color w:val="000000"/>
          <w:sz w:val="32"/>
          <w:szCs w:val="32"/>
          <w:lang w:val="en-US" w:eastAsia="zh-CN"/>
        </w:rPr>
        <w:t>行政运行</w:t>
      </w:r>
      <w:r>
        <w:rPr>
          <w:rStyle w:val="14"/>
          <w:rFonts w:hint="default" w:ascii="Times New Roman" w:hAnsi="Times New Roman" w:eastAsia="仿宋_GB2312" w:cs="Times New Roman"/>
          <w:bCs/>
          <w:color w:val="000000"/>
          <w:sz w:val="32"/>
          <w:szCs w:val="32"/>
        </w:rPr>
        <w:t>（项）:</w:t>
      </w:r>
      <w:r>
        <w:rPr>
          <w:rStyle w:val="14"/>
          <w:rFonts w:hint="default" w:ascii="Times New Roman" w:hAnsi="Times New Roman" w:eastAsia="仿宋_GB2312" w:cs="Times New Roman"/>
          <w:b w:val="0"/>
          <w:bCs/>
          <w:color w:val="000000"/>
          <w:sz w:val="32"/>
          <w:szCs w:val="32"/>
        </w:rPr>
        <w:t xml:space="preserve"> 支出决算为</w:t>
      </w:r>
      <w:r>
        <w:rPr>
          <w:rStyle w:val="14"/>
          <w:rFonts w:hint="default" w:ascii="Times New Roman" w:hAnsi="Times New Roman" w:eastAsia="仿宋_GB2312" w:cs="Times New Roman"/>
          <w:b w:val="0"/>
          <w:bCs/>
          <w:color w:val="000000"/>
          <w:sz w:val="32"/>
          <w:szCs w:val="32"/>
          <w:lang w:val="en-US" w:eastAsia="zh-CN"/>
        </w:rPr>
        <w:t>105.03</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81.29</w:t>
      </w:r>
      <w:r>
        <w:rPr>
          <w:rStyle w:val="14"/>
          <w:rFonts w:hint="default" w:ascii="Times New Roman" w:hAnsi="Times New Roman" w:eastAsia="仿宋_GB2312" w:cs="Times New Roman"/>
          <w:b w:val="0"/>
          <w:bCs/>
          <w:color w:val="000000"/>
          <w:sz w:val="32"/>
          <w:szCs w:val="32"/>
        </w:rPr>
        <w:t>%，决算数小于预算数的主要原因是</w:t>
      </w:r>
      <w:r>
        <w:rPr>
          <w:rFonts w:hint="default" w:ascii="Times New Roman" w:hAnsi="Times New Roman" w:eastAsia="仿宋_GB2312" w:cs="Times New Roman"/>
          <w:color w:val="000000"/>
          <w:sz w:val="32"/>
          <w:szCs w:val="32"/>
          <w:lang w:val="en-US" w:eastAsia="zh-CN"/>
        </w:rPr>
        <w:t>受疫情影响，支出减少</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2.一般公共服务（类）</w:t>
      </w:r>
      <w:r>
        <w:rPr>
          <w:rStyle w:val="14"/>
          <w:rFonts w:hint="default" w:ascii="Times New Roman" w:hAnsi="Times New Roman" w:eastAsia="仿宋_GB2312" w:cs="Times New Roman"/>
          <w:bCs/>
          <w:color w:val="auto"/>
          <w:sz w:val="32"/>
          <w:szCs w:val="32"/>
          <w:lang w:eastAsia="zh-CN"/>
        </w:rPr>
        <w:t>民族事务</w:t>
      </w:r>
      <w:r>
        <w:rPr>
          <w:rStyle w:val="14"/>
          <w:rFonts w:hint="default" w:ascii="Times New Roman" w:hAnsi="Times New Roman" w:eastAsia="仿宋_GB2312" w:cs="Times New Roman"/>
          <w:bCs/>
          <w:color w:val="000000"/>
          <w:sz w:val="32"/>
          <w:szCs w:val="32"/>
        </w:rPr>
        <w:t>（款）</w:t>
      </w:r>
      <w:r>
        <w:rPr>
          <w:rStyle w:val="14"/>
          <w:rFonts w:hint="default" w:ascii="Times New Roman" w:hAnsi="Times New Roman" w:eastAsia="仿宋_GB2312" w:cs="Times New Roman"/>
          <w:bCs/>
          <w:color w:val="000000"/>
          <w:sz w:val="32"/>
          <w:szCs w:val="32"/>
          <w:lang w:val="en-US" w:eastAsia="zh-CN"/>
        </w:rPr>
        <w:t>一般行政管理事务</w:t>
      </w:r>
      <w:r>
        <w:rPr>
          <w:rStyle w:val="14"/>
          <w:rFonts w:hint="default" w:ascii="Times New Roman" w:hAnsi="Times New Roman" w:eastAsia="仿宋_GB2312" w:cs="Times New Roman"/>
          <w:bCs/>
          <w:color w:val="000000"/>
          <w:sz w:val="32"/>
          <w:szCs w:val="32"/>
        </w:rPr>
        <w:t>（项）:</w:t>
      </w:r>
      <w:r>
        <w:rPr>
          <w:rStyle w:val="14"/>
          <w:rFonts w:hint="default" w:ascii="Times New Roman" w:hAnsi="Times New Roman" w:eastAsia="仿宋_GB2312" w:cs="Times New Roman"/>
          <w:b w:val="0"/>
          <w:bCs/>
          <w:color w:val="000000"/>
          <w:sz w:val="32"/>
          <w:szCs w:val="32"/>
        </w:rPr>
        <w:t xml:space="preserve">  支出决算为</w:t>
      </w:r>
      <w:r>
        <w:rPr>
          <w:rStyle w:val="14"/>
          <w:rFonts w:hint="default" w:ascii="Times New Roman" w:hAnsi="Times New Roman" w:eastAsia="仿宋_GB2312" w:cs="Times New Roman"/>
          <w:b w:val="0"/>
          <w:bCs/>
          <w:color w:val="000000"/>
          <w:sz w:val="32"/>
          <w:szCs w:val="32"/>
          <w:lang w:val="en-US" w:eastAsia="zh-CN"/>
        </w:rPr>
        <w:t>15</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3.</w:t>
      </w:r>
      <w:r>
        <w:rPr>
          <w:rStyle w:val="14"/>
          <w:rFonts w:hint="default" w:ascii="Times New Roman" w:hAnsi="Times New Roman" w:eastAsia="仿宋_GB2312" w:cs="Times New Roman"/>
          <w:b/>
          <w:bCs w:val="0"/>
          <w:color w:val="auto"/>
          <w:sz w:val="32"/>
          <w:szCs w:val="32"/>
        </w:rPr>
        <w:t>一般</w:t>
      </w:r>
      <w:r>
        <w:rPr>
          <w:rStyle w:val="14"/>
          <w:rFonts w:hint="default" w:ascii="Times New Roman" w:hAnsi="Times New Roman" w:eastAsia="仿宋_GB2312" w:cs="Times New Roman"/>
          <w:bCs/>
          <w:color w:val="auto"/>
          <w:sz w:val="32"/>
          <w:szCs w:val="32"/>
        </w:rPr>
        <w:t>公共服务</w:t>
      </w:r>
      <w:r>
        <w:rPr>
          <w:rStyle w:val="14"/>
          <w:rFonts w:hint="default" w:ascii="Times New Roman" w:hAnsi="Times New Roman" w:eastAsia="仿宋_GB2312" w:cs="Times New Roman"/>
          <w:bCs/>
          <w:color w:val="auto"/>
          <w:sz w:val="32"/>
          <w:szCs w:val="32"/>
          <w:lang w:eastAsia="zh-CN"/>
        </w:rPr>
        <w:t>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民族事务</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eastAsia="zh-CN"/>
        </w:rPr>
        <w:t>其他民族事务支出</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000000"/>
          <w:sz w:val="32"/>
          <w:szCs w:val="32"/>
        </w:rPr>
        <w:t>支出决算为</w:t>
      </w:r>
      <w:r>
        <w:rPr>
          <w:rStyle w:val="14"/>
          <w:rFonts w:hint="default" w:ascii="Times New Roman" w:hAnsi="Times New Roman" w:eastAsia="仿宋_GB2312" w:cs="Times New Roman"/>
          <w:b w:val="0"/>
          <w:bCs/>
          <w:color w:val="000000"/>
          <w:sz w:val="32"/>
          <w:szCs w:val="32"/>
          <w:lang w:val="en-US" w:eastAsia="zh-CN"/>
        </w:rPr>
        <w:t>102.99</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85.83</w:t>
      </w:r>
      <w:r>
        <w:rPr>
          <w:rStyle w:val="14"/>
          <w:rFonts w:hint="default" w:ascii="Times New Roman" w:hAnsi="Times New Roman" w:eastAsia="仿宋_GB2312" w:cs="Times New Roman"/>
          <w:b w:val="0"/>
          <w:bCs/>
          <w:color w:val="000000"/>
          <w:sz w:val="32"/>
          <w:szCs w:val="32"/>
        </w:rPr>
        <w:t>%，决算数小于预算数的主要原因是</w:t>
      </w:r>
      <w:r>
        <w:rPr>
          <w:rFonts w:hint="default" w:ascii="Times New Roman" w:hAnsi="Times New Roman" w:eastAsia="仿宋_GB2312" w:cs="Times New Roman"/>
          <w:color w:val="000000"/>
          <w:sz w:val="32"/>
          <w:szCs w:val="32"/>
          <w:lang w:val="en-US" w:eastAsia="zh-CN"/>
        </w:rPr>
        <w:t>受疫情影响，项目支出减少</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4.</w:t>
      </w:r>
      <w:r>
        <w:rPr>
          <w:rStyle w:val="14"/>
          <w:rFonts w:hint="default" w:ascii="Times New Roman" w:hAnsi="Times New Roman" w:eastAsia="仿宋_GB2312" w:cs="Times New Roman"/>
          <w:bCs/>
          <w:color w:val="auto"/>
          <w:sz w:val="32"/>
          <w:szCs w:val="32"/>
          <w:lang w:eastAsia="zh-CN"/>
        </w:rPr>
        <w:t>社会保障和就业支出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行政事业单位</w:t>
      </w:r>
      <w:r>
        <w:rPr>
          <w:rStyle w:val="14"/>
          <w:rFonts w:hint="default" w:ascii="Times New Roman" w:hAnsi="Times New Roman" w:eastAsia="仿宋_GB2312" w:cs="Times New Roman"/>
          <w:bCs/>
          <w:color w:val="auto"/>
          <w:sz w:val="32"/>
          <w:szCs w:val="32"/>
          <w:lang w:val="en-US" w:eastAsia="zh-CN"/>
        </w:rPr>
        <w:t>养老支出</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行政</w:t>
      </w:r>
      <w:r>
        <w:rPr>
          <w:rStyle w:val="14"/>
          <w:rFonts w:hint="default" w:ascii="Times New Roman" w:hAnsi="Times New Roman" w:eastAsia="仿宋_GB2312" w:cs="Times New Roman"/>
          <w:bCs/>
          <w:color w:val="auto"/>
          <w:sz w:val="32"/>
          <w:szCs w:val="32"/>
          <w:lang w:eastAsia="zh-CN"/>
        </w:rPr>
        <w:t>单位离退休</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Cs/>
          <w:color w:val="auto"/>
          <w:sz w:val="32"/>
          <w:szCs w:val="32"/>
          <w:lang w:eastAsia="zh-CN"/>
        </w:rPr>
        <w:t>）</w:t>
      </w:r>
      <w:r>
        <w:rPr>
          <w:rStyle w:val="14"/>
          <w:rFonts w:hint="default" w:ascii="Times New Roman" w:hAnsi="Times New Roman" w:eastAsia="仿宋_GB2312" w:cs="Times New Roman"/>
          <w:bCs/>
          <w:color w:val="auto"/>
          <w:sz w:val="32"/>
          <w:szCs w:val="32"/>
          <w:lang w:val="en-US" w:eastAsia="zh-CN"/>
        </w:rPr>
        <w:t xml:space="preserve"> ：</w:t>
      </w:r>
      <w:r>
        <w:rPr>
          <w:rStyle w:val="14"/>
          <w:rFonts w:hint="default" w:ascii="Times New Roman" w:hAnsi="Times New Roman" w:eastAsia="仿宋_GB2312" w:cs="Times New Roman"/>
          <w:b w:val="0"/>
          <w:bCs w:val="0"/>
          <w:color w:val="auto"/>
          <w:sz w:val="32"/>
          <w:szCs w:val="32"/>
        </w:rPr>
        <w:t>支出</w:t>
      </w:r>
      <w:r>
        <w:rPr>
          <w:rStyle w:val="14"/>
          <w:rFonts w:hint="default" w:ascii="Times New Roman" w:hAnsi="Times New Roman" w:eastAsia="仿宋_GB2312" w:cs="Times New Roman"/>
          <w:b w:val="0"/>
          <w:bCs/>
          <w:color w:val="000000"/>
          <w:sz w:val="32"/>
          <w:szCs w:val="32"/>
        </w:rPr>
        <w:t>决算为</w:t>
      </w:r>
      <w:r>
        <w:rPr>
          <w:rStyle w:val="14"/>
          <w:rFonts w:hint="default" w:ascii="Times New Roman" w:hAnsi="Times New Roman" w:eastAsia="仿宋_GB2312" w:cs="Times New Roman"/>
          <w:b w:val="0"/>
          <w:bCs/>
          <w:color w:val="000000"/>
          <w:sz w:val="32"/>
          <w:szCs w:val="32"/>
          <w:lang w:val="en-US" w:eastAsia="zh-CN"/>
        </w:rPr>
        <w:t>5.2</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5.</w:t>
      </w:r>
      <w:r>
        <w:rPr>
          <w:rStyle w:val="14"/>
          <w:rFonts w:hint="default" w:ascii="Times New Roman" w:hAnsi="Times New Roman" w:eastAsia="仿宋_GB2312" w:cs="Times New Roman"/>
          <w:bCs/>
          <w:color w:val="auto"/>
          <w:sz w:val="32"/>
          <w:szCs w:val="32"/>
          <w:lang w:eastAsia="zh-CN"/>
        </w:rPr>
        <w:t>社会保障和就业支出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行政事业单位</w:t>
      </w:r>
      <w:r>
        <w:rPr>
          <w:rStyle w:val="14"/>
          <w:rFonts w:hint="default" w:ascii="Times New Roman" w:hAnsi="Times New Roman" w:eastAsia="仿宋_GB2312" w:cs="Times New Roman"/>
          <w:bCs/>
          <w:color w:val="auto"/>
          <w:sz w:val="32"/>
          <w:szCs w:val="32"/>
          <w:lang w:val="en-US" w:eastAsia="zh-CN"/>
        </w:rPr>
        <w:t>养老支出</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eastAsia="zh-CN"/>
        </w:rPr>
        <w:t>机关事业单位基本养老保险缴费支出</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支出决算为</w:t>
      </w:r>
      <w:r>
        <w:rPr>
          <w:rStyle w:val="14"/>
          <w:rFonts w:hint="default" w:ascii="Times New Roman" w:hAnsi="Times New Roman" w:eastAsia="仿宋_GB2312" w:cs="Times New Roman"/>
          <w:b w:val="0"/>
          <w:bCs/>
          <w:color w:val="auto"/>
          <w:sz w:val="32"/>
          <w:szCs w:val="32"/>
          <w:lang w:val="en-US" w:eastAsia="zh-CN"/>
        </w:rPr>
        <w:t>9.13</w:t>
      </w:r>
      <w:r>
        <w:rPr>
          <w:rStyle w:val="14"/>
          <w:rFonts w:hint="default" w:ascii="Times New Roman" w:hAnsi="Times New Roman" w:eastAsia="仿宋_GB2312" w:cs="Times New Roman"/>
          <w:b w:val="0"/>
          <w:bCs/>
          <w:color w:val="auto"/>
          <w:sz w:val="32"/>
          <w:szCs w:val="32"/>
        </w:rPr>
        <w:t>万元</w:t>
      </w:r>
      <w:r>
        <w:rPr>
          <w:rStyle w:val="14"/>
          <w:rFonts w:hint="default" w:ascii="Times New Roman" w:hAnsi="Times New Roman" w:eastAsia="仿宋_GB2312" w:cs="Times New Roman"/>
          <w:b w:val="0"/>
          <w:bCs/>
          <w:color w:val="000000"/>
          <w:sz w:val="32"/>
          <w:szCs w:val="32"/>
        </w:rPr>
        <w:t>，完成预算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6.</w:t>
      </w:r>
      <w:r>
        <w:rPr>
          <w:rStyle w:val="14"/>
          <w:rFonts w:hint="default" w:ascii="Times New Roman" w:hAnsi="Times New Roman" w:eastAsia="仿宋_GB2312" w:cs="Times New Roman"/>
          <w:bCs/>
          <w:color w:val="auto"/>
          <w:sz w:val="32"/>
          <w:szCs w:val="32"/>
          <w:lang w:eastAsia="zh-CN"/>
        </w:rPr>
        <w:t>医疗健康支出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行政事业单位医疗</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eastAsia="zh-CN"/>
        </w:rPr>
        <w:t>行政单位医疗</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 w:val="0"/>
          <w:bCs/>
          <w:color w:val="000000"/>
          <w:sz w:val="32"/>
          <w:szCs w:val="32"/>
        </w:rPr>
        <w:t>支出决算为</w:t>
      </w:r>
      <w:r>
        <w:rPr>
          <w:rStyle w:val="14"/>
          <w:rFonts w:hint="default" w:ascii="Times New Roman" w:hAnsi="Times New Roman" w:eastAsia="仿宋_GB2312" w:cs="Times New Roman"/>
          <w:b w:val="0"/>
          <w:bCs/>
          <w:color w:val="000000"/>
          <w:sz w:val="32"/>
          <w:szCs w:val="32"/>
          <w:lang w:val="en-US" w:eastAsia="zh-CN"/>
        </w:rPr>
        <w:t>0.66</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bCs/>
          <w:color w:val="000000"/>
          <w:sz w:val="32"/>
          <w:szCs w:val="32"/>
          <w:lang w:val="en-US" w:eastAsia="zh-CN"/>
        </w:rPr>
        <w:t>7.</w:t>
      </w:r>
      <w:r>
        <w:rPr>
          <w:rStyle w:val="14"/>
          <w:rFonts w:hint="default" w:ascii="Times New Roman" w:hAnsi="Times New Roman" w:eastAsia="仿宋_GB2312" w:cs="Times New Roman"/>
          <w:bCs/>
          <w:color w:val="auto"/>
          <w:sz w:val="32"/>
          <w:szCs w:val="32"/>
          <w:lang w:eastAsia="zh-CN"/>
        </w:rPr>
        <w:t>医疗健康支出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行政事业单位医疗</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事业单位医疗</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 w:val="0"/>
          <w:bCs/>
          <w:color w:val="000000"/>
          <w:sz w:val="32"/>
          <w:szCs w:val="32"/>
        </w:rPr>
        <w:t>支出决算为</w:t>
      </w:r>
      <w:r>
        <w:rPr>
          <w:rStyle w:val="14"/>
          <w:rFonts w:hint="default" w:ascii="Times New Roman" w:hAnsi="Times New Roman" w:eastAsia="仿宋_GB2312" w:cs="Times New Roman"/>
          <w:b w:val="0"/>
          <w:bCs/>
          <w:color w:val="000000"/>
          <w:sz w:val="32"/>
          <w:szCs w:val="32"/>
          <w:lang w:val="en-US" w:eastAsia="zh-CN"/>
        </w:rPr>
        <w:t>6</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hint="default" w:ascii="Times New Roman" w:hAnsi="Times New Roman" w:eastAsia="仿宋_GB2312" w:cs="Times New Roman"/>
          <w:b w:val="0"/>
          <w:bCs/>
          <w:color w:val="000000"/>
          <w:sz w:val="32"/>
          <w:szCs w:val="32"/>
        </w:rPr>
      </w:pPr>
      <w:r>
        <w:rPr>
          <w:rStyle w:val="14"/>
          <w:rFonts w:hint="default" w:ascii="Times New Roman" w:hAnsi="Times New Roman" w:eastAsia="仿宋_GB2312" w:cs="Times New Roman"/>
          <w:b/>
          <w:bCs w:val="0"/>
          <w:color w:val="000000"/>
          <w:sz w:val="32"/>
          <w:szCs w:val="32"/>
          <w:lang w:val="en-US" w:eastAsia="zh-CN"/>
        </w:rPr>
        <w:t>8.</w:t>
      </w:r>
      <w:r>
        <w:rPr>
          <w:rStyle w:val="14"/>
          <w:rFonts w:hint="default" w:ascii="Times New Roman" w:hAnsi="Times New Roman" w:eastAsia="仿宋_GB2312" w:cs="Times New Roman"/>
          <w:bCs/>
          <w:color w:val="auto"/>
          <w:sz w:val="32"/>
          <w:szCs w:val="32"/>
          <w:lang w:eastAsia="zh-CN"/>
        </w:rPr>
        <w:t>医疗健康支出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行政事业单位医疗</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公务员医疗补助</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 w:val="0"/>
          <w:bCs/>
          <w:color w:val="000000"/>
          <w:sz w:val="32"/>
          <w:szCs w:val="32"/>
        </w:rPr>
        <w:t>支出决算为</w:t>
      </w:r>
      <w:r>
        <w:rPr>
          <w:rStyle w:val="14"/>
          <w:rFonts w:hint="default" w:ascii="Times New Roman" w:hAnsi="Times New Roman" w:eastAsia="仿宋_GB2312" w:cs="Times New Roman"/>
          <w:b w:val="0"/>
          <w:bCs/>
          <w:color w:val="000000"/>
          <w:sz w:val="32"/>
          <w:szCs w:val="32"/>
          <w:lang w:val="en-US" w:eastAsia="zh-CN"/>
        </w:rPr>
        <w:t>1.65</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hint="default" w:ascii="Times New Roman" w:hAnsi="Times New Roman" w:eastAsia="仿宋_GB2312" w:cs="Times New Roman"/>
          <w:b w:val="0"/>
          <w:bCs/>
          <w:color w:val="auto"/>
          <w:sz w:val="32"/>
          <w:szCs w:val="32"/>
        </w:rPr>
      </w:pPr>
      <w:r>
        <w:rPr>
          <w:rStyle w:val="14"/>
          <w:rFonts w:hint="default" w:ascii="Times New Roman" w:hAnsi="Times New Roman" w:eastAsia="仿宋_GB2312" w:cs="Times New Roman"/>
          <w:b/>
          <w:bCs w:val="0"/>
          <w:color w:val="000000"/>
          <w:sz w:val="32"/>
          <w:szCs w:val="32"/>
          <w:lang w:val="en-US" w:eastAsia="zh-CN"/>
        </w:rPr>
        <w:t>9.</w:t>
      </w:r>
      <w:r>
        <w:rPr>
          <w:rStyle w:val="14"/>
          <w:rFonts w:hint="default" w:ascii="Times New Roman" w:hAnsi="Times New Roman" w:eastAsia="仿宋_GB2312" w:cs="Times New Roman"/>
          <w:bCs/>
          <w:color w:val="auto"/>
          <w:sz w:val="32"/>
          <w:szCs w:val="32"/>
          <w:lang w:eastAsia="zh-CN"/>
        </w:rPr>
        <w:t>住房保障支出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住房改革支出</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eastAsia="zh-CN"/>
        </w:rPr>
        <w:t>住房公积金</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支出决算为</w:t>
      </w:r>
      <w:r>
        <w:rPr>
          <w:rStyle w:val="14"/>
          <w:rFonts w:hint="default" w:ascii="Times New Roman" w:hAnsi="Times New Roman" w:eastAsia="仿宋_GB2312" w:cs="Times New Roman"/>
          <w:b w:val="0"/>
          <w:bCs/>
          <w:color w:val="auto"/>
          <w:sz w:val="32"/>
          <w:szCs w:val="32"/>
          <w:lang w:val="en-US" w:eastAsia="zh-CN"/>
        </w:rPr>
        <w:t>8</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hint="default" w:ascii="Times New Roman" w:hAnsi="Times New Roman" w:eastAsia="仿宋_GB2312" w:cs="Times New Roman"/>
          <w:b w:val="0"/>
          <w:bCs/>
          <w:color w:val="auto"/>
          <w:sz w:val="32"/>
          <w:szCs w:val="32"/>
        </w:rPr>
      </w:pPr>
      <w:r>
        <w:rPr>
          <w:rStyle w:val="14"/>
          <w:rFonts w:hint="default" w:ascii="Times New Roman" w:hAnsi="Times New Roman" w:eastAsia="仿宋_GB2312" w:cs="Times New Roman"/>
          <w:b/>
          <w:bCs w:val="0"/>
          <w:color w:val="000000"/>
          <w:sz w:val="32"/>
          <w:szCs w:val="32"/>
          <w:lang w:val="en-US" w:eastAsia="zh-CN"/>
        </w:rPr>
        <w:t>10.</w:t>
      </w:r>
      <w:r>
        <w:rPr>
          <w:rStyle w:val="14"/>
          <w:rFonts w:hint="default" w:ascii="Times New Roman" w:hAnsi="Times New Roman" w:eastAsia="仿宋_GB2312" w:cs="Times New Roman"/>
          <w:bCs/>
          <w:color w:val="auto"/>
          <w:sz w:val="32"/>
          <w:szCs w:val="32"/>
          <w:lang w:eastAsia="zh-CN"/>
        </w:rPr>
        <w:t>住房保障支出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住房改革支出</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购房补贴</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支出决算为</w:t>
      </w:r>
      <w:r>
        <w:rPr>
          <w:rStyle w:val="14"/>
          <w:rFonts w:hint="default" w:ascii="Times New Roman" w:hAnsi="Times New Roman" w:eastAsia="仿宋_GB2312" w:cs="Times New Roman"/>
          <w:b w:val="0"/>
          <w:bCs/>
          <w:color w:val="auto"/>
          <w:sz w:val="32"/>
          <w:szCs w:val="32"/>
          <w:lang w:val="en-US" w:eastAsia="zh-CN"/>
        </w:rPr>
        <w:t>25</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pStyle w:val="2"/>
      </w:pPr>
    </w:p>
    <w:p>
      <w:pPr>
        <w:tabs>
          <w:tab w:val="right" w:pos="8306"/>
        </w:tabs>
        <w:spacing w:line="600" w:lineRule="exact"/>
        <w:ind w:firstLine="640"/>
        <w:outlineLvl w:val="1"/>
        <w:rPr>
          <w:rStyle w:val="26"/>
        </w:rPr>
      </w:pPr>
      <w:bookmarkStart w:id="52" w:name="_Toc29833"/>
      <w:bookmarkStart w:id="53" w:name="_Toc15377214"/>
      <w:bookmarkStart w:id="54" w:name="_Toc15396608"/>
      <w:bookmarkStart w:id="55" w:name="_Toc4735"/>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52"/>
      <w:bookmarkEnd w:id="53"/>
      <w:bookmarkEnd w:id="54"/>
      <w:bookmarkEnd w:id="55"/>
      <w:r>
        <w:rPr>
          <w:rStyle w:val="26"/>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年一般公共预算财政拨款基本支出</w:t>
      </w:r>
      <w:r>
        <w:rPr>
          <w:rFonts w:hint="default" w:ascii="Times New Roman" w:hAnsi="Times New Roman" w:eastAsia="仿宋_GB2312" w:cs="Times New Roman"/>
          <w:color w:val="000000"/>
          <w:sz w:val="32"/>
          <w:szCs w:val="32"/>
          <w:lang w:val="en-US" w:eastAsia="zh-CN"/>
        </w:rPr>
        <w:t>160.67</w:t>
      </w:r>
      <w:r>
        <w:rPr>
          <w:rFonts w:hint="default" w:ascii="Times New Roman" w:hAnsi="Times New Roman" w:eastAsia="仿宋_GB2312" w:cs="Times New Roman"/>
          <w:color w:val="000000"/>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人员经费</w:t>
      </w:r>
      <w:r>
        <w:rPr>
          <w:rFonts w:hint="default" w:ascii="Times New Roman" w:hAnsi="Times New Roman" w:eastAsia="仿宋_GB2312" w:cs="Times New Roman"/>
          <w:color w:val="000000"/>
          <w:sz w:val="32"/>
          <w:szCs w:val="32"/>
          <w:lang w:val="en-US" w:eastAsia="zh-CN"/>
        </w:rPr>
        <w:t>134.05</w:t>
      </w:r>
      <w:r>
        <w:rPr>
          <w:rFonts w:hint="default" w:ascii="Times New Roman" w:hAnsi="Times New Roman" w:eastAsia="仿宋_GB2312" w:cs="Times New Roman"/>
          <w:color w:val="000000"/>
          <w:sz w:val="32"/>
          <w:szCs w:val="32"/>
        </w:rPr>
        <w:t>万元，主要包括：基本工资、津贴补贴、奖金、机关事业单位基本养老保险缴费、其他工资福利支出、医疗费补助、奖励金、住房公积金、其他对个人和家庭的补助支出。</w:t>
      </w:r>
      <w:r>
        <w:rPr>
          <w:rFonts w:hint="default" w:ascii="Times New Roman" w:hAnsi="Times New Roman" w:eastAsia="仿宋_GB2312" w:cs="Times New Roman"/>
          <w:color w:val="000000"/>
          <w:sz w:val="32"/>
          <w:szCs w:val="32"/>
        </w:rPr>
        <w:br w:type="textWrapping"/>
      </w:r>
      <w:r>
        <w:rPr>
          <w:rFonts w:hint="default" w:ascii="Times New Roman" w:hAnsi="Times New Roman" w:eastAsia="仿宋_GB2312" w:cs="Times New Roman"/>
          <w:color w:val="000000"/>
          <w:sz w:val="32"/>
          <w:szCs w:val="32"/>
        </w:rPr>
        <w:t>　　公用经费</w:t>
      </w:r>
      <w:r>
        <w:rPr>
          <w:rFonts w:hint="default" w:ascii="Times New Roman" w:hAnsi="Times New Roman" w:eastAsia="仿宋_GB2312" w:cs="Times New Roman"/>
          <w:color w:val="000000"/>
          <w:sz w:val="32"/>
          <w:szCs w:val="32"/>
          <w:lang w:val="en-US" w:eastAsia="zh-CN"/>
        </w:rPr>
        <w:t>26.62</w:t>
      </w:r>
      <w:r>
        <w:rPr>
          <w:rFonts w:hint="default" w:ascii="Times New Roman" w:hAnsi="Times New Roman" w:eastAsia="仿宋_GB2312" w:cs="Times New Roman"/>
          <w:color w:val="000000"/>
          <w:sz w:val="32"/>
          <w:szCs w:val="32"/>
        </w:rPr>
        <w:t>万元，主要包括：办公费、水费、电费、邮电费、物业管理费、差旅费、维修（护）费、会议费、培训费、公务接待费、劳务费、委托业务费、工会经费、福利费、公务用车运行维护费、其他交通费、其他商品和服务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color w:val="FF0000"/>
          <w:sz w:val="32"/>
          <w:szCs w:val="32"/>
        </w:rPr>
      </w:pPr>
    </w:p>
    <w:p>
      <w:pPr>
        <w:spacing w:line="600" w:lineRule="exact"/>
        <w:ind w:firstLine="640"/>
        <w:outlineLvl w:val="1"/>
        <w:rPr>
          <w:rStyle w:val="26"/>
          <w:rFonts w:ascii="黑体" w:hAnsi="黑体" w:eastAsia="黑体"/>
          <w:b w:val="0"/>
        </w:rPr>
      </w:pPr>
      <w:bookmarkStart w:id="56" w:name="_Toc25533"/>
      <w:bookmarkStart w:id="57" w:name="_Toc9700"/>
      <w:bookmarkStart w:id="58" w:name="_Toc15377215"/>
      <w:bookmarkStart w:id="59"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6"/>
      <w:bookmarkEnd w:id="57"/>
      <w:bookmarkEnd w:id="58"/>
      <w:bookmarkEnd w:id="59"/>
    </w:p>
    <w:p>
      <w:pPr>
        <w:spacing w:line="600" w:lineRule="exact"/>
        <w:ind w:firstLine="640"/>
        <w:outlineLvl w:val="2"/>
        <w:rPr>
          <w:rFonts w:hint="default" w:ascii="Times New Roman" w:hAnsi="Times New Roman" w:eastAsia="仿宋_GB2312" w:cs="Times New Roman"/>
          <w:b/>
          <w:color w:val="000000"/>
          <w:sz w:val="32"/>
          <w:szCs w:val="32"/>
        </w:rPr>
      </w:pPr>
      <w:bookmarkStart w:id="60" w:name="_Toc15377216"/>
      <w:r>
        <w:rPr>
          <w:rFonts w:hint="default" w:ascii="Times New Roman" w:hAnsi="Times New Roman" w:eastAsia="仿宋_GB2312" w:cs="Times New Roman"/>
          <w:b/>
          <w:color w:val="000000"/>
          <w:sz w:val="32"/>
          <w:szCs w:val="32"/>
        </w:rPr>
        <w:t>（一）“三公”经费财政拨款支出决算总体情况说明</w:t>
      </w:r>
      <w:bookmarkEnd w:id="60"/>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年“三公”经费财政拨款支出决算为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万元，完成预算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%，决算数小于预算数的主要原因是</w:t>
      </w:r>
      <w:r>
        <w:rPr>
          <w:rFonts w:hint="default" w:ascii="Times New Roman" w:hAnsi="Times New Roman" w:eastAsia="仿宋_GB2312" w:cs="Times New Roman"/>
          <w:color w:val="000000"/>
          <w:sz w:val="32"/>
          <w:szCs w:val="32"/>
          <w:lang w:val="en-US" w:eastAsia="zh-CN"/>
        </w:rPr>
        <w:t>受疫情影响，未进行公务接待等</w:t>
      </w:r>
      <w:r>
        <w:rPr>
          <w:rFonts w:hint="default" w:ascii="Times New Roman" w:hAnsi="Times New Roman" w:eastAsia="仿宋_GB2312" w:cs="Times New Roman"/>
          <w:color w:val="000000"/>
          <w:sz w:val="32"/>
          <w:szCs w:val="32"/>
        </w:rPr>
        <w:t>。</w:t>
      </w:r>
    </w:p>
    <w:p>
      <w:pPr>
        <w:spacing w:line="600" w:lineRule="exact"/>
        <w:ind w:firstLine="640"/>
        <w:outlineLvl w:val="2"/>
        <w:rPr>
          <w:rFonts w:hint="default" w:ascii="Times New Roman" w:hAnsi="Times New Roman" w:eastAsia="仿宋_GB2312" w:cs="Times New Roman"/>
          <w:b/>
          <w:color w:val="000000"/>
          <w:sz w:val="32"/>
          <w:szCs w:val="32"/>
        </w:rPr>
      </w:pPr>
      <w:bookmarkStart w:id="61" w:name="_Toc15377217"/>
      <w:r>
        <w:rPr>
          <w:rFonts w:hint="default" w:ascii="Times New Roman" w:hAnsi="Times New Roman" w:eastAsia="仿宋_GB2312" w:cs="Times New Roman"/>
          <w:b/>
          <w:color w:val="000000"/>
          <w:sz w:val="32"/>
          <w:szCs w:val="32"/>
        </w:rPr>
        <w:t>（二）“三公”经费财政拨款支出决算具体情况说明</w:t>
      </w:r>
      <w:bookmarkEnd w:id="61"/>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年“三公”经费财政拨款支出决算中，因公出国（境）费支出决算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%；公务用车购置及运行维护费支出决算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%；公务接待费支出决算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%。具体情况如下：</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1.因公出国（境）经费支出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4"/>
          <w:rFonts w:hint="default" w:ascii="Times New Roman" w:hAnsi="Times New Roman" w:eastAsia="仿宋_GB2312" w:cs="Times New Roman"/>
          <w:b w:val="0"/>
          <w:bCs/>
          <w:color w:val="000000"/>
          <w:sz w:val="32"/>
          <w:szCs w:val="32"/>
        </w:rPr>
        <w:t>完成预算</w:t>
      </w:r>
      <w:r>
        <w:rPr>
          <w:rStyle w:val="14"/>
          <w:rFonts w:hint="default" w:ascii="Times New Roman" w:hAnsi="Times New Roman" w:eastAsia="仿宋_GB2312" w:cs="Times New Roman"/>
          <w:b w:val="0"/>
          <w:bCs/>
          <w:color w:val="000000"/>
          <w:sz w:val="32"/>
          <w:szCs w:val="32"/>
          <w:lang w:val="en-US" w:eastAsia="zh-CN"/>
        </w:rPr>
        <w:t>0</w:t>
      </w:r>
      <w:r>
        <w:rPr>
          <w:rStyle w:val="14"/>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color w:val="000000"/>
          <w:sz w:val="32"/>
          <w:szCs w:val="32"/>
        </w:rPr>
        <w:t>全年安排因公出国（境）团组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次，出国（境）</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人。</w:t>
      </w:r>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2.公务用车购置及运行维护费支出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4"/>
          <w:rFonts w:hint="default" w:ascii="Times New Roman" w:hAnsi="Times New Roman" w:eastAsia="仿宋_GB2312" w:cs="Times New Roman"/>
          <w:b w:val="0"/>
          <w:bCs/>
          <w:color w:val="000000"/>
          <w:sz w:val="32"/>
          <w:szCs w:val="32"/>
        </w:rPr>
        <w:t>完成预算</w:t>
      </w:r>
      <w:r>
        <w:rPr>
          <w:rStyle w:val="14"/>
          <w:rFonts w:hint="default" w:ascii="Times New Roman" w:hAnsi="Times New Roman" w:eastAsia="仿宋_GB2312" w:cs="Times New Roman"/>
          <w:b w:val="0"/>
          <w:bCs/>
          <w:color w:val="000000"/>
          <w:sz w:val="32"/>
          <w:szCs w:val="32"/>
          <w:lang w:val="en-US" w:eastAsia="zh-CN"/>
        </w:rPr>
        <w:t>0</w:t>
      </w:r>
      <w:r>
        <w:rPr>
          <w:rStyle w:val="14"/>
          <w:rFonts w:hint="default" w:ascii="Times New Roman" w:hAnsi="Times New Roman" w:eastAsia="仿宋_GB2312" w:cs="Times New Roman"/>
          <w:b w:val="0"/>
          <w:bCs/>
          <w:color w:val="000000"/>
          <w:sz w:val="32"/>
          <w:szCs w:val="32"/>
        </w:rPr>
        <w:t>%。</w:t>
      </w:r>
    </w:p>
    <w:p>
      <w:pPr>
        <w:spacing w:line="600" w:lineRule="exact"/>
        <w:ind w:firstLine="640"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其中：</w:t>
      </w:r>
      <w:r>
        <w:rPr>
          <w:rFonts w:hint="default" w:ascii="Times New Roman" w:hAnsi="Times New Roman" w:eastAsia="仿宋_GB2312" w:cs="Times New Roman"/>
          <w:b/>
          <w:color w:val="000000"/>
          <w:sz w:val="32"/>
          <w:szCs w:val="32"/>
        </w:rPr>
        <w:t>公务用车购置支出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万元。全年按规定更新购置公务用车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辆，其中：轿车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万元，越野车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万元，载客汽车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万元。截至20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年12月底，单位共有公务用车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辆，其中：轿车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辆、越野车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辆、载客汽车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公务用车运行维护费支出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3.公务接待费支出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4"/>
          <w:rFonts w:hint="default" w:ascii="Times New Roman" w:hAnsi="Times New Roman" w:eastAsia="仿宋_GB2312" w:cs="Times New Roman"/>
          <w:b w:val="0"/>
          <w:bCs/>
          <w:color w:val="000000"/>
          <w:sz w:val="32"/>
          <w:szCs w:val="32"/>
        </w:rPr>
        <w:t>完成预算</w:t>
      </w:r>
      <w:r>
        <w:rPr>
          <w:rStyle w:val="14"/>
          <w:rFonts w:hint="default" w:ascii="Times New Roman" w:hAnsi="Times New Roman" w:eastAsia="仿宋_GB2312" w:cs="Times New Roman"/>
          <w:b w:val="0"/>
          <w:bCs/>
          <w:color w:val="000000"/>
          <w:sz w:val="32"/>
          <w:szCs w:val="32"/>
          <w:lang w:val="en-US" w:eastAsia="zh-CN"/>
        </w:rPr>
        <w:t>0</w:t>
      </w:r>
      <w:r>
        <w:rPr>
          <w:rStyle w:val="14"/>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color w:val="000000"/>
          <w:sz w:val="32"/>
          <w:szCs w:val="32"/>
        </w:rPr>
        <w:t>其中：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国内公务接待支出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sz w:val="32"/>
          <w:szCs w:val="32"/>
        </w:rPr>
        <w:t>外事接待支出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黑体" w:eastAsia="黑体"/>
          <w:color w:val="000000"/>
          <w:sz w:val="32"/>
          <w:szCs w:val="32"/>
        </w:rPr>
      </w:pPr>
      <w:bookmarkStart w:id="62" w:name="_Toc15396610"/>
      <w:bookmarkStart w:id="63" w:name="_Toc1537721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6"/>
          <w:rFonts w:ascii="黑体" w:hAnsi="黑体" w:eastAsia="黑体"/>
        </w:rPr>
      </w:pPr>
      <w:bookmarkStart w:id="64" w:name="_Toc18186"/>
      <w:bookmarkStart w:id="65" w:name="_Toc9870"/>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年政府性基金预算</w:t>
      </w:r>
      <w:r>
        <w:rPr>
          <w:rFonts w:hint="default" w:ascii="Times New Roman" w:hAnsi="Times New Roman" w:eastAsia="仿宋_GB2312" w:cs="Times New Roman"/>
          <w:color w:val="000000"/>
          <w:sz w:val="32"/>
          <w:szCs w:val="32"/>
          <w:lang w:eastAsia="zh-CN"/>
        </w:rPr>
        <w:t>财政</w:t>
      </w:r>
      <w:r>
        <w:rPr>
          <w:rFonts w:hint="default" w:ascii="Times New Roman" w:hAnsi="Times New Roman" w:eastAsia="仿宋_GB2312" w:cs="Times New Roman"/>
          <w:color w:val="000000"/>
          <w:sz w:val="32"/>
          <w:szCs w:val="32"/>
        </w:rPr>
        <w:t>拨款支出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000000"/>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1"/>
        <w:rPr>
          <w:rStyle w:val="26"/>
          <w:rFonts w:ascii="黑体" w:hAnsi="黑体" w:eastAsia="黑体"/>
          <w:b w:val="0"/>
        </w:rPr>
      </w:pPr>
      <w:bookmarkStart w:id="66" w:name="_Toc21225"/>
      <w:bookmarkStart w:id="67" w:name="_Toc23906"/>
      <w:bookmarkStart w:id="68" w:name="_Toc15377219"/>
      <w:bookmarkStart w:id="69" w:name="_Toc15396611"/>
      <w:r>
        <w:rPr>
          <w:rStyle w:val="26"/>
          <w:rFonts w:hint="eastAsia" w:ascii="黑体" w:hAnsi="黑体" w:eastAsia="黑体"/>
          <w:b w:val="0"/>
        </w:rPr>
        <w:t>国有资本经营预算支出决算情况说明</w:t>
      </w:r>
      <w:bookmarkEnd w:id="66"/>
      <w:bookmarkEnd w:id="67"/>
      <w:bookmarkEnd w:id="68"/>
      <w:bookmarkEnd w:id="6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年国有资本经营预算</w:t>
      </w:r>
      <w:r>
        <w:rPr>
          <w:rFonts w:hint="default" w:ascii="Times New Roman" w:hAnsi="Times New Roman" w:eastAsia="仿宋_GB2312" w:cs="Times New Roman"/>
          <w:color w:val="000000"/>
          <w:sz w:val="32"/>
          <w:szCs w:val="32"/>
          <w:lang w:eastAsia="zh-CN"/>
        </w:rPr>
        <w:t>财政</w:t>
      </w:r>
      <w:r>
        <w:rPr>
          <w:rFonts w:hint="default" w:ascii="Times New Roman" w:hAnsi="Times New Roman" w:eastAsia="仿宋_GB2312" w:cs="Times New Roman"/>
          <w:color w:val="000000"/>
          <w:sz w:val="32"/>
          <w:szCs w:val="32"/>
        </w:rPr>
        <w:t>拨款支出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26"/>
          <w:rFonts w:hint="eastAsia" w:ascii="黑体" w:hAnsi="黑体" w:eastAsia="黑体"/>
          <w:b w:val="0"/>
        </w:rPr>
      </w:pPr>
      <w:bookmarkStart w:id="70" w:name="_Toc26144"/>
      <w:bookmarkStart w:id="71" w:name="_Toc15396612"/>
      <w:bookmarkStart w:id="72" w:name="_Toc8366"/>
      <w:bookmarkStart w:id="73" w:name="_Toc15377221"/>
      <w:r>
        <w:rPr>
          <w:rStyle w:val="26"/>
          <w:rFonts w:hint="eastAsia" w:ascii="黑体" w:hAnsi="黑体" w:eastAsia="黑体"/>
          <w:b w:val="0"/>
        </w:rPr>
        <w:t>其他重要事项的情况说明</w:t>
      </w:r>
      <w:bookmarkEnd w:id="70"/>
      <w:bookmarkEnd w:id="71"/>
      <w:bookmarkEnd w:id="72"/>
      <w:bookmarkEnd w:id="73"/>
    </w:p>
    <w:p>
      <w:pPr>
        <w:spacing w:line="600" w:lineRule="exact"/>
        <w:ind w:firstLine="643" w:firstLineChars="200"/>
        <w:outlineLvl w:val="2"/>
        <w:rPr>
          <w:rFonts w:ascii="仿宋" w:hAnsi="仿宋" w:eastAsia="仿宋"/>
          <w:color w:val="000000"/>
          <w:sz w:val="32"/>
          <w:szCs w:val="32"/>
        </w:rPr>
      </w:pPr>
      <w:bookmarkStart w:id="74" w:name="_Toc15377222"/>
      <w:r>
        <w:rPr>
          <w:rFonts w:hint="eastAsia" w:ascii="仿宋" w:hAnsi="仿宋" w:eastAsia="仿宋"/>
          <w:b/>
          <w:color w:val="000000"/>
          <w:sz w:val="32"/>
          <w:szCs w:val="32"/>
        </w:rPr>
        <w:t>（一）机关运行经费支出情况</w:t>
      </w:r>
      <w:bookmarkEnd w:id="74"/>
    </w:p>
    <w:p>
      <w:pPr>
        <w:spacing w:line="60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四川省少数民族古籍整理办公室</w:t>
      </w:r>
      <w:r>
        <w:rPr>
          <w:rFonts w:hint="default" w:ascii="Times New Roman" w:hAnsi="Times New Roman" w:eastAsia="仿宋_GB2312" w:cs="Times New Roman"/>
          <w:color w:val="000000"/>
          <w:sz w:val="32"/>
          <w:szCs w:val="32"/>
        </w:rPr>
        <w:t>机关运行经费支出</w:t>
      </w:r>
      <w:r>
        <w:rPr>
          <w:rFonts w:hint="default" w:ascii="Times New Roman" w:hAnsi="Times New Roman" w:eastAsia="仿宋_GB2312" w:cs="Times New Roman"/>
          <w:color w:val="000000"/>
          <w:sz w:val="32"/>
          <w:szCs w:val="32"/>
          <w:lang w:val="en-US" w:eastAsia="zh-CN"/>
        </w:rPr>
        <w:t>26.62</w:t>
      </w:r>
      <w:r>
        <w:rPr>
          <w:rFonts w:hint="default" w:ascii="Times New Roman" w:hAnsi="Times New Roman" w:eastAsia="仿宋_GB2312" w:cs="Times New Roman"/>
          <w:color w:val="000000"/>
          <w:sz w:val="32"/>
          <w:szCs w:val="32"/>
        </w:rPr>
        <w:t>万元，比201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年减少</w:t>
      </w:r>
      <w:r>
        <w:rPr>
          <w:rFonts w:hint="default" w:ascii="Times New Roman" w:hAnsi="Times New Roman" w:eastAsia="仿宋_GB2312" w:cs="Times New Roman"/>
          <w:color w:val="000000"/>
          <w:sz w:val="32"/>
          <w:szCs w:val="32"/>
          <w:lang w:val="en-US" w:eastAsia="zh-CN"/>
        </w:rPr>
        <w:t>11.7</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30.53</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主要原因是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受疫情影响，一般性支出压缩。</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5" w:name="_Toc15377223"/>
      <w:r>
        <w:rPr>
          <w:rFonts w:hint="eastAsia" w:ascii="仿宋" w:hAnsi="仿宋" w:eastAsia="仿宋"/>
          <w:b/>
          <w:color w:val="000000"/>
          <w:sz w:val="32"/>
          <w:szCs w:val="32"/>
        </w:rPr>
        <w:t>（二）政府采购支出情况</w:t>
      </w:r>
      <w:bookmarkEnd w:id="75"/>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四川省少数民族古籍整理办公室</w:t>
      </w:r>
      <w:r>
        <w:rPr>
          <w:rFonts w:hint="default" w:ascii="Times New Roman" w:hAnsi="Times New Roman" w:eastAsia="仿宋_GB2312" w:cs="Times New Roman"/>
          <w:color w:val="000000"/>
          <w:sz w:val="32"/>
          <w:szCs w:val="32"/>
        </w:rPr>
        <w:t>政府采购支出总额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万元，其中：政府采购货物支出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万元、政府采购工程支出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万元、政府采购服务支出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万元。授予中小企业合同金额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万元，占政府采购支出总额的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%，其中：授予小微企业合同金额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万元，占政府采购支出总额的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6" w:name="_Toc15377224"/>
      <w:r>
        <w:rPr>
          <w:rFonts w:hint="eastAsia" w:ascii="仿宋" w:hAnsi="仿宋" w:eastAsia="仿宋"/>
          <w:b/>
          <w:color w:val="000000"/>
          <w:sz w:val="32"/>
          <w:szCs w:val="32"/>
        </w:rPr>
        <w:t>（三）国有资产占有使用情况</w:t>
      </w:r>
      <w:bookmarkEnd w:id="76"/>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outlineLvl w:val="9"/>
        <w:rPr>
          <w:rFonts w:hint="eastAsia" w:ascii="仿宋_GB2312" w:eastAsia="仿宋_GB2312"/>
          <w:color w:val="000000"/>
          <w:sz w:val="32"/>
          <w:szCs w:val="32"/>
        </w:rPr>
      </w:pPr>
      <w:r>
        <w:rPr>
          <w:rFonts w:hint="default" w:ascii="Times New Roman" w:hAnsi="Times New Roman" w:eastAsia="仿宋_GB2312" w:cs="Times New Roman"/>
          <w:color w:val="000000"/>
          <w:sz w:val="32"/>
          <w:szCs w:val="32"/>
        </w:rPr>
        <w:t>截至20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年12月31日，</w:t>
      </w:r>
      <w:r>
        <w:rPr>
          <w:rFonts w:hint="default" w:ascii="Times New Roman" w:hAnsi="Times New Roman" w:eastAsia="仿宋_GB2312" w:cs="Times New Roman"/>
          <w:color w:val="000000"/>
          <w:sz w:val="32"/>
          <w:szCs w:val="32"/>
          <w:lang w:val="en-US" w:eastAsia="zh-CN"/>
        </w:rPr>
        <w:t>四川省少数民族古籍整理办公室</w:t>
      </w:r>
      <w:r>
        <w:rPr>
          <w:rFonts w:hint="default" w:ascii="Times New Roman" w:hAnsi="Times New Roman" w:eastAsia="仿宋_GB2312" w:cs="Times New Roman"/>
          <w:color w:val="000000"/>
          <w:sz w:val="32"/>
          <w:szCs w:val="32"/>
        </w:rPr>
        <w:t>共有车辆</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辆，其中：主要领导干部用车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辆、机要通信用车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辆、应急保障用车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单价50万元以上通用设备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台（套），单价100</w:t>
      </w:r>
      <w:r>
        <w:rPr>
          <w:rFonts w:hint="default" w:ascii="Times New Roman" w:hAnsi="Times New Roman" w:eastAsia="仿宋_GB2312" w:cs="Times New Roman"/>
          <w:color w:val="000000"/>
          <w:sz w:val="32"/>
          <w:szCs w:val="32"/>
        </w:rPr>
        <w:t>万元以上专用设备</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根据预算绩效管理要求，本单位在年初预算编制阶段，组织对</w:t>
      </w:r>
      <w:r>
        <w:rPr>
          <w:rFonts w:hint="default" w:ascii="Times New Roman" w:hAnsi="Times New Roman" w:eastAsia="仿宋_GB2312" w:cs="Times New Roman"/>
          <w:color w:val="auto"/>
          <w:sz w:val="32"/>
          <w:szCs w:val="32"/>
          <w:lang w:val="en-US" w:eastAsia="zh-CN"/>
        </w:rPr>
        <w:t>古籍出版经费</w:t>
      </w:r>
      <w:r>
        <w:rPr>
          <w:rFonts w:hint="default" w:ascii="Times New Roman" w:hAnsi="Times New Roman" w:eastAsia="仿宋_GB2312" w:cs="Times New Roman"/>
          <w:color w:val="auto"/>
          <w:sz w:val="32"/>
          <w:szCs w:val="32"/>
        </w:rPr>
        <w:t>项目开展了预算事前绩效评估，对</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个项目编制了绩效目标，预算执行过程中，选取</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个项目开展绩效监控，年终执行完毕后，对</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个项目开展了绩效目标完成情况自评。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按要求对20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年整体支出开展绩效自评，从评价情况来看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绩效目标要素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相对完整，指标较为细化、量化；绩效目标实际程度与预期目标的总体偏移度不是太大，实际完成情况还是达到了预期绩效目标；年初预算编制较准确</w:t>
      </w:r>
      <w:r>
        <w:rPr>
          <w:rFonts w:hint="default" w:ascii="Times New Roman" w:hAnsi="Times New Roman" w:eastAsia="仿宋_GB2312" w:cs="Times New Roman"/>
          <w:color w:val="000000" w:themeColor="text1"/>
          <w:sz w:val="32"/>
          <w:szCs w:val="32"/>
          <w14:textFill>
            <w14:solidFill>
              <w14:schemeClr w14:val="tx1"/>
            </w14:solidFill>
          </w14:textFill>
        </w:rPr>
        <w:t>。本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还自行组织了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个项目支出绩效评价，从评价情况来看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绩效目标总体实现程度良好，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充分发挥了财政资金的使用绩效</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1.项目绩效目标完成情况。</w:t>
      </w:r>
      <w:r>
        <w:rPr>
          <w:rFonts w:hint="default" w:ascii="Times New Roman" w:hAnsi="Times New Roman" w:eastAsia="楷体_GB2312" w:cs="Times New Roman"/>
          <w:color w:val="auto"/>
          <w:sz w:val="32"/>
          <w:szCs w:val="32"/>
        </w:rPr>
        <w:br w:type="textWrapping"/>
      </w:r>
      <w:r>
        <w:rPr>
          <w:rFonts w:hint="default" w:ascii="Times New Roman" w:hAnsi="Times New Roman" w:eastAsia="仿宋_GB2312" w:cs="Times New Roman"/>
          <w:color w:val="auto"/>
          <w:sz w:val="32"/>
          <w:szCs w:val="32"/>
        </w:rPr>
        <w:t xml:space="preserve">    本</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在20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w:t>
      </w:r>
      <w:r>
        <w:rPr>
          <w:rFonts w:hint="eastAsia" w:eastAsia="仿宋_GB2312" w:cs="Times New Roman"/>
          <w:color w:val="auto"/>
          <w:sz w:val="32"/>
          <w:szCs w:val="32"/>
          <w:lang w:eastAsia="zh-CN"/>
        </w:rPr>
        <w:t>单位决算</w:t>
      </w:r>
      <w:r>
        <w:rPr>
          <w:rFonts w:hint="default" w:ascii="Times New Roman" w:hAnsi="Times New Roman" w:eastAsia="仿宋_GB2312" w:cs="Times New Roman"/>
          <w:color w:val="auto"/>
          <w:sz w:val="32"/>
          <w:szCs w:val="32"/>
        </w:rPr>
        <w:t>中反映“</w:t>
      </w:r>
      <w:r>
        <w:rPr>
          <w:rFonts w:hint="default" w:ascii="Times New Roman" w:hAnsi="Times New Roman" w:eastAsia="仿宋_GB2312" w:cs="Times New Roman"/>
          <w:color w:val="auto"/>
          <w:sz w:val="32"/>
          <w:szCs w:val="32"/>
          <w:lang w:val="en-US" w:eastAsia="zh-CN"/>
        </w:rPr>
        <w:t>古籍出版经费</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个项目绩效目标实际完成情况。</w:t>
      </w:r>
    </w:p>
    <w:p>
      <w:pPr>
        <w:numPr>
          <w:ilvl w:val="0"/>
          <w:numId w:val="0"/>
        </w:numPr>
        <w:spacing w:line="58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古籍出版经费</w:t>
      </w:r>
      <w:r>
        <w:rPr>
          <w:rFonts w:hint="default" w:ascii="Times New Roman" w:hAnsi="Times New Roman" w:eastAsia="仿宋_GB2312" w:cs="Times New Roman"/>
          <w:color w:val="auto"/>
          <w:sz w:val="32"/>
          <w:szCs w:val="32"/>
        </w:rPr>
        <w:t>项目绩效目标完成情况综述。项目全年预算数</w:t>
      </w:r>
      <w:r>
        <w:rPr>
          <w:rFonts w:hint="default" w:ascii="Times New Roman" w:hAnsi="Times New Roman" w:eastAsia="仿宋_GB2312" w:cs="Times New Roman"/>
          <w:color w:val="auto"/>
          <w:sz w:val="32"/>
          <w:szCs w:val="32"/>
          <w:lang w:val="en-US" w:eastAsia="zh-CN"/>
        </w:rPr>
        <w:t>120</w:t>
      </w:r>
      <w:r>
        <w:rPr>
          <w:rFonts w:hint="default" w:ascii="Times New Roman" w:hAnsi="Times New Roman" w:eastAsia="仿宋_GB2312" w:cs="Times New Roman"/>
          <w:color w:val="auto"/>
          <w:sz w:val="32"/>
          <w:szCs w:val="32"/>
        </w:rPr>
        <w:t>万元，执行数为</w:t>
      </w:r>
      <w:r>
        <w:rPr>
          <w:rFonts w:hint="default" w:ascii="Times New Roman" w:hAnsi="Times New Roman" w:eastAsia="仿宋_GB2312" w:cs="Times New Roman"/>
          <w:color w:val="auto"/>
          <w:sz w:val="32"/>
          <w:szCs w:val="32"/>
          <w:lang w:val="en-US" w:eastAsia="zh-CN"/>
        </w:rPr>
        <w:t>103</w:t>
      </w:r>
      <w:r>
        <w:rPr>
          <w:rFonts w:hint="default" w:ascii="Times New Roman" w:hAnsi="Times New Roman" w:eastAsia="仿宋_GB2312" w:cs="Times New Roman"/>
          <w:color w:val="auto"/>
          <w:sz w:val="32"/>
          <w:szCs w:val="32"/>
        </w:rPr>
        <w:t>万元，完成预算的</w:t>
      </w:r>
      <w:r>
        <w:rPr>
          <w:rFonts w:hint="default" w:ascii="Times New Roman" w:hAnsi="Times New Roman" w:eastAsia="仿宋_GB2312" w:cs="Times New Roman"/>
          <w:color w:val="auto"/>
          <w:sz w:val="32"/>
          <w:szCs w:val="32"/>
          <w:lang w:val="en-US" w:eastAsia="zh-CN"/>
        </w:rPr>
        <w:t>85</w:t>
      </w:r>
      <w:r>
        <w:rPr>
          <w:rFonts w:hint="default" w:ascii="Times New Roman" w:hAnsi="Times New Roman" w:eastAsia="仿宋_GB2312" w:cs="Times New Roman"/>
          <w:color w:val="auto"/>
          <w:sz w:val="32"/>
          <w:szCs w:val="32"/>
        </w:rPr>
        <w:t>%。通过项目实施，保障了</w:t>
      </w:r>
      <w:r>
        <w:rPr>
          <w:rFonts w:hint="default" w:ascii="Times New Roman" w:hAnsi="Times New Roman" w:eastAsia="仿宋_GB2312" w:cs="Times New Roman"/>
          <w:color w:val="auto"/>
          <w:sz w:val="32"/>
          <w:szCs w:val="32"/>
          <w:lang w:val="en-US" w:eastAsia="zh-CN"/>
        </w:rPr>
        <w:t>古籍搜集、整理、翻译、录入、排版、校对和出版工作</w:t>
      </w:r>
      <w:r>
        <w:rPr>
          <w:rFonts w:hint="default" w:ascii="Times New Roman" w:hAnsi="Times New Roman" w:eastAsia="仿宋_GB2312" w:cs="Times New Roman"/>
          <w:color w:val="auto"/>
          <w:sz w:val="32"/>
          <w:szCs w:val="32"/>
        </w:rPr>
        <w:t>，发现的主要问题：</w:t>
      </w:r>
      <w:r>
        <w:rPr>
          <w:rFonts w:hint="default" w:ascii="Times New Roman" w:hAnsi="Times New Roman" w:eastAsia="仿宋_GB2312" w:cs="Times New Roman"/>
          <w:color w:val="auto"/>
          <w:sz w:val="32"/>
          <w:szCs w:val="32"/>
          <w:lang w:val="en-US" w:eastAsia="zh-CN"/>
        </w:rPr>
        <w:t>因部分工作未达到预期，导致资金使用不及时，形成结余</w:t>
      </w:r>
      <w:r>
        <w:rPr>
          <w:rFonts w:hint="default" w:ascii="Times New Roman" w:hAnsi="Times New Roman" w:eastAsia="仿宋_GB2312" w:cs="Times New Roman"/>
          <w:color w:val="auto"/>
          <w:sz w:val="32"/>
          <w:szCs w:val="32"/>
        </w:rPr>
        <w:t>。下一步改进措施：</w:t>
      </w:r>
      <w:r>
        <w:rPr>
          <w:rFonts w:hint="default" w:ascii="Times New Roman" w:hAnsi="Times New Roman" w:eastAsia="仿宋_GB2312" w:cs="Times New Roman"/>
          <w:color w:val="auto"/>
          <w:sz w:val="32"/>
          <w:szCs w:val="32"/>
          <w:lang w:val="en-US" w:eastAsia="zh-CN"/>
        </w:rPr>
        <w:t>提高预算编制的精准性。</w:t>
      </w:r>
    </w:p>
    <w:p>
      <w:pPr>
        <w:pStyle w:val="2"/>
        <w:rPr>
          <w:rFonts w:hint="default" w:ascii="Times New Roman" w:hAnsi="Times New Roman" w:eastAsia="仿宋_GB2312" w:cs="Times New Roman"/>
          <w:color w:val="auto"/>
          <w:sz w:val="32"/>
          <w:szCs w:val="32"/>
          <w:lang w:val="en-US" w:eastAsia="zh-CN"/>
        </w:rPr>
      </w:pPr>
    </w:p>
    <w:p>
      <w:pPr>
        <w:rPr>
          <w:rFonts w:hint="default"/>
          <w:lang w:val="en-US" w:eastAsia="zh-CN"/>
        </w:rPr>
      </w:pPr>
    </w:p>
    <w:tbl>
      <w:tblPr>
        <w:tblStyle w:val="16"/>
        <w:tblW w:w="9110" w:type="dxa"/>
        <w:tblInd w:w="93" w:type="dxa"/>
        <w:shd w:val="clear" w:color="auto" w:fill="auto"/>
        <w:tblLayout w:type="fixed"/>
        <w:tblCellMar>
          <w:top w:w="0" w:type="dxa"/>
          <w:left w:w="108" w:type="dxa"/>
          <w:bottom w:w="0" w:type="dxa"/>
          <w:right w:w="108" w:type="dxa"/>
        </w:tblCellMar>
      </w:tblPr>
      <w:tblGrid>
        <w:gridCol w:w="1125"/>
        <w:gridCol w:w="802"/>
        <w:gridCol w:w="1598"/>
        <w:gridCol w:w="615"/>
        <w:gridCol w:w="1455"/>
        <w:gridCol w:w="2148"/>
        <w:gridCol w:w="1367"/>
      </w:tblGrid>
      <w:tr>
        <w:tblPrEx>
          <w:tblLayout w:type="fixed"/>
          <w:tblCellMar>
            <w:top w:w="0" w:type="dxa"/>
            <w:left w:w="108" w:type="dxa"/>
            <w:bottom w:w="0" w:type="dxa"/>
            <w:right w:w="108" w:type="dxa"/>
          </w:tblCellMar>
        </w:tblPrEx>
        <w:trPr>
          <w:trHeight w:val="675" w:hRule="atLeast"/>
        </w:trPr>
        <w:tc>
          <w:tcPr>
            <w:tcW w:w="911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项目支出绩效自评表</w:t>
            </w:r>
          </w:p>
        </w:tc>
      </w:tr>
      <w:tr>
        <w:tblPrEx>
          <w:tblLayout w:type="fixed"/>
          <w:tblCellMar>
            <w:top w:w="0" w:type="dxa"/>
            <w:left w:w="108" w:type="dxa"/>
            <w:bottom w:w="0" w:type="dxa"/>
            <w:right w:w="108" w:type="dxa"/>
          </w:tblCellMar>
        </w:tblPrEx>
        <w:trPr>
          <w:trHeight w:val="285" w:hRule="atLeast"/>
        </w:trPr>
        <w:tc>
          <w:tcPr>
            <w:tcW w:w="911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2020   年度）</w:t>
            </w:r>
          </w:p>
        </w:tc>
      </w:tr>
      <w:tr>
        <w:tblPrEx>
          <w:shd w:val="clear" w:color="auto" w:fill="auto"/>
          <w:tblLayout w:type="fixed"/>
          <w:tblCellMar>
            <w:top w:w="0" w:type="dxa"/>
            <w:left w:w="108" w:type="dxa"/>
            <w:bottom w:w="0" w:type="dxa"/>
            <w:right w:w="108" w:type="dxa"/>
          </w:tblCellMar>
        </w:tblPrEx>
        <w:trPr>
          <w:trHeight w:val="439" w:hRule="atLeast"/>
        </w:trPr>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项目名称</w:t>
            </w:r>
          </w:p>
        </w:tc>
        <w:tc>
          <w:tcPr>
            <w:tcW w:w="7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古籍出版经费</w:t>
            </w:r>
          </w:p>
        </w:tc>
      </w:tr>
      <w:tr>
        <w:tblPrEx>
          <w:shd w:val="clear" w:color="auto" w:fill="auto"/>
          <w:tblLayout w:type="fixed"/>
          <w:tblCellMar>
            <w:top w:w="0" w:type="dxa"/>
            <w:left w:w="108" w:type="dxa"/>
            <w:bottom w:w="0" w:type="dxa"/>
            <w:right w:w="108" w:type="dxa"/>
          </w:tblCellMar>
        </w:tblPrEx>
        <w:trPr>
          <w:trHeight w:val="439" w:hRule="atLeast"/>
        </w:trPr>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主管部门及代码</w:t>
            </w:r>
          </w:p>
        </w:tc>
        <w:tc>
          <w:tcPr>
            <w:tcW w:w="36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四川省民族宗教事务委员会</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实施单位</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四川省民宗委古籍办</w:t>
            </w:r>
          </w:p>
        </w:tc>
      </w:tr>
      <w:tr>
        <w:tblPrEx>
          <w:shd w:val="clear" w:color="auto" w:fill="auto"/>
          <w:tblLayout w:type="fixed"/>
          <w:tblCellMar>
            <w:top w:w="0" w:type="dxa"/>
            <w:left w:w="108" w:type="dxa"/>
            <w:bottom w:w="0" w:type="dxa"/>
            <w:right w:w="108" w:type="dxa"/>
          </w:tblCellMar>
        </w:tblPrEx>
        <w:trPr>
          <w:trHeight w:val="439" w:hRule="atLeast"/>
        </w:trPr>
        <w:tc>
          <w:tcPr>
            <w:tcW w:w="19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项目预算</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执行情况</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（万元）</w:t>
            </w: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120.0</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执行数：</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103.0</w:t>
            </w:r>
          </w:p>
        </w:tc>
      </w:tr>
      <w:tr>
        <w:tblPrEx>
          <w:shd w:val="clear" w:color="auto" w:fill="auto"/>
          <w:tblLayout w:type="fixed"/>
          <w:tblCellMar>
            <w:top w:w="0" w:type="dxa"/>
            <w:left w:w="108" w:type="dxa"/>
            <w:bottom w:w="0" w:type="dxa"/>
            <w:right w:w="108" w:type="dxa"/>
          </w:tblCellMar>
        </w:tblPrEx>
        <w:trPr>
          <w:trHeight w:val="439" w:hRule="atLeast"/>
        </w:trPr>
        <w:tc>
          <w:tcPr>
            <w:tcW w:w="19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其中：财政拨款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120.0</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其中：财政拨款</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103.0</w:t>
            </w:r>
          </w:p>
        </w:tc>
      </w:tr>
      <w:tr>
        <w:tblPrEx>
          <w:tblLayout w:type="fixed"/>
          <w:tblCellMar>
            <w:top w:w="0" w:type="dxa"/>
            <w:left w:w="108" w:type="dxa"/>
            <w:bottom w:w="0" w:type="dxa"/>
            <w:right w:w="108" w:type="dxa"/>
          </w:tblCellMar>
        </w:tblPrEx>
        <w:trPr>
          <w:trHeight w:val="439" w:hRule="atLeast"/>
        </w:trPr>
        <w:tc>
          <w:tcPr>
            <w:tcW w:w="19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其他资金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其他资金</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w:t>
            </w:r>
          </w:p>
        </w:tc>
      </w:tr>
      <w:tr>
        <w:tblPrEx>
          <w:shd w:val="clear" w:color="auto" w:fill="auto"/>
          <w:tblLayout w:type="fixed"/>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年</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度</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总</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体</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目</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标</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完</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成</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情</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况</w:t>
            </w:r>
          </w:p>
        </w:tc>
        <w:tc>
          <w:tcPr>
            <w:tcW w:w="44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预期目标</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目标实际完成情况</w:t>
            </w:r>
          </w:p>
        </w:tc>
      </w:tr>
      <w:tr>
        <w:tblPrEx>
          <w:tblLayout w:type="fixed"/>
          <w:tblCellMar>
            <w:top w:w="0" w:type="dxa"/>
            <w:left w:w="108" w:type="dxa"/>
            <w:bottom w:w="0" w:type="dxa"/>
            <w:right w:w="108" w:type="dxa"/>
          </w:tblCellMar>
        </w:tblPrEx>
        <w:trPr>
          <w:trHeight w:val="1014"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44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分阶段完成《觉囊派续部海坛城·图集》《藏族古籍经典系列丛书》《凉山彝族古彝语词典》《中国羌族资料选编》《中国南方回族历史人物文史资料补遗》《智者入门广释》的搜集、整理、翻译、录入、排版、校对和出版工作。</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藏族古籍经典系列丛书》《凉山彝族古彝语词典》《中国羌族资料选编》《中国南方回族历史人物文史资料补遗》完成当年的搜集、整理、翻译、录入、排版、校对和出版工作的任务，由于《智者入门广释》《觉囊派续部海坛城仪轨图集》2个项目均涉及宗教内容，鉴于当前国家关于意识形态工作的新形势、新任务、新要求以及本轮省委意识形态工作专项巡视的有关要求，本着坚持问题导向、实事求是和稳慎处理的原则，按照委党组要求，我办9月起暂停了项目搜集、整理工作。截至目前为止，《智者入门广释》已经完成130万字稿件的整理工作，《觉囊派续部海坛城仪轨图集》完成了58幅原布本画的数字化扫描和制作工作。故造成资金有余。</w:t>
            </w:r>
          </w:p>
        </w:tc>
      </w:tr>
      <w:tr>
        <w:tblPrEx>
          <w:shd w:val="clear" w:color="auto" w:fill="auto"/>
          <w:tblLayout w:type="fixed"/>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年度绩效指标完成情况</w:t>
            </w:r>
          </w:p>
        </w:tc>
        <w:tc>
          <w:tcPr>
            <w:tcW w:w="8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一级</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二级指标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三级指标</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预期指标值</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实际完成指标值</w:t>
            </w:r>
          </w:p>
        </w:tc>
      </w:tr>
      <w:tr>
        <w:tblPrEx>
          <w:shd w:val="clear" w:color="auto" w:fill="auto"/>
          <w:tblLayout w:type="fixed"/>
          <w:tblCellMar>
            <w:top w:w="0" w:type="dxa"/>
            <w:left w:w="108" w:type="dxa"/>
            <w:bottom w:w="0" w:type="dxa"/>
            <w:right w:w="108" w:type="dxa"/>
          </w:tblCellMar>
        </w:tblPrEx>
        <w:trPr>
          <w:trHeight w:val="8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完</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成</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指</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数量指标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全年完成搜集、整理、翻译、录入、排版、校对和出版古籍数量</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w:t>
            </w:r>
          </w:p>
        </w:tc>
      </w:tr>
      <w:tr>
        <w:tblPrEx>
          <w:shd w:val="clear" w:color="auto" w:fill="auto"/>
          <w:tblLayout w:type="fixed"/>
          <w:tblCellMar>
            <w:top w:w="0" w:type="dxa"/>
            <w:left w:w="108" w:type="dxa"/>
            <w:bottom w:w="0" w:type="dxa"/>
            <w:right w:w="108" w:type="dxa"/>
          </w:tblCellMar>
        </w:tblPrEx>
        <w:trPr>
          <w:trHeight w:val="23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质量指标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分阶段完成《觉囊派续部海坛城·图集》《藏族古籍经典系列丛书》《凉山彝族古彝语词典》《中国羌族资料选编》《中国南方回族历史人物文史资料补遗》《智者入门广释》的搜集、整理、翻译、录入、排版、校对和出版工作</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r>
      <w:tr>
        <w:tblPrEx>
          <w:tblLayout w:type="fixed"/>
          <w:tblCellMar>
            <w:top w:w="0" w:type="dxa"/>
            <w:left w:w="108" w:type="dxa"/>
            <w:bottom w:w="0" w:type="dxa"/>
            <w:right w:w="108" w:type="dxa"/>
          </w:tblCellMar>
        </w:tblPrEx>
        <w:trPr>
          <w:trHeight w:val="7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时效指标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全年古籍整理等工作按期完成率</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86%</w:t>
            </w:r>
          </w:p>
        </w:tc>
      </w:tr>
      <w:tr>
        <w:tblPrEx>
          <w:shd w:val="clear" w:color="auto" w:fill="auto"/>
          <w:tblLayout w:type="fixed"/>
          <w:tblCellMar>
            <w:top w:w="0" w:type="dxa"/>
            <w:left w:w="108" w:type="dxa"/>
            <w:bottom w:w="0" w:type="dxa"/>
            <w:right w:w="108" w:type="dxa"/>
          </w:tblCellMar>
        </w:tblPrEx>
        <w:trPr>
          <w:trHeight w:val="5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成本指标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完成6套古籍整理等相关工作劳务费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25</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18.67</w:t>
            </w:r>
          </w:p>
        </w:tc>
      </w:tr>
      <w:tr>
        <w:tblPrEx>
          <w:shd w:val="clear" w:color="auto" w:fill="auto"/>
          <w:tblLayout w:type="fixed"/>
          <w:tblCellMar>
            <w:top w:w="0" w:type="dxa"/>
            <w:left w:w="108" w:type="dxa"/>
            <w:bottom w:w="0" w:type="dxa"/>
            <w:right w:w="108" w:type="dxa"/>
          </w:tblCellMar>
        </w:tblPrEx>
        <w:trPr>
          <w:trHeight w:val="6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完成6套古籍整理等相关工作业务委托费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80</w:t>
            </w:r>
          </w:p>
        </w:tc>
      </w:tr>
      <w:tr>
        <w:tblPrEx>
          <w:tblLayout w:type="fixed"/>
          <w:tblCellMar>
            <w:top w:w="0" w:type="dxa"/>
            <w:left w:w="108" w:type="dxa"/>
            <w:bottom w:w="0" w:type="dxa"/>
            <w:right w:w="108" w:type="dxa"/>
          </w:tblCellMar>
        </w:tblPrEx>
        <w:trPr>
          <w:trHeight w:val="5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完成6套古籍整理等相关工作其他交通费用</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4.33</w:t>
            </w:r>
          </w:p>
        </w:tc>
      </w:tr>
      <w:tr>
        <w:tblPrEx>
          <w:shd w:val="clear" w:color="auto" w:fill="auto"/>
          <w:tblLayout w:type="fixed"/>
          <w:tblCellMar>
            <w:top w:w="0" w:type="dxa"/>
            <w:left w:w="108" w:type="dxa"/>
            <w:bottom w:w="0" w:type="dxa"/>
            <w:right w:w="108" w:type="dxa"/>
          </w:tblCellMar>
        </w:tblPrEx>
        <w:trPr>
          <w:trHeight w:val="6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效</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益</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指</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经济效益指标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资金使用效果</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r>
      <w:tr>
        <w:tblPrEx>
          <w:tblLayout w:type="fixed"/>
          <w:tblCellMar>
            <w:top w:w="0" w:type="dxa"/>
            <w:left w:w="108" w:type="dxa"/>
            <w:bottom w:w="0" w:type="dxa"/>
            <w:right w:w="108" w:type="dxa"/>
          </w:tblCellMar>
        </w:tblPrEx>
        <w:trPr>
          <w:trHeight w:val="7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社会效益指标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分阶段完成民族古籍的搜集、整理、翻译、录入、排版、校对和出版工作</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r>
      <w:tr>
        <w:tblPrEx>
          <w:shd w:val="clear" w:color="auto" w:fill="auto"/>
          <w:tblLayout w:type="fixed"/>
          <w:tblCellMar>
            <w:top w:w="0" w:type="dxa"/>
            <w:left w:w="108" w:type="dxa"/>
            <w:bottom w:w="0" w:type="dxa"/>
            <w:right w:w="108" w:type="dxa"/>
          </w:tblCellMar>
        </w:tblPrEx>
        <w:trPr>
          <w:trHeight w:val="7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生态效益指标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书出版环保纸张使用使用率</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w:t>
            </w:r>
          </w:p>
        </w:tc>
      </w:tr>
      <w:tr>
        <w:tblPrEx>
          <w:shd w:val="clear" w:color="auto" w:fill="auto"/>
          <w:tblLayout w:type="fixed"/>
          <w:tblCellMar>
            <w:top w:w="0" w:type="dxa"/>
            <w:left w:w="108" w:type="dxa"/>
            <w:bottom w:w="0" w:type="dxa"/>
            <w:right w:w="108" w:type="dxa"/>
          </w:tblCellMar>
        </w:tblPrEx>
        <w:trPr>
          <w:trHeight w:val="7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可持续影响指标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项目可持续影响年限</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十年</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十年</w:t>
            </w:r>
          </w:p>
        </w:tc>
      </w:tr>
      <w:tr>
        <w:tblPrEx>
          <w:tblLayout w:type="fixed"/>
          <w:tblCellMar>
            <w:top w:w="0" w:type="dxa"/>
            <w:left w:w="108" w:type="dxa"/>
            <w:bottom w:w="0" w:type="dxa"/>
            <w:right w:w="108" w:type="dxa"/>
          </w:tblCellMar>
        </w:tblPrEx>
        <w:trPr>
          <w:trHeight w:val="7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满意度</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满意度指标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服务对象满意度</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r>
    </w:tbl>
    <w:p>
      <w:pPr>
        <w:spacing w:line="580" w:lineRule="exact"/>
        <w:ind w:left="630"/>
        <w:rPr>
          <w:rFonts w:hint="eastAsia" w:ascii="楷体_GB2312" w:hAnsi="楷体_GB2312" w:eastAsia="楷体_GB2312" w:cs="楷体_GB2312"/>
          <w:color w:val="auto"/>
          <w:sz w:val="32"/>
          <w:szCs w:val="32"/>
        </w:rPr>
      </w:pPr>
    </w:p>
    <w:p>
      <w:pPr>
        <w:spacing w:line="580" w:lineRule="exact"/>
        <w:ind w:left="630"/>
        <w:rPr>
          <w:rFonts w:hint="eastAsia" w:ascii="楷体_GB2312" w:hAnsi="楷体_GB2312" w:eastAsia="楷体_GB2312" w:cs="楷体_GB2312"/>
          <w:color w:val="auto"/>
          <w:sz w:val="32"/>
          <w:szCs w:val="32"/>
        </w:rPr>
      </w:pPr>
    </w:p>
    <w:p>
      <w:pPr>
        <w:spacing w:line="580" w:lineRule="exact"/>
        <w:ind w:left="63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spacing w:line="580" w:lineRule="exact"/>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本单位自行组织对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古籍出版经费</w:t>
      </w:r>
      <w:r>
        <w:rPr>
          <w:rFonts w:hint="default" w:ascii="Times New Roman" w:hAnsi="Times New Roman" w:eastAsia="仿宋_GB2312" w:cs="Times New Roman"/>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开展了绩效评价，《202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古籍出版经费</w:t>
      </w:r>
      <w:r>
        <w:rPr>
          <w:rFonts w:hint="eastAsia" w:ascii="仿宋_GB2312" w:hAnsi="仿宋_GB2312" w:eastAsia="仿宋_GB2312" w:cs="仿宋_GB2312"/>
          <w:color w:val="000000" w:themeColor="text1"/>
          <w:sz w:val="32"/>
          <w:szCs w:val="32"/>
          <w14:textFill>
            <w14:solidFill>
              <w14:schemeClr w14:val="tx1"/>
            </w14:solidFill>
          </w14:textFill>
        </w:rPr>
        <w:t>项目支出绩效自评报告》见附件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（第四部分）</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77" w:name="_Toc15396613"/>
      <w:bookmarkStart w:id="78" w:name="_Toc10429"/>
      <w:bookmarkStart w:id="79" w:name="_Toc15377225"/>
      <w:bookmarkStart w:id="80" w:name="_Toc16281"/>
      <w:r>
        <w:rPr>
          <w:rFonts w:hint="eastAsia" w:ascii="黑体" w:hAnsi="黑体" w:eastAsia="黑体"/>
          <w:color w:val="000000"/>
          <w:sz w:val="44"/>
          <w:szCs w:val="44"/>
        </w:rPr>
        <w:t>名</w:t>
      </w:r>
      <w:r>
        <w:rPr>
          <w:rStyle w:val="25"/>
          <w:rFonts w:hint="eastAsia" w:ascii="黑体" w:hAnsi="黑体" w:eastAsia="黑体"/>
          <w:b w:val="0"/>
        </w:rPr>
        <w:t>词解释</w:t>
      </w:r>
      <w:bookmarkEnd w:id="77"/>
      <w:bookmarkEnd w:id="78"/>
      <w:bookmarkEnd w:id="79"/>
      <w:bookmarkEnd w:id="80"/>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val="en-US" w:eastAsia="zh-CN"/>
        </w:rPr>
        <w:t>利息收入</w:t>
      </w:r>
      <w:r>
        <w:rPr>
          <w:rFonts w:hint="eastAsia" w:ascii="仿宋_GB2312" w:eastAsia="仿宋_GB2312"/>
          <w:sz w:val="32"/>
          <w:szCs w:val="32"/>
        </w:rPr>
        <w:t>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auto"/>
          <w:sz w:val="32"/>
          <w:szCs w:val="32"/>
        </w:rPr>
      </w:pP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default" w:ascii="Times New Roman" w:hAnsi="Times New Roman" w:eastAsia="仿宋_GB2312" w:cs="Times New Roman"/>
          <w:color w:val="auto"/>
          <w:kern w:val="0"/>
          <w:sz w:val="32"/>
          <w:szCs w:val="32"/>
          <w:lang w:val="en-US" w:eastAsia="zh-CN" w:bidi="ar-SA"/>
        </w:rPr>
        <w:t>一般公共服务支出（类）民族事务（款）行政运行（项）:</w:t>
      </w:r>
      <w:r>
        <w:rPr>
          <w:rFonts w:hint="default" w:ascii="Times New Roman" w:hAnsi="Times New Roman" w:eastAsia="仿宋_GB2312" w:cs="Times New Roman"/>
          <w:color w:val="auto"/>
          <w:sz w:val="32"/>
          <w:szCs w:val="32"/>
        </w:rPr>
        <w:t>指反映行政单位 (包括实行公务员管理的事业单位) 的基本支出。</w:t>
      </w:r>
    </w:p>
    <w:p>
      <w:pPr>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w:t>
      </w:r>
      <w:r>
        <w:rPr>
          <w:rFonts w:hint="default" w:ascii="Times New Roman" w:hAnsi="Times New Roman" w:eastAsia="仿宋_GB2312" w:cs="Times New Roman"/>
          <w:color w:val="auto"/>
          <w:sz w:val="32"/>
          <w:szCs w:val="32"/>
          <w:lang w:eastAsia="zh-CN"/>
        </w:rPr>
        <w:t>一般行政管理事务</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反映行政单位 (包括实行公务员 管理的事业单位)未单独设置项级科目的其他项目支出。</w:t>
      </w:r>
    </w:p>
    <w:p>
      <w:pPr>
        <w:ind w:firstLine="640" w:firstLineChars="200"/>
        <w:rPr>
          <w:rFonts w:hint="default"/>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（类）民族事务（款）其他民族事务支出（项）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反映除上述项目以外其他用于民族事务方面的支出。</w:t>
      </w:r>
    </w:p>
    <w:p>
      <w:pPr>
        <w:ind w:firstLine="640" w:firstLineChars="200"/>
        <w:rPr>
          <w:rFonts w:hint="default" w:ascii="Times New Roman" w:hAnsi="Times New Roman" w:eastAsia="仿宋_GB2312" w:cs="Times New Roman"/>
          <w:b w:val="0"/>
          <w:bCs w:val="0"/>
          <w:color w:val="auto"/>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default" w:ascii="Times New Roman" w:hAnsi="Times New Roman" w:eastAsia="仿宋_GB2312" w:cs="Times New Roman"/>
          <w:b w:val="0"/>
          <w:bCs w:val="0"/>
          <w:color w:val="auto"/>
          <w:sz w:val="32"/>
          <w:szCs w:val="32"/>
        </w:rPr>
        <w:t>社会保障和就业支出（类）</w:t>
      </w:r>
      <w:r>
        <w:rPr>
          <w:rStyle w:val="14"/>
          <w:rFonts w:hint="default" w:ascii="Times New Roman" w:hAnsi="Times New Roman" w:eastAsia="仿宋_GB2312" w:cs="Times New Roman"/>
          <w:b w:val="0"/>
          <w:bCs w:val="0"/>
          <w:color w:val="auto"/>
          <w:sz w:val="32"/>
          <w:szCs w:val="32"/>
          <w:lang w:eastAsia="zh-CN"/>
        </w:rPr>
        <w:t>行政事业单位</w:t>
      </w:r>
      <w:r>
        <w:rPr>
          <w:rStyle w:val="14"/>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（款）行政单位离退休（项）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反映未实行归口管理的行政单位(包括实行公务员管理事业单位)开支的离退休支出。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default" w:ascii="Times New Roman" w:hAnsi="Times New Roman" w:eastAsia="仿宋_GB2312" w:cs="Times New Roman"/>
          <w:b w:val="0"/>
          <w:bCs w:val="0"/>
          <w:color w:val="auto"/>
          <w:sz w:val="32"/>
          <w:szCs w:val="32"/>
        </w:rPr>
        <w:t>社会保障和就业支出（类）</w:t>
      </w:r>
      <w:r>
        <w:rPr>
          <w:rStyle w:val="14"/>
          <w:rFonts w:hint="default" w:ascii="Times New Roman" w:hAnsi="Times New Roman" w:eastAsia="仿宋_GB2312" w:cs="Times New Roman"/>
          <w:b w:val="0"/>
          <w:bCs w:val="0"/>
          <w:color w:val="auto"/>
          <w:sz w:val="32"/>
          <w:szCs w:val="32"/>
          <w:lang w:eastAsia="zh-CN"/>
        </w:rPr>
        <w:t>行政事业单位</w:t>
      </w:r>
      <w:r>
        <w:rPr>
          <w:rStyle w:val="14"/>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（款）机关事业单位基本养老保险缴费支出（项）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Times New Roman" w:eastAsia="仿宋_GB2312" w:cs="Times New Roman"/>
          <w:color w:val="000000"/>
          <w:sz w:val="32"/>
          <w:szCs w:val="32"/>
          <w:lang w:val="en-US" w:eastAsia="zh-CN"/>
        </w:rPr>
        <w:t>10.</w:t>
      </w:r>
      <w:r>
        <w:rPr>
          <w:rFonts w:hint="default" w:ascii="Times New Roman" w:hAnsi="Times New Roman" w:eastAsia="仿宋_GB2312" w:cs="Times New Roman"/>
          <w:color w:val="auto"/>
          <w:sz w:val="32"/>
          <w:szCs w:val="32"/>
          <w:lang w:eastAsia="zh-CN"/>
        </w:rPr>
        <w:t>卫生健康</w:t>
      </w:r>
      <w:r>
        <w:rPr>
          <w:rFonts w:hint="default" w:ascii="Times New Roman" w:hAnsi="Times New Roman" w:eastAsia="仿宋_GB2312" w:cs="Times New Roman"/>
          <w:color w:val="auto"/>
          <w:sz w:val="32"/>
          <w:szCs w:val="32"/>
        </w:rPr>
        <w:t>支出（类）行政事业单位医疗（款）行政单位医疗（项）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反映财政部门集中安排的行政单位基本医疗保险缴费经费，未参加医疗保险的行政单位的公费医疗经费，按国家规定享受离休人员、红军老战土待遇人员的医疗经费。</w:t>
      </w:r>
    </w:p>
    <w:p>
      <w:pPr>
        <w:ind w:firstLine="640" w:firstLineChars="200"/>
        <w:rPr>
          <w:rFonts w:hint="default" w:ascii="Times New Roman" w:hAnsi="Times New Roman" w:eastAsia="仿宋_GB2312" w:cs="Times New Roman"/>
          <w:color w:val="auto"/>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支出（类）行政事业单位医疗（款）事业单位医疗（项）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反映财政部门集中安排的事业单位基本医疗保险缴费经费，未参加医疗保险的事业单位的公费医疗经费，按国家规定享受离休人员待遇的医疗经费。</w:t>
      </w:r>
    </w:p>
    <w:p>
      <w:pPr>
        <w:ind w:firstLine="640" w:firstLineChars="200"/>
        <w:rPr>
          <w:rFonts w:hint="default" w:ascii="Times New Roman" w:hAnsi="Times New Roman" w:eastAsia="仿宋_GB2312" w:cs="Times New Roman"/>
          <w:color w:val="auto"/>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支出（类）行政事业单位医疗（款）公务员医疗补助（项）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反映财政部门集中安排的公务员医疗补助经费。</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：反映行政事业单位按人力资源和社会保障部、财政部规定的基本工资和津贴补贴以及规定比例为职工缴纳的住房公积金。</w:t>
      </w:r>
    </w:p>
    <w:p>
      <w:pPr>
        <w:spacing w:line="58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Style w:val="14"/>
          <w:rFonts w:hint="default" w:ascii="Times New Roman" w:hAnsi="Times New Roman" w:eastAsia="仿宋_GB2312" w:cs="Times New Roman"/>
          <w:b w:val="0"/>
          <w:bCs w:val="0"/>
          <w:color w:val="auto"/>
          <w:sz w:val="32"/>
          <w:szCs w:val="32"/>
          <w:lang w:eastAsia="zh-CN"/>
        </w:rPr>
        <w:t>住房保障支出</w:t>
      </w:r>
      <w:r>
        <w:rPr>
          <w:rStyle w:val="14"/>
          <w:rFonts w:hint="default" w:ascii="Times New Roman" w:hAnsi="Times New Roman" w:eastAsia="仿宋_GB2312" w:cs="Times New Roman"/>
          <w:b w:val="0"/>
          <w:bCs w:val="0"/>
          <w:color w:val="auto"/>
          <w:sz w:val="32"/>
          <w:szCs w:val="32"/>
        </w:rPr>
        <w:t>（类）</w:t>
      </w:r>
      <w:r>
        <w:rPr>
          <w:rStyle w:val="14"/>
          <w:rFonts w:hint="default" w:ascii="Times New Roman" w:hAnsi="Times New Roman" w:eastAsia="仿宋_GB2312" w:cs="Times New Roman"/>
          <w:b w:val="0"/>
          <w:bCs w:val="0"/>
          <w:color w:val="auto"/>
          <w:sz w:val="32"/>
          <w:szCs w:val="32"/>
          <w:lang w:eastAsia="zh-CN"/>
        </w:rPr>
        <w:t>住房改革支出</w:t>
      </w:r>
      <w:r>
        <w:rPr>
          <w:rStyle w:val="14"/>
          <w:rFonts w:hint="default" w:ascii="Times New Roman" w:hAnsi="Times New Roman" w:eastAsia="仿宋_GB2312" w:cs="Times New Roman"/>
          <w:b w:val="0"/>
          <w:bCs w:val="0"/>
          <w:color w:val="auto"/>
          <w:sz w:val="32"/>
          <w:szCs w:val="32"/>
        </w:rPr>
        <w:t>（款）</w:t>
      </w:r>
      <w:r>
        <w:rPr>
          <w:rStyle w:val="14"/>
          <w:rFonts w:hint="default" w:ascii="Times New Roman" w:hAnsi="Times New Roman" w:eastAsia="仿宋_GB2312" w:cs="Times New Roman"/>
          <w:b w:val="0"/>
          <w:bCs w:val="0"/>
          <w:color w:val="auto"/>
          <w:sz w:val="32"/>
          <w:szCs w:val="32"/>
          <w:lang w:val="en-US" w:eastAsia="zh-CN"/>
        </w:rPr>
        <w:t>购房补贴</w:t>
      </w:r>
      <w:r>
        <w:rPr>
          <w:rStyle w:val="14"/>
          <w:rFonts w:hint="default" w:ascii="Times New Roman" w:hAnsi="Times New Roman" w:eastAsia="仿宋_GB2312" w:cs="Times New Roman"/>
          <w:b w:val="0"/>
          <w:bCs w:val="0"/>
          <w:color w:val="auto"/>
          <w:sz w:val="32"/>
          <w:szCs w:val="32"/>
        </w:rPr>
        <w:t>（项）</w:t>
      </w:r>
      <w:r>
        <w:rPr>
          <w:rStyle w:val="14"/>
          <w:rFonts w:hint="default" w:ascii="Times New Roman" w:hAnsi="Times New Roman" w:eastAsia="仿宋_GB2312" w:cs="Times New Roman"/>
          <w:b w:val="0"/>
          <w:bCs w:val="0"/>
          <w:color w:val="auto"/>
          <w:sz w:val="32"/>
          <w:szCs w:val="32"/>
          <w:lang w:eastAsia="zh-CN"/>
        </w:rPr>
        <w:t>：</w:t>
      </w:r>
      <w:r>
        <w:rPr>
          <w:rStyle w:val="14"/>
          <w:rFonts w:hint="default" w:ascii="Times New Roman" w:hAnsi="Times New Roman" w:eastAsia="仿宋_GB2312" w:cs="Times New Roman"/>
          <w:b w:val="0"/>
          <w:bCs w:val="0"/>
          <w:color w:val="auto"/>
          <w:sz w:val="32"/>
          <w:szCs w:val="32"/>
          <w:lang w:val="en-US" w:eastAsia="zh-CN"/>
        </w:rPr>
        <w:t>反映按房改政策规定，行政事业单位向符合条件职工（含离退休人员）、军队（含武警）向转役复员离退休人员发放的用于购买住房的补贴。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3"/>
        </w:numPr>
        <w:spacing w:line="600" w:lineRule="exact"/>
        <w:ind w:left="0" w:leftChars="0" w:firstLine="663" w:firstLineChars="150"/>
        <w:jc w:val="center"/>
        <w:outlineLvl w:val="0"/>
        <w:rPr>
          <w:rStyle w:val="25"/>
          <w:rFonts w:hint="eastAsia" w:ascii="黑体" w:hAnsi="黑体" w:eastAsia="黑体"/>
          <w:b w:val="0"/>
        </w:rPr>
      </w:pPr>
      <w:bookmarkStart w:id="81" w:name="_Toc15377226"/>
      <w:r>
        <w:rPr>
          <w:rFonts w:ascii="宋体"/>
          <w:b/>
          <w:color w:val="000000"/>
          <w:sz w:val="44"/>
          <w:szCs w:val="44"/>
        </w:rPr>
        <w:br w:type="page"/>
      </w:r>
      <w:bookmarkStart w:id="82" w:name="_Toc9733"/>
      <w:bookmarkStart w:id="83" w:name="_Toc15396614"/>
      <w:bookmarkStart w:id="84" w:name="_Toc11241"/>
      <w:r>
        <w:rPr>
          <w:rStyle w:val="25"/>
          <w:rFonts w:hint="eastAsia" w:ascii="黑体" w:hAnsi="黑体" w:eastAsia="黑体"/>
          <w:b w:val="0"/>
        </w:rPr>
        <w:t>附件</w:t>
      </w:r>
      <w:bookmarkEnd w:id="82"/>
      <w:bookmarkEnd w:id="83"/>
      <w:bookmarkEnd w:id="84"/>
    </w:p>
    <w:p>
      <w:pPr>
        <w:pStyle w:val="6"/>
        <w:numPr>
          <w:ilvl w:val="0"/>
          <w:numId w:val="0"/>
        </w:numPr>
        <w:ind w:leftChars="150"/>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auto"/>
          <w:sz w:val="40"/>
          <w:szCs w:val="40"/>
        </w:rPr>
      </w:pPr>
      <w:bookmarkStart w:id="85" w:name="_Toc21928"/>
      <w:bookmarkStart w:id="86" w:name="_Toc23757"/>
      <w:bookmarkStart w:id="87" w:name="_Toc15396618"/>
      <w:r>
        <w:rPr>
          <w:rFonts w:hint="eastAsia" w:eastAsia="方正小标宋简体" w:cs="Times New Roman"/>
          <w:color w:val="auto"/>
          <w:sz w:val="40"/>
          <w:szCs w:val="40"/>
          <w:lang w:val="en-US" w:eastAsia="zh-CN"/>
        </w:rPr>
        <w:t>2020年</w:t>
      </w:r>
      <w:r>
        <w:rPr>
          <w:rFonts w:hint="default" w:ascii="Times New Roman" w:hAnsi="Times New Roman" w:eastAsia="方正小标宋简体" w:cs="Times New Roman"/>
          <w:color w:val="auto"/>
          <w:sz w:val="40"/>
          <w:szCs w:val="40"/>
          <w:lang w:val="en-US" w:eastAsia="zh-CN"/>
        </w:rPr>
        <w:t>古籍出版经费项目支出绩效自评报告</w:t>
      </w:r>
      <w:bookmarkEnd w:id="85"/>
      <w:bookmarkEnd w:id="86"/>
    </w:p>
    <w:p>
      <w:pPr>
        <w:keepLines w:val="0"/>
        <w:adjustRightInd w:val="0"/>
        <w:snapToGrid w:val="0"/>
        <w:spacing w:line="600" w:lineRule="exact"/>
        <w:ind w:firstLine="720"/>
        <w:rPr>
          <w:rFonts w:hint="default" w:ascii="Times New Roman" w:hAnsi="Times New Roman" w:eastAsia="仿宋_GB2312" w:cs="Times New Roman"/>
          <w:color w:val="auto"/>
        </w:rPr>
      </w:pPr>
    </w:p>
    <w:p>
      <w:pPr>
        <w:keepLines w:val="0"/>
        <w:adjustRightInd w:val="0"/>
        <w:snapToGrid w:val="0"/>
        <w:spacing w:line="600" w:lineRule="exact"/>
        <w:ind w:firstLine="72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根据《财政厅关于开展202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部门、</w:t>
      </w:r>
      <w:r>
        <w:rPr>
          <w:rFonts w:hint="default" w:ascii="Times New Roman" w:hAnsi="Times New Roman" w:eastAsia="仿宋_GB2312" w:cs="Times New Roman"/>
          <w:color w:val="auto"/>
          <w:sz w:val="32"/>
          <w:szCs w:val="32"/>
        </w:rPr>
        <w:t>政策和项目支出绩效评价工作的通知》（川财绩〔202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号）有关要求，为进一步加强和规范专项资金管理，切实提高财政资金使用效益，</w:t>
      </w:r>
      <w:r>
        <w:rPr>
          <w:rFonts w:hint="default" w:ascii="Times New Roman" w:hAnsi="Times New Roman" w:eastAsia="仿宋_GB2312" w:cs="Times New Roman"/>
          <w:color w:val="auto"/>
          <w:sz w:val="32"/>
          <w:szCs w:val="32"/>
          <w:lang w:val="en-US" w:eastAsia="zh-CN"/>
        </w:rPr>
        <w:t>我委对2020年“古籍出版经费”项目开展了</w:t>
      </w:r>
      <w:r>
        <w:rPr>
          <w:rFonts w:hint="default" w:ascii="Times New Roman" w:hAnsi="Times New Roman" w:eastAsia="仿宋_GB2312" w:cs="Times New Roman"/>
          <w:color w:val="auto"/>
          <w:sz w:val="32"/>
          <w:szCs w:val="32"/>
        </w:rPr>
        <w:t>绩效自评</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现将有关情况报告如下：</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黑体" w:cs="Times New Roman"/>
          <w:color w:val="auto"/>
          <w:sz w:val="32"/>
          <w:szCs w:val="32"/>
          <w:lang w:eastAsia="zh-CN"/>
        </w:rPr>
      </w:pPr>
      <w:bookmarkStart w:id="88" w:name="_Toc11193"/>
      <w:bookmarkStart w:id="89" w:name="_Toc13724"/>
      <w:r>
        <w:rPr>
          <w:rFonts w:hint="default"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eastAsia="zh-CN"/>
        </w:rPr>
        <w:t>基本情况</w:t>
      </w:r>
      <w:bookmarkEnd w:id="88"/>
      <w:bookmarkEnd w:id="89"/>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zh-CN"/>
        </w:rPr>
        <w:t>（一）</w:t>
      </w:r>
      <w:r>
        <w:rPr>
          <w:rFonts w:hint="default" w:ascii="Times New Roman" w:hAnsi="Times New Roman" w:eastAsia="仿宋_GB2312" w:cs="Times New Roman"/>
          <w:b/>
          <w:color w:val="auto"/>
          <w:sz w:val="32"/>
          <w:szCs w:val="32"/>
          <w:lang w:val="en-US" w:eastAsia="zh-CN"/>
        </w:rPr>
        <w:t>项目概况</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zh-CN"/>
        </w:rPr>
      </w:pPr>
      <w:r>
        <w:rPr>
          <w:rFonts w:hint="default" w:ascii="Times New Roman" w:hAnsi="Times New Roman" w:eastAsia="仿宋_GB2312" w:cs="Times New Roman"/>
          <w:b/>
          <w:color w:val="auto"/>
          <w:sz w:val="32"/>
          <w:szCs w:val="32"/>
          <w:lang w:val="en-US" w:eastAsia="zh-CN"/>
        </w:rPr>
        <w:t>1.单位</w:t>
      </w:r>
      <w:r>
        <w:rPr>
          <w:rFonts w:hint="default" w:ascii="Times New Roman" w:hAnsi="Times New Roman" w:eastAsia="仿宋_GB2312" w:cs="Times New Roman"/>
          <w:b/>
          <w:color w:val="auto"/>
          <w:sz w:val="32"/>
          <w:szCs w:val="32"/>
          <w:lang w:val="zh-CN"/>
        </w:rPr>
        <w:t>基本情况</w:t>
      </w:r>
    </w:p>
    <w:p>
      <w:pPr>
        <w:keepLines w:val="0"/>
        <w:adjustRightInd w:val="0"/>
        <w:snapToGrid w:val="0"/>
        <w:spacing w:line="600" w:lineRule="exact"/>
        <w:ind w:firstLine="7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四川省少数民族古籍整理办公室</w:t>
      </w:r>
      <w:r>
        <w:rPr>
          <w:rFonts w:hint="default" w:ascii="Times New Roman" w:hAnsi="Times New Roman" w:eastAsia="仿宋_GB2312" w:cs="Times New Roman"/>
          <w:color w:val="auto"/>
          <w:sz w:val="32"/>
          <w:szCs w:val="32"/>
          <w:lang w:val="en-US" w:eastAsia="zh-CN"/>
        </w:rPr>
        <w:t>隶属于四川省民族宗教事务委员会，系参照公务员管理事业单位。主要职能是组织、协调、指导全省少数民族古籍的抢救、搜集、整理、出版和研究工作。2020年末，古籍办参公编制6人，在职人员8人，其中超编2人为军转安置干部人员。</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en-US" w:eastAsia="zh-CN"/>
        </w:rPr>
        <w:t>2.项目设立基本情况</w:t>
      </w:r>
    </w:p>
    <w:p>
      <w:pPr>
        <w:keepLines w:val="0"/>
        <w:adjustRightInd w:val="0"/>
        <w:snapToGrid w:val="0"/>
        <w:spacing w:line="600" w:lineRule="exact"/>
        <w:ind w:firstLine="7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四川民族地区历来具有十分重要的战略地位。是全国第二大藏区、最大的彝族聚居区、唯一的羌族聚居区。肩负着维护民族团结和祖国统一的特殊任务。四川民族地区东通成都平原，北连甘肃、青海，西靠西藏，南邻云南，地处青藏高原东南隅，云贵高原西北缘和四川盆地的过渡地带，是内地通往边疆地区特别是西藏的重要通道，自古就是“民族走廊”，有“稳藏必先安康”的重要战略地位。四川同时又是一个多民族、多语种的大省，少数民族古籍资源十分丰富，是全国民族古籍抢救、整理的重点省份。据不完全统计，现存于四川地区的各类少数民族古籍49万余册（函），其中藏文29万册（函）、彝文19万册（函）、其他少数民族古籍1万余册（函），流散于民间的非物质文化遗产口碑更是难以胜计。数量巨大、种类繁多、内容丰富的少数民族古籍，决定了我省民族古籍工作重要地位，责任和任务繁重。 </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党中央、国务院有关抢救、整理、出版少数民族古籍的指示精神，我省于1984年成立了四川省少数民族古籍整理办公室，行政领导隶属于省民委（现省民族宗教委），专门负责全省少数民族古籍抢救、整理的政策研究、规划制定、组织、协调、指导以及服务工作，并接受国家民委全国少数民族古籍整理研究室的工作指导。工作机构建立后，首先启动和开展了全省少数民族古籍普查实施工作，组织人力、物力、财力，积极开展调查摸底、详细清点、编目整理工作，深度了解和准确把握了本地区少数民族古籍存量、流传和销蚀情况，做到底数清、情况明，为全省少数民族古籍详规制定和形成全省统一的少数民族古籍简目奠定了坚实基础。为切实保障全省少数民族古籍抢救、整理、翻译、录入、排版、校对和出版工作，设立了“古籍出版经费”项目，并作为常年项目予以保留。</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zh-CN" w:eastAsia="zh-CN"/>
        </w:rPr>
        <w:t>（</w:t>
      </w:r>
      <w:r>
        <w:rPr>
          <w:rFonts w:hint="default" w:ascii="Times New Roman" w:hAnsi="Times New Roman" w:eastAsia="仿宋_GB2312" w:cs="Times New Roman"/>
          <w:b/>
          <w:color w:val="auto"/>
          <w:sz w:val="32"/>
          <w:szCs w:val="32"/>
          <w:lang w:val="en-US" w:eastAsia="zh-CN"/>
        </w:rPr>
        <w:t>二</w:t>
      </w:r>
      <w:r>
        <w:rPr>
          <w:rFonts w:hint="default" w:ascii="Times New Roman" w:hAnsi="Times New Roman" w:eastAsia="仿宋_GB2312" w:cs="Times New Roman"/>
          <w:b/>
          <w:color w:val="auto"/>
          <w:sz w:val="32"/>
          <w:szCs w:val="32"/>
          <w:lang w:val="zh-CN" w:eastAsia="zh-CN"/>
        </w:rPr>
        <w:t>）项目绩效目标</w:t>
      </w:r>
      <w:r>
        <w:rPr>
          <w:rFonts w:hint="default" w:ascii="Times New Roman" w:hAnsi="Times New Roman" w:eastAsia="仿宋_GB2312" w:cs="Times New Roman"/>
          <w:b/>
          <w:color w:val="auto"/>
          <w:sz w:val="32"/>
          <w:szCs w:val="32"/>
          <w:lang w:val="en-US" w:eastAsia="zh-CN"/>
        </w:rPr>
        <w:t>设置情况</w:t>
      </w:r>
    </w:p>
    <w:p>
      <w:pPr>
        <w:keepLines w:val="0"/>
        <w:spacing w:line="600" w:lineRule="exact"/>
        <w:ind w:firstLine="640" w:firstLineChars="200"/>
        <w:contextualSpacing/>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照绩效目标设置的要求，古籍办具体细化量化了三级指标，共计设置绩效目标16项。其中：数量指标6项，用于量化《觉囊派续部海坛城·图集》《藏族古籍经典系列丛书》《凉山彝族古彝语词典》《中国羌族资料选编》《中国南方回族历史人物文史资料补遗》《智者入门广释》的搜集、整理、翻译、录入、排版、校对和出版工作相关情况；质量指标1项，用于衡量分阶段完成6套古籍的搜集、整理、翻译、录入、排版、校对和出版工作的质量；时效指标1项，用于量化全年古籍整理等工作按期完成率；成本指标3项，用于量化完成6套古籍整理等相关工作的劳务费、委托费、其他交通费用的成本；经济效益指标1项，用于衡量资金使用效果；社会效益指标1项，用于衡量分阶段完成民族古籍的搜集、整理、翻译、录入、排版、校对和出版工作产生的社会效益；生态效益指标1项，用于量化古籍出版使用环保纸张的效果；可持续影响指标1项，用于衡量古籍产生的宣传效益；满意度指标1项，用于量化服务对象的满意度水平。</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zh-CN" w:eastAsia="zh-CN"/>
        </w:rPr>
      </w:pPr>
      <w:r>
        <w:rPr>
          <w:rFonts w:hint="default" w:ascii="Times New Roman" w:hAnsi="Times New Roman" w:eastAsia="仿宋_GB2312" w:cs="Times New Roman"/>
          <w:b/>
          <w:color w:val="auto"/>
          <w:sz w:val="32"/>
          <w:szCs w:val="32"/>
          <w:lang w:val="zh-CN" w:eastAsia="zh-CN"/>
        </w:rPr>
        <w:t>（</w:t>
      </w:r>
      <w:r>
        <w:rPr>
          <w:rFonts w:hint="default" w:ascii="Times New Roman" w:hAnsi="Times New Roman" w:eastAsia="仿宋_GB2312" w:cs="Times New Roman"/>
          <w:b/>
          <w:color w:val="auto"/>
          <w:sz w:val="32"/>
          <w:szCs w:val="32"/>
          <w:lang w:val="en-US" w:eastAsia="zh-CN"/>
        </w:rPr>
        <w:t>三</w:t>
      </w:r>
      <w:r>
        <w:rPr>
          <w:rFonts w:hint="default" w:ascii="Times New Roman" w:hAnsi="Times New Roman" w:eastAsia="仿宋_GB2312" w:cs="Times New Roman"/>
          <w:b/>
          <w:color w:val="auto"/>
          <w:sz w:val="32"/>
          <w:szCs w:val="32"/>
          <w:lang w:val="zh-CN" w:eastAsia="zh-CN"/>
        </w:rPr>
        <w:t>）资金投入</w:t>
      </w:r>
      <w:r>
        <w:rPr>
          <w:rFonts w:hint="default" w:ascii="Times New Roman" w:hAnsi="Times New Roman" w:eastAsia="仿宋_GB2312" w:cs="Times New Roman"/>
          <w:b/>
          <w:color w:val="auto"/>
          <w:sz w:val="32"/>
          <w:szCs w:val="32"/>
          <w:lang w:val="en-US" w:eastAsia="zh-CN"/>
        </w:rPr>
        <w:t>及项目实施</w:t>
      </w:r>
      <w:r>
        <w:rPr>
          <w:rFonts w:hint="default" w:ascii="Times New Roman" w:hAnsi="Times New Roman" w:eastAsia="仿宋_GB2312" w:cs="Times New Roman"/>
          <w:b/>
          <w:color w:val="auto"/>
          <w:sz w:val="32"/>
          <w:szCs w:val="32"/>
          <w:lang w:val="zh-CN" w:eastAsia="zh-CN"/>
        </w:rPr>
        <w:t>情况</w:t>
      </w:r>
    </w:p>
    <w:p>
      <w:pPr>
        <w:keepLines w:val="0"/>
        <w:spacing w:line="600" w:lineRule="exact"/>
        <w:ind w:firstLine="640" w:firstLineChars="200"/>
        <w:contextualSpacing/>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“古籍办古籍出版经费”项目总预算120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其中：劳务费35万元，委托业务费80万元，办公经费5万元。根据项目预算绩效管理要求，古籍办</w:t>
      </w:r>
      <w:r>
        <w:rPr>
          <w:rFonts w:hint="default" w:ascii="Times New Roman" w:hAnsi="Times New Roman" w:eastAsia="仿宋_GB2312" w:cs="Times New Roman"/>
          <w:color w:val="auto"/>
          <w:sz w:val="32"/>
          <w:szCs w:val="32"/>
        </w:rPr>
        <w:t>负责项目资金管理和具体实施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项目资金的主要用途为：</w:t>
      </w:r>
      <w:r>
        <w:rPr>
          <w:rFonts w:hint="default" w:ascii="Times New Roman" w:hAnsi="Times New Roman" w:eastAsia="仿宋_GB2312" w:cs="Times New Roman"/>
          <w:color w:val="auto"/>
          <w:sz w:val="32"/>
          <w:szCs w:val="32"/>
          <w:lang w:val="en-US" w:eastAsia="zh-CN"/>
        </w:rPr>
        <w:t>一是保障《藏族古籍经典系列丛书》《凉山彝族古彝语词典》《中国羌族资料选编》《中国南方回族历史人物文史资料补遗》当年的搜集、整理、翻译、录入、排版、校对和出版工作的完成；二是保障古籍办古籍整理，按时发放和缴纳聘用人员的工资及社会保险，按期发放审定费等；三是保障古籍项目搜集、整理的其他工作。</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720" w:firstLine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全年，项目支出共计103万元，预算执行率为85.83%。</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bookmarkStart w:id="90" w:name="_Toc22699"/>
      <w:bookmarkStart w:id="91" w:name="_Toc4490"/>
      <w:r>
        <w:rPr>
          <w:rFonts w:hint="default" w:ascii="Times New Roman" w:hAnsi="Times New Roman" w:eastAsia="黑体" w:cs="Times New Roman"/>
          <w:color w:val="auto"/>
          <w:sz w:val="32"/>
          <w:szCs w:val="32"/>
          <w:lang w:eastAsia="zh-CN"/>
        </w:rPr>
        <w:t>二、评价工作开展情况</w:t>
      </w:r>
      <w:bookmarkEnd w:id="90"/>
      <w:bookmarkEnd w:id="91"/>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（一）评价组织情况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本次绩效评价按照前期准备、</w:t>
      </w:r>
      <w:r>
        <w:rPr>
          <w:rFonts w:hint="default"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自评、</w:t>
      </w:r>
      <w:r>
        <w:rPr>
          <w:rFonts w:hint="default" w:ascii="Times New Roman" w:hAnsi="Times New Roman" w:eastAsia="仿宋_GB2312" w:cs="Times New Roman"/>
          <w:color w:val="auto"/>
          <w:sz w:val="32"/>
          <w:szCs w:val="32"/>
          <w:lang w:val="en-US" w:eastAsia="zh-CN"/>
        </w:rPr>
        <w:t>部门复评、</w:t>
      </w:r>
      <w:r>
        <w:rPr>
          <w:rFonts w:hint="default" w:ascii="Times New Roman" w:hAnsi="Times New Roman" w:eastAsia="仿宋_GB2312" w:cs="Times New Roman"/>
          <w:color w:val="auto"/>
          <w:sz w:val="32"/>
          <w:szCs w:val="32"/>
        </w:rPr>
        <w:t>报告撰写</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个阶段，组织实施项目绩效评价工作。</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（二）评价指标体系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color w:val="auto"/>
          <w:sz w:val="32"/>
          <w:szCs w:val="32"/>
          <w:lang w:val="zh-CN" w:eastAsia="zh-CN"/>
        </w:rPr>
      </w:pPr>
      <w:r>
        <w:rPr>
          <w:rFonts w:hint="default" w:ascii="Times New Roman" w:hAnsi="Times New Roman" w:eastAsia="仿宋_GB2312" w:cs="Times New Roman"/>
          <w:color w:val="auto"/>
          <w:sz w:val="32"/>
          <w:szCs w:val="32"/>
          <w:lang w:val="en-US" w:eastAsia="zh-CN"/>
        </w:rPr>
        <w:t>根据绩效评价工作部署要求，省民族宗教委细化制定了《省民族宗教委2021年度部门预算项目支出绩效评价指标体系》，重点对部门预算管理、绩效结果运用及自评质量进行考核。重点对单位预算编制、预算执行、完成结果、整改反馈及自评质量进行定量和定性评价。具体涉及目标制定、目标实现、编制准确、支出控制、动态调整、执行进度、预算完成、违规记录、结果整改、应用反馈、自评准确等指标。</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（三）评价方法和评价标准等内容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整理汇总出刊情况</w:t>
      </w:r>
      <w:r>
        <w:rPr>
          <w:rFonts w:hint="default" w:ascii="Times New Roman" w:hAnsi="Times New Roman" w:eastAsia="仿宋_GB2312" w:cs="Times New Roman"/>
          <w:color w:val="auto"/>
          <w:sz w:val="32"/>
          <w:szCs w:val="32"/>
        </w:rPr>
        <w:t>资料、</w:t>
      </w:r>
      <w:r>
        <w:rPr>
          <w:rFonts w:hint="default" w:ascii="Times New Roman" w:hAnsi="Times New Roman" w:eastAsia="仿宋_GB2312" w:cs="Times New Roman"/>
          <w:color w:val="auto"/>
          <w:sz w:val="32"/>
          <w:szCs w:val="32"/>
          <w:lang w:eastAsia="zh-CN"/>
        </w:rPr>
        <w:t>明确</w:t>
      </w:r>
      <w:r>
        <w:rPr>
          <w:rFonts w:hint="default" w:ascii="Times New Roman" w:hAnsi="Times New Roman" w:eastAsia="仿宋_GB2312" w:cs="Times New Roman"/>
          <w:color w:val="auto"/>
          <w:sz w:val="32"/>
          <w:szCs w:val="32"/>
        </w:rPr>
        <w:t>评价指标及评价标准的基础上，查看</w:t>
      </w:r>
      <w:r>
        <w:rPr>
          <w:rFonts w:hint="default" w:ascii="Times New Roman" w:hAnsi="Times New Roman" w:eastAsia="仿宋_GB2312" w:cs="Times New Roman"/>
          <w:color w:val="auto"/>
          <w:sz w:val="32"/>
          <w:szCs w:val="32"/>
          <w:lang w:eastAsia="zh-CN"/>
        </w:rPr>
        <w:t>资金</w:t>
      </w:r>
      <w:r>
        <w:rPr>
          <w:rFonts w:hint="default" w:ascii="Times New Roman" w:hAnsi="Times New Roman" w:eastAsia="仿宋_GB2312" w:cs="Times New Roman"/>
          <w:color w:val="auto"/>
          <w:sz w:val="32"/>
          <w:szCs w:val="32"/>
        </w:rPr>
        <w:t>实施及运行情况，收集相关数据资料，通过汇总整理，通过定量和定性分析，形成评价结论并形成绩效评价自评报告。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bookmarkStart w:id="92" w:name="_Toc22324"/>
      <w:bookmarkStart w:id="93" w:name="_Toc9015"/>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综合</w:t>
      </w:r>
      <w:r>
        <w:rPr>
          <w:rFonts w:hint="default" w:ascii="Times New Roman" w:hAnsi="Times New Roman" w:eastAsia="黑体" w:cs="Times New Roman"/>
          <w:color w:val="auto"/>
          <w:sz w:val="32"/>
          <w:szCs w:val="32"/>
        </w:rPr>
        <w:t>评价结论</w:t>
      </w:r>
      <w:r>
        <w:rPr>
          <w:rFonts w:hint="default" w:ascii="Times New Roman" w:hAnsi="Times New Roman" w:eastAsia="黑体" w:cs="Times New Roman"/>
          <w:color w:val="auto"/>
          <w:sz w:val="32"/>
          <w:szCs w:val="32"/>
          <w:lang w:eastAsia="zh-CN"/>
        </w:rPr>
        <w:t>（附评分表）</w:t>
      </w:r>
      <w:bookmarkEnd w:id="92"/>
      <w:bookmarkEnd w:id="93"/>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按照《省民族宗教委2021年度部门预算项目支出绩效评价指标体系》，单位自评得分71.32分，部门考核自评质量得分10分，总计得分为81.32分。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扣分原因说明：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目标实现：因《智者入门广释》目前达不到古籍公开出版体例标准，书稿应附古籍原书影印版；《觉囊派续部海坛城仪轨·图集》稿件内容不符合当前古籍整理工作标准，于9月暂停这两个项目搜集、整理工作，按评分要求扣5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2.动态调整：年终结余注销数为17万元，超过预算数10%，扣10分。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3.执行进度：因古籍达不到公开出版体例标准、稿件内容不符合当前古籍整理工作标准等因素原定的《觉囊派续部海坛城·图集》《智者入门广释》于9月起暂停项目搜集、整理工作，扣2.26分。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4.预算完成：2020古籍出版经费</w:t>
      </w:r>
      <w:r>
        <w:rPr>
          <w:rFonts w:hint="default" w:ascii="Times New Roman" w:hAnsi="Times New Roman" w:eastAsia="仿宋_GB2312" w:cs="Times New Roman"/>
          <w:b w:val="0"/>
          <w:bCs w:val="0"/>
          <w:color w:val="auto"/>
          <w:sz w:val="32"/>
          <w:szCs w:val="32"/>
          <w:lang w:val="en-US" w:eastAsia="zh-CN"/>
        </w:rPr>
        <w:t>预算120万元，当年实际完成103万元，按预算完成评分</w:t>
      </w:r>
      <w:r>
        <w:rPr>
          <w:rFonts w:hint="default" w:ascii="Times New Roman" w:hAnsi="Times New Roman" w:eastAsia="仿宋_GB2312" w:cs="Times New Roman"/>
          <w:color w:val="auto"/>
          <w:sz w:val="32"/>
          <w:szCs w:val="32"/>
          <w:lang w:val="en-US" w:eastAsia="zh-CN"/>
        </w:rPr>
        <w:t>标准扣分1.42分。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b w:val="0"/>
          <w:bCs/>
          <w:color w:val="auto"/>
          <w:sz w:val="32"/>
          <w:szCs w:val="32"/>
          <w:lang w:eastAsia="zh-CN"/>
        </w:rPr>
      </w:pPr>
      <w:bookmarkStart w:id="94" w:name="_Toc5099"/>
      <w:bookmarkStart w:id="95" w:name="_Toc29501"/>
      <w:r>
        <w:rPr>
          <w:rFonts w:hint="default" w:ascii="Times New Roman" w:hAnsi="Times New Roman" w:eastAsia="黑体" w:cs="Times New Roman"/>
          <w:b w:val="0"/>
          <w:bCs/>
          <w:color w:val="auto"/>
          <w:sz w:val="32"/>
          <w:szCs w:val="32"/>
          <w:lang w:eastAsia="zh-CN"/>
        </w:rPr>
        <w:t>四、绩效评价分析</w:t>
      </w:r>
      <w:bookmarkEnd w:id="94"/>
      <w:bookmarkEnd w:id="95"/>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（一）项目决策情况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1.决策依据充分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2019年在广州召开的南方回族古籍整理第十六次协作会和南方回族古籍丛书编委会的工作任务要求，省古籍办作为成员单位，承担《中国南方回族历史人物资料补遗》（四川和重庆部分）稿件编纂工作；根据《四川省民族宗教事务委员会关于印发全省少数民族古籍重点项目出版规划（2016——2020年）的通知》（川民宗委〔2016〕116号）文件要求，进行《藏族古籍经典系列丛书》《凉山彝族古彝语词典》《中国羌族资料选编》《智者入门广释》《觉囊派续部海坛城仪轨·图集》的搜集、整理、翻译、录入、排版、校对和出版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2.决策程序严谨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召开办务会决定项目初稿，报委领导或委党组决定项目定稿并按照预算编制要求，于年初预算编制时，填报了《部门预算项目立项审核表》，报经委计财处审定。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3.成本核算科学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lang w:val="en-US" w:eastAsia="zh-CN"/>
        </w:rPr>
        <w:t>相关经费预算，严格按照相关业务成本进行测算，坚持“厉行节约”，确保财政资金使用绩效。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（二）项目管理情况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lang w:val="en-US" w:eastAsia="zh-CN"/>
        </w:rPr>
        <w:t>项目支出均按照有关规章制度和项目实施完成情况进行支付。专项经费使用由办公室为主管理，各部门协助，严格按照委相关财务管理制度执行，并按要求完善记录，确保专款专用。</w:t>
      </w:r>
    </w:p>
    <w:p>
      <w:pPr>
        <w:keepNext w:val="0"/>
        <w:keepLines w:val="0"/>
        <w:pageBreakBefore w:val="0"/>
        <w:widowControl w:val="0"/>
        <w:numPr>
          <w:ilvl w:val="0"/>
          <w:numId w:val="4"/>
        </w:numPr>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项目产出情况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有效保障了编外职工的工资</w:t>
      </w:r>
      <w:r>
        <w:rPr>
          <w:rFonts w:hint="default" w:ascii="Times New Roman" w:hAnsi="Times New Roman" w:eastAsia="仿宋_GB2312" w:cs="Times New Roman"/>
          <w:color w:val="auto"/>
          <w:sz w:val="32"/>
          <w:szCs w:val="32"/>
          <w:lang w:val="en-US" w:eastAsia="zh-CN"/>
        </w:rPr>
        <w:t>发放</w:t>
      </w:r>
      <w:r>
        <w:rPr>
          <w:rFonts w:hint="default" w:ascii="Times New Roman" w:hAnsi="Times New Roman" w:eastAsia="仿宋_GB2312" w:cs="Times New Roman"/>
          <w:color w:val="auto"/>
          <w:sz w:val="32"/>
          <w:szCs w:val="32"/>
          <w:lang w:eastAsia="zh-CN"/>
        </w:rPr>
        <w:t>及社会保险缴纳</w:t>
      </w:r>
      <w:r>
        <w:rPr>
          <w:rFonts w:hint="default" w:ascii="Times New Roman" w:hAnsi="Times New Roman" w:eastAsia="仿宋_GB2312" w:cs="Times New Roman"/>
          <w:color w:val="auto"/>
          <w:sz w:val="32"/>
          <w:szCs w:val="32"/>
          <w:lang w:val="en-US" w:eastAsia="zh-CN"/>
        </w:rPr>
        <w:t>、古籍整理的评定费、古籍调研的租车费等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按时按量完成了《藏族古籍经典系列丛书》《凉山彝族古彝语词典》《中国羌族资料选编》《中国南方回族历史人物文史资料补遗》当年的搜集、整理、翻译、录入、排版、校对和出版工作。</w:t>
      </w:r>
    </w:p>
    <w:p>
      <w:pPr>
        <w:keepNext w:val="0"/>
        <w:keepLines w:val="0"/>
        <w:pageBreakBefore w:val="0"/>
        <w:widowControl w:val="0"/>
        <w:numPr>
          <w:ilvl w:val="0"/>
          <w:numId w:val="4"/>
        </w:numPr>
        <w:kinsoku/>
        <w:wordWrap/>
        <w:overflowPunct/>
        <w:topLinePunct w:val="0"/>
        <w:autoSpaceDE/>
        <w:autoSpaceDN/>
        <w:bidi w:val="0"/>
        <w:adjustRightInd/>
        <w:snapToGrid w:val="0"/>
        <w:spacing w:line="600" w:lineRule="exact"/>
        <w:ind w:left="0" w:leftChars="0"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项目效益情况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顺利完成了《中国羌族资料汇编》项目启动会筹备、举办等工作，围绕少数民族古籍助力铸牢中华民族共同体意识工作，起草撰写简报《&lt;中国羌族资料汇编&gt;搜集整理工作正式启动》，先后被《民族》杂志、委系统官网、省委统战部、中央统战部采用。截止目前，已指导课题组搜集整理历史类资料150余万字。并完成少数民族书库整理和</w:t>
      </w:r>
      <w:r>
        <w:rPr>
          <w:rFonts w:hint="eastAsia" w:eastAsia="仿宋_GB2312" w:cs="Times New Roman"/>
          <w:b w:val="0"/>
          <w:bCs/>
          <w:color w:val="auto"/>
          <w:sz w:val="32"/>
          <w:szCs w:val="32"/>
          <w:lang w:val="en-US" w:eastAsia="zh-CN"/>
        </w:rPr>
        <w:t>送</w:t>
      </w:r>
      <w:r>
        <w:rPr>
          <w:rFonts w:hint="default" w:ascii="Times New Roman" w:hAnsi="Times New Roman" w:eastAsia="仿宋_GB2312" w:cs="Times New Roman"/>
          <w:b w:val="0"/>
          <w:bCs/>
          <w:color w:val="auto"/>
          <w:sz w:val="32"/>
          <w:szCs w:val="32"/>
          <w:lang w:val="en-US" w:eastAsia="zh-CN"/>
        </w:rPr>
        <w:t>古籍图书下基层的相关事宜，得到省委统战部主要领导和委领导肯定性批示。</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藏族古籍经典系列丛书》之三《小五明文献分类集成》项目自2017年启动搜集整理工作，2020年，完成该书全部的搜集、整理、对勘、录入、校对和编辑工作，共计4800万字，193册。于2020年4月完成《小五明文献分类集成》出版任务，8月完成印刷工作。</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3.《中国南方回族历史人物文史资料补遗》完成四川部分和重庆部分的编纂，已交广西古籍办总稿。</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4.《凉山彝族古彝语词典》已完成2003条词条搜集整理验收。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rPr>
      </w:pPr>
      <w:bookmarkStart w:id="96" w:name="_Toc18611"/>
      <w:bookmarkStart w:id="97" w:name="_Toc9860"/>
      <w:r>
        <w:rPr>
          <w:rFonts w:hint="default" w:ascii="Times New Roman" w:hAnsi="Times New Roman" w:eastAsia="黑体" w:cs="Times New Roman"/>
          <w:color w:val="auto"/>
          <w:sz w:val="32"/>
          <w:szCs w:val="32"/>
        </w:rPr>
        <w:t>五、存在主要问题</w:t>
      </w:r>
      <w:bookmarkEnd w:id="96"/>
      <w:bookmarkEnd w:id="97"/>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lang w:val="en-US" w:eastAsia="zh-CN"/>
        </w:rPr>
        <w:t>因《智者入门广释》目前达不到古籍公开出版体例标准，书稿应附古籍原书影印版的原因；《觉囊派续部海坛城仪轨·图集》稿件内容不符合当前古籍整理工作标准，造成项目预期目标未完成，年终项目经费结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rPr>
      </w:pPr>
      <w:bookmarkStart w:id="98" w:name="_Toc14762"/>
      <w:bookmarkStart w:id="99" w:name="_Toc32621"/>
      <w:r>
        <w:rPr>
          <w:rFonts w:hint="default" w:ascii="Times New Roman" w:hAnsi="Times New Roman" w:eastAsia="黑体" w:cs="Times New Roman"/>
          <w:color w:val="auto"/>
          <w:sz w:val="32"/>
          <w:szCs w:val="32"/>
        </w:rPr>
        <w:t>六、相关措施建议</w:t>
      </w:r>
      <w:bookmarkEnd w:id="98"/>
      <w:bookmarkEnd w:id="99"/>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一是提高预算编制的精准性。进一步细化量化古籍出版经费，更加精确把控项目的可行性，将项目的实施和预算与国家大政方针</w:t>
      </w:r>
      <w:r>
        <w:rPr>
          <w:rFonts w:hint="eastAsia" w:eastAsia="仿宋_GB2312" w:cs="Times New Roman"/>
          <w:color w:val="auto"/>
          <w:sz w:val="32"/>
          <w:szCs w:val="32"/>
          <w:lang w:val="en-US" w:eastAsia="zh-CN"/>
        </w:rPr>
        <w:t>和重大战略</w:t>
      </w:r>
      <w:r>
        <w:rPr>
          <w:rFonts w:hint="default" w:ascii="Times New Roman" w:hAnsi="Times New Roman" w:eastAsia="仿宋_GB2312" w:cs="Times New Roman"/>
          <w:color w:val="auto"/>
          <w:sz w:val="32"/>
          <w:szCs w:val="32"/>
          <w:lang w:val="en-US" w:eastAsia="zh-CN"/>
        </w:rPr>
        <w:t>有机结合，严格遵守《中华人民共和国预算法》。合理测算预算，确保预算刚性约束。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二是加强执行中的动态监控。在预算执行过程中加强对预算及绩效的“双监控”。按照财政有关要求，动态调整预算，提高预算执行率，切实发挥财政资金的使用绩效。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cs="Times New Roman"/>
          <w:color w:val="auto"/>
          <w:szCs w:val="21"/>
          <w:lang w:val="en-US" w:eastAsia="zh-CN"/>
        </w:rPr>
      </w:pPr>
      <w:r>
        <w:rPr>
          <w:rFonts w:hint="default" w:ascii="Times New Roman" w:hAnsi="Times New Roman" w:eastAsia="仿宋_GB2312" w:cs="Times New Roman"/>
          <w:color w:val="auto"/>
          <w:sz w:val="32"/>
          <w:szCs w:val="32"/>
          <w:lang w:val="en-US" w:eastAsia="zh-CN"/>
        </w:rPr>
        <w:t>三是严格预算安排与绩效挂钩。2021年年初预算编制时，已将2020年度预算执行进度和绩效目标实现情况纳入预算安排挂钩，适当减少该项目的2021年预算安排数。</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rPr>
          <w:rFonts w:hint="eastAsia"/>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仿宋" w:hAnsi="仿宋" w:eastAsia="仿宋"/>
          <w:b w:val="0"/>
          <w:color w:val="000000"/>
        </w:rPr>
      </w:pPr>
      <w:bookmarkStart w:id="100" w:name="_Toc16833"/>
      <w:bookmarkStart w:id="101" w:name="_Toc3308"/>
      <w:r>
        <w:rPr>
          <w:rFonts w:hint="eastAsia" w:ascii="黑体" w:hAnsi="黑体" w:eastAsia="黑体"/>
          <w:color w:val="000000"/>
          <w:sz w:val="44"/>
          <w:szCs w:val="44"/>
        </w:rPr>
        <w:t>第</w:t>
      </w:r>
      <w:r>
        <w:rPr>
          <w:rStyle w:val="25"/>
          <w:rFonts w:hint="eastAsia" w:ascii="黑体" w:hAnsi="黑体" w:eastAsia="黑体"/>
          <w:b w:val="0"/>
        </w:rPr>
        <w:t>五部分 附表</w:t>
      </w:r>
      <w:bookmarkEnd w:id="81"/>
      <w:bookmarkEnd w:id="87"/>
      <w:bookmarkEnd w:id="100"/>
      <w:bookmarkEnd w:id="101"/>
      <w:bookmarkStart w:id="102" w:name="_Toc15396619"/>
    </w:p>
    <w:p>
      <w:pPr>
        <w:pStyle w:val="4"/>
        <w:rPr>
          <w:rFonts w:hint="eastAsia" w:ascii="仿宋_GB2312" w:hAnsi="仿宋_GB2312" w:eastAsia="仿宋_GB2312" w:cs="仿宋_GB2312"/>
          <w:color w:val="000000"/>
        </w:rPr>
      </w:pPr>
      <w:bookmarkStart w:id="103" w:name="_Toc29222"/>
      <w:bookmarkStart w:id="104" w:name="_Toc22029"/>
      <w:r>
        <w:rPr>
          <w:rFonts w:hint="eastAsia" w:ascii="仿宋_GB2312" w:hAnsi="仿宋_GB2312" w:eastAsia="仿宋_GB2312" w:cs="仿宋_GB2312"/>
          <w:b w:val="0"/>
          <w:color w:val="000000"/>
        </w:rPr>
        <w:t>一、收</w:t>
      </w:r>
      <w:r>
        <w:rPr>
          <w:rStyle w:val="26"/>
          <w:rFonts w:hint="eastAsia" w:ascii="仿宋_GB2312" w:hAnsi="仿宋_GB2312" w:eastAsia="仿宋_GB2312" w:cs="仿宋_GB2312"/>
          <w:b w:val="0"/>
          <w:bCs w:val="0"/>
        </w:rPr>
        <w:t>入支出决算总表</w:t>
      </w:r>
      <w:bookmarkEnd w:id="102"/>
      <w:bookmarkEnd w:id="103"/>
      <w:bookmarkEnd w:id="104"/>
    </w:p>
    <w:p>
      <w:pPr>
        <w:pStyle w:val="4"/>
        <w:rPr>
          <w:rFonts w:hint="eastAsia" w:ascii="仿宋_GB2312" w:hAnsi="仿宋_GB2312" w:eastAsia="仿宋_GB2312" w:cs="仿宋_GB2312"/>
          <w:color w:val="000000"/>
        </w:rPr>
      </w:pPr>
      <w:bookmarkStart w:id="105" w:name="_Toc28969"/>
      <w:bookmarkStart w:id="106" w:name="_Toc15396620"/>
      <w:bookmarkStart w:id="107" w:name="_Toc5"/>
      <w:r>
        <w:rPr>
          <w:rFonts w:hint="eastAsia" w:ascii="仿宋_GB2312" w:hAnsi="仿宋_GB2312" w:eastAsia="仿宋_GB2312" w:cs="仿宋_GB2312"/>
          <w:b w:val="0"/>
          <w:color w:val="000000"/>
        </w:rPr>
        <w:t>二、收</w:t>
      </w:r>
      <w:r>
        <w:rPr>
          <w:rStyle w:val="26"/>
          <w:rFonts w:hint="eastAsia" w:ascii="仿宋_GB2312" w:hAnsi="仿宋_GB2312" w:eastAsia="仿宋_GB2312" w:cs="仿宋_GB2312"/>
          <w:b w:val="0"/>
          <w:bCs w:val="0"/>
        </w:rPr>
        <w:t>入决算表</w:t>
      </w:r>
      <w:bookmarkEnd w:id="105"/>
      <w:bookmarkEnd w:id="106"/>
      <w:bookmarkEnd w:id="107"/>
    </w:p>
    <w:p>
      <w:pPr>
        <w:pStyle w:val="4"/>
        <w:rPr>
          <w:rFonts w:hint="eastAsia" w:ascii="仿宋_GB2312" w:hAnsi="仿宋_GB2312" w:eastAsia="仿宋_GB2312" w:cs="仿宋_GB2312"/>
          <w:color w:val="000000"/>
        </w:rPr>
      </w:pPr>
      <w:bookmarkStart w:id="108" w:name="_Toc9078"/>
      <w:bookmarkStart w:id="109" w:name="_Toc17658"/>
      <w:bookmarkStart w:id="110" w:name="_Toc15396621"/>
      <w:r>
        <w:rPr>
          <w:rStyle w:val="26"/>
          <w:rFonts w:hint="eastAsia" w:ascii="仿宋_GB2312" w:hAnsi="仿宋_GB2312" w:eastAsia="仿宋_GB2312" w:cs="仿宋_GB2312"/>
          <w:b w:val="0"/>
          <w:bCs w:val="0"/>
        </w:rPr>
        <w:t>三、</w:t>
      </w:r>
      <w:r>
        <w:rPr>
          <w:rFonts w:hint="eastAsia" w:ascii="仿宋_GB2312" w:hAnsi="仿宋_GB2312" w:eastAsia="仿宋_GB2312" w:cs="仿宋_GB2312"/>
          <w:b w:val="0"/>
          <w:color w:val="000000"/>
        </w:rPr>
        <w:t>支</w:t>
      </w:r>
      <w:r>
        <w:rPr>
          <w:rStyle w:val="26"/>
          <w:rFonts w:hint="eastAsia" w:ascii="仿宋_GB2312" w:hAnsi="仿宋_GB2312" w:eastAsia="仿宋_GB2312" w:cs="仿宋_GB2312"/>
          <w:b w:val="0"/>
          <w:bCs w:val="0"/>
        </w:rPr>
        <w:t>出决算表</w:t>
      </w:r>
      <w:bookmarkEnd w:id="108"/>
      <w:bookmarkEnd w:id="109"/>
      <w:bookmarkEnd w:id="110"/>
    </w:p>
    <w:p>
      <w:pPr>
        <w:pStyle w:val="4"/>
        <w:rPr>
          <w:rFonts w:hint="eastAsia" w:ascii="仿宋_GB2312" w:hAnsi="仿宋_GB2312" w:eastAsia="仿宋_GB2312" w:cs="仿宋_GB2312"/>
          <w:b w:val="0"/>
          <w:color w:val="000000"/>
        </w:rPr>
      </w:pPr>
      <w:bookmarkStart w:id="111" w:name="_Toc4932"/>
      <w:bookmarkStart w:id="112" w:name="_Toc44"/>
      <w:bookmarkStart w:id="113" w:name="_Toc15396622"/>
      <w:r>
        <w:rPr>
          <w:rStyle w:val="26"/>
          <w:rFonts w:hint="eastAsia" w:ascii="仿宋_GB2312" w:hAnsi="仿宋_GB2312" w:eastAsia="仿宋_GB2312" w:cs="仿宋_GB2312"/>
          <w:b w:val="0"/>
          <w:bCs w:val="0"/>
        </w:rPr>
        <w:t>四、</w:t>
      </w:r>
      <w:r>
        <w:rPr>
          <w:rFonts w:hint="eastAsia" w:ascii="仿宋_GB2312" w:hAnsi="仿宋_GB2312" w:eastAsia="仿宋_GB2312" w:cs="仿宋_GB2312"/>
          <w:b w:val="0"/>
          <w:color w:val="000000"/>
        </w:rPr>
        <w:t>财</w:t>
      </w:r>
      <w:r>
        <w:rPr>
          <w:rStyle w:val="26"/>
          <w:rFonts w:hint="eastAsia" w:ascii="仿宋_GB2312" w:hAnsi="仿宋_GB2312" w:eastAsia="仿宋_GB2312" w:cs="仿宋_GB2312"/>
          <w:b w:val="0"/>
          <w:bCs w:val="0"/>
        </w:rPr>
        <w:t>政拨款收入支出决算总表</w:t>
      </w:r>
      <w:bookmarkEnd w:id="111"/>
      <w:bookmarkEnd w:id="112"/>
      <w:bookmarkEnd w:id="113"/>
    </w:p>
    <w:p>
      <w:pPr>
        <w:pStyle w:val="4"/>
        <w:rPr>
          <w:rStyle w:val="26"/>
          <w:rFonts w:hint="eastAsia" w:ascii="仿宋_GB2312" w:hAnsi="仿宋_GB2312" w:eastAsia="仿宋_GB2312" w:cs="仿宋_GB2312"/>
          <w:b w:val="0"/>
          <w:bCs w:val="0"/>
        </w:rPr>
      </w:pPr>
      <w:bookmarkStart w:id="114" w:name="_Toc15396623"/>
      <w:bookmarkStart w:id="115" w:name="_Toc15075"/>
      <w:bookmarkStart w:id="116" w:name="_Toc28434"/>
      <w:r>
        <w:rPr>
          <w:rStyle w:val="26"/>
          <w:rFonts w:hint="eastAsia" w:ascii="仿宋_GB2312" w:hAnsi="仿宋_GB2312" w:eastAsia="仿宋_GB2312" w:cs="仿宋_GB2312"/>
          <w:b w:val="0"/>
          <w:bCs w:val="0"/>
        </w:rPr>
        <w:t>五、</w:t>
      </w:r>
      <w:r>
        <w:rPr>
          <w:rFonts w:hint="eastAsia" w:ascii="仿宋_GB2312" w:hAnsi="仿宋_GB2312" w:eastAsia="仿宋_GB2312" w:cs="仿宋_GB2312"/>
          <w:b w:val="0"/>
          <w:color w:val="000000"/>
        </w:rPr>
        <w:t>财</w:t>
      </w:r>
      <w:r>
        <w:rPr>
          <w:rStyle w:val="26"/>
          <w:rFonts w:hint="eastAsia" w:ascii="仿宋_GB2312" w:hAnsi="仿宋_GB2312" w:eastAsia="仿宋_GB2312" w:cs="仿宋_GB2312"/>
          <w:b w:val="0"/>
          <w:bCs w:val="0"/>
        </w:rPr>
        <w:t>政拨款支出决算明细表</w:t>
      </w:r>
      <w:bookmarkEnd w:id="114"/>
      <w:bookmarkEnd w:id="115"/>
      <w:bookmarkEnd w:id="116"/>
      <w:bookmarkStart w:id="117" w:name="_Toc15396624"/>
    </w:p>
    <w:p>
      <w:pPr>
        <w:pStyle w:val="4"/>
        <w:rPr>
          <w:rFonts w:hint="eastAsia" w:ascii="仿宋_GB2312" w:hAnsi="仿宋_GB2312" w:eastAsia="仿宋_GB2312" w:cs="仿宋_GB2312"/>
          <w:color w:val="000000"/>
        </w:rPr>
      </w:pPr>
      <w:bookmarkStart w:id="118" w:name="_Toc3743"/>
      <w:bookmarkStart w:id="119" w:name="_Toc13209"/>
      <w:r>
        <w:rPr>
          <w:rStyle w:val="26"/>
          <w:rFonts w:hint="eastAsia" w:ascii="仿宋_GB2312" w:hAnsi="仿宋_GB2312" w:eastAsia="仿宋_GB2312" w:cs="仿宋_GB2312"/>
          <w:b w:val="0"/>
          <w:bCs w:val="0"/>
        </w:rPr>
        <w:t>六、</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般公共预算财政拨款支出决算表</w:t>
      </w:r>
      <w:bookmarkEnd w:id="117"/>
      <w:bookmarkEnd w:id="118"/>
      <w:bookmarkEnd w:id="119"/>
    </w:p>
    <w:p>
      <w:pPr>
        <w:pStyle w:val="4"/>
        <w:rPr>
          <w:rFonts w:hint="eastAsia" w:ascii="仿宋_GB2312" w:hAnsi="仿宋_GB2312" w:eastAsia="仿宋_GB2312" w:cs="仿宋_GB2312"/>
          <w:color w:val="000000"/>
        </w:rPr>
      </w:pPr>
      <w:bookmarkStart w:id="120" w:name="_Toc15396625"/>
      <w:bookmarkStart w:id="121" w:name="_Toc25748"/>
      <w:bookmarkStart w:id="122" w:name="_Toc6729"/>
      <w:r>
        <w:rPr>
          <w:rStyle w:val="26"/>
          <w:rFonts w:hint="eastAsia" w:ascii="仿宋_GB2312" w:hAnsi="仿宋_GB2312" w:eastAsia="仿宋_GB2312" w:cs="仿宋_GB2312"/>
          <w:b w:val="0"/>
          <w:bCs w:val="0"/>
        </w:rPr>
        <w:t>七、</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般公共预算财政拨款支出决算明细表</w:t>
      </w:r>
      <w:bookmarkEnd w:id="120"/>
      <w:bookmarkEnd w:id="121"/>
      <w:bookmarkEnd w:id="122"/>
    </w:p>
    <w:p>
      <w:pPr>
        <w:pStyle w:val="4"/>
        <w:rPr>
          <w:rFonts w:hint="eastAsia" w:ascii="仿宋_GB2312" w:hAnsi="仿宋_GB2312" w:eastAsia="仿宋_GB2312" w:cs="仿宋_GB2312"/>
          <w:color w:val="000000"/>
        </w:rPr>
      </w:pPr>
      <w:bookmarkStart w:id="123" w:name="_Toc15396626"/>
      <w:bookmarkStart w:id="124" w:name="_Toc7273"/>
      <w:bookmarkStart w:id="125" w:name="_Toc20893"/>
      <w:r>
        <w:rPr>
          <w:rStyle w:val="26"/>
          <w:rFonts w:hint="eastAsia" w:ascii="仿宋_GB2312" w:hAnsi="仿宋_GB2312" w:eastAsia="仿宋_GB2312" w:cs="仿宋_GB2312"/>
          <w:b w:val="0"/>
          <w:bCs w:val="0"/>
        </w:rPr>
        <w:t>八、</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般公共预算财政拨款基本支出决算表</w:t>
      </w:r>
      <w:bookmarkEnd w:id="123"/>
      <w:bookmarkEnd w:id="124"/>
      <w:bookmarkEnd w:id="125"/>
    </w:p>
    <w:p>
      <w:pPr>
        <w:pStyle w:val="4"/>
        <w:rPr>
          <w:rFonts w:hint="eastAsia" w:ascii="仿宋_GB2312" w:hAnsi="仿宋_GB2312" w:eastAsia="仿宋_GB2312" w:cs="仿宋_GB2312"/>
          <w:color w:val="000000"/>
        </w:rPr>
      </w:pPr>
      <w:bookmarkStart w:id="126" w:name="_Toc4329"/>
      <w:bookmarkStart w:id="127" w:name="_Toc15396627"/>
      <w:bookmarkStart w:id="128" w:name="_Toc63"/>
      <w:r>
        <w:rPr>
          <w:rStyle w:val="26"/>
          <w:rFonts w:hint="eastAsia" w:ascii="仿宋_GB2312" w:hAnsi="仿宋_GB2312" w:eastAsia="仿宋_GB2312" w:cs="仿宋_GB2312"/>
          <w:b w:val="0"/>
          <w:bCs w:val="0"/>
        </w:rPr>
        <w:t>九、</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般公共预算财政拨款项目支出决算表</w:t>
      </w:r>
      <w:bookmarkEnd w:id="126"/>
      <w:bookmarkEnd w:id="127"/>
      <w:bookmarkEnd w:id="128"/>
    </w:p>
    <w:p>
      <w:pPr>
        <w:pStyle w:val="4"/>
        <w:rPr>
          <w:rFonts w:hint="eastAsia" w:ascii="仿宋_GB2312" w:hAnsi="仿宋_GB2312" w:eastAsia="仿宋_GB2312" w:cs="仿宋_GB2312"/>
          <w:color w:val="000000"/>
        </w:rPr>
      </w:pPr>
      <w:bookmarkStart w:id="129" w:name="_Toc15396628"/>
      <w:bookmarkStart w:id="130" w:name="_Toc27872"/>
      <w:bookmarkStart w:id="131" w:name="_Toc18794"/>
      <w:r>
        <w:rPr>
          <w:rStyle w:val="26"/>
          <w:rFonts w:hint="eastAsia" w:ascii="仿宋_GB2312" w:hAnsi="仿宋_GB2312" w:eastAsia="仿宋_GB2312" w:cs="仿宋_GB2312"/>
          <w:b w:val="0"/>
          <w:bCs w:val="0"/>
        </w:rPr>
        <w:t>十、</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般公共预算财政拨款“三公”经费支出决算表</w:t>
      </w:r>
      <w:bookmarkEnd w:id="129"/>
      <w:bookmarkEnd w:id="130"/>
      <w:bookmarkEnd w:id="131"/>
    </w:p>
    <w:p>
      <w:pPr>
        <w:pStyle w:val="4"/>
        <w:rPr>
          <w:rFonts w:hint="eastAsia" w:ascii="仿宋_GB2312" w:hAnsi="仿宋_GB2312" w:eastAsia="仿宋_GB2312" w:cs="仿宋_GB2312"/>
          <w:color w:val="000000"/>
        </w:rPr>
      </w:pPr>
      <w:bookmarkStart w:id="132" w:name="_Toc15396629"/>
      <w:bookmarkStart w:id="133" w:name="_Toc28248"/>
      <w:bookmarkStart w:id="134" w:name="_Toc3023"/>
      <w:r>
        <w:rPr>
          <w:rStyle w:val="26"/>
          <w:rFonts w:hint="eastAsia" w:ascii="仿宋_GB2312" w:hAnsi="仿宋_GB2312" w:eastAsia="仿宋_GB2312" w:cs="仿宋_GB2312"/>
          <w:b w:val="0"/>
          <w:bCs w:val="0"/>
        </w:rPr>
        <w:t>十一、</w:t>
      </w:r>
      <w:r>
        <w:rPr>
          <w:rFonts w:hint="eastAsia" w:ascii="仿宋_GB2312" w:hAnsi="仿宋_GB2312" w:eastAsia="仿宋_GB2312" w:cs="仿宋_GB2312"/>
          <w:b w:val="0"/>
          <w:color w:val="000000"/>
        </w:rPr>
        <w:t>政</w:t>
      </w:r>
      <w:r>
        <w:rPr>
          <w:rStyle w:val="26"/>
          <w:rFonts w:hint="eastAsia" w:ascii="仿宋_GB2312" w:hAnsi="仿宋_GB2312" w:eastAsia="仿宋_GB2312" w:cs="仿宋_GB2312"/>
          <w:b w:val="0"/>
          <w:bCs w:val="0"/>
        </w:rPr>
        <w:t>府性基金预算财政拨款收入支出决算表</w:t>
      </w:r>
      <w:bookmarkEnd w:id="132"/>
      <w:bookmarkEnd w:id="133"/>
      <w:bookmarkEnd w:id="134"/>
    </w:p>
    <w:p>
      <w:pPr>
        <w:pStyle w:val="4"/>
        <w:rPr>
          <w:rFonts w:hint="eastAsia" w:ascii="仿宋_GB2312" w:hAnsi="仿宋_GB2312" w:eastAsia="仿宋_GB2312" w:cs="仿宋_GB2312"/>
          <w:color w:val="000000"/>
        </w:rPr>
      </w:pPr>
      <w:bookmarkStart w:id="135" w:name="_Toc14112"/>
      <w:bookmarkStart w:id="136" w:name="_Toc15396630"/>
      <w:bookmarkStart w:id="137" w:name="_Toc16652"/>
      <w:r>
        <w:rPr>
          <w:rStyle w:val="26"/>
          <w:rFonts w:hint="eastAsia" w:ascii="仿宋_GB2312" w:hAnsi="仿宋_GB2312" w:eastAsia="仿宋_GB2312" w:cs="仿宋_GB2312"/>
          <w:b w:val="0"/>
          <w:bCs w:val="0"/>
        </w:rPr>
        <w:t>十二、</w:t>
      </w:r>
      <w:r>
        <w:rPr>
          <w:rFonts w:hint="eastAsia" w:ascii="仿宋_GB2312" w:hAnsi="仿宋_GB2312" w:eastAsia="仿宋_GB2312" w:cs="仿宋_GB2312"/>
          <w:b w:val="0"/>
          <w:color w:val="000000"/>
        </w:rPr>
        <w:t>政</w:t>
      </w:r>
      <w:r>
        <w:rPr>
          <w:rStyle w:val="26"/>
          <w:rFonts w:hint="eastAsia" w:ascii="仿宋_GB2312" w:hAnsi="仿宋_GB2312" w:eastAsia="仿宋_GB2312" w:cs="仿宋_GB2312"/>
          <w:b w:val="0"/>
          <w:bCs w:val="0"/>
        </w:rPr>
        <w:t>府性基金预算财政拨款“三公”经费支出决算表</w:t>
      </w:r>
      <w:bookmarkEnd w:id="135"/>
      <w:bookmarkEnd w:id="136"/>
      <w:bookmarkEnd w:id="137"/>
    </w:p>
    <w:p>
      <w:pPr>
        <w:pStyle w:val="4"/>
        <w:rPr>
          <w:rStyle w:val="26"/>
          <w:rFonts w:hint="eastAsia" w:ascii="仿宋_GB2312" w:hAnsi="仿宋_GB2312" w:eastAsia="仿宋_GB2312" w:cs="仿宋_GB2312"/>
          <w:b w:val="0"/>
          <w:bCs w:val="0"/>
        </w:rPr>
      </w:pPr>
      <w:bookmarkStart w:id="138" w:name="_Toc15884"/>
      <w:bookmarkStart w:id="139" w:name="_Toc14621"/>
      <w:bookmarkStart w:id="140" w:name="_Toc15396631"/>
      <w:r>
        <w:rPr>
          <w:rStyle w:val="26"/>
          <w:rFonts w:hint="eastAsia" w:ascii="仿宋_GB2312" w:hAnsi="仿宋_GB2312" w:eastAsia="仿宋_GB2312" w:cs="仿宋_GB2312"/>
          <w:b w:val="0"/>
          <w:bCs w:val="0"/>
        </w:rPr>
        <w:t>十三、</w:t>
      </w:r>
      <w:r>
        <w:rPr>
          <w:rFonts w:hint="eastAsia" w:ascii="仿宋_GB2312" w:hAnsi="仿宋_GB2312" w:eastAsia="仿宋_GB2312" w:cs="仿宋_GB2312"/>
          <w:b w:val="0"/>
          <w:color w:val="000000"/>
        </w:rPr>
        <w:t>国</w:t>
      </w:r>
      <w:r>
        <w:rPr>
          <w:rStyle w:val="26"/>
          <w:rFonts w:hint="eastAsia" w:ascii="仿宋_GB2312" w:hAnsi="仿宋_GB2312" w:eastAsia="仿宋_GB2312" w:cs="仿宋_GB2312"/>
          <w:b w:val="0"/>
          <w:bCs w:val="0"/>
        </w:rPr>
        <w:t>有资本经营预算</w:t>
      </w:r>
      <w:r>
        <w:rPr>
          <w:rStyle w:val="26"/>
          <w:rFonts w:hint="eastAsia" w:ascii="仿宋_GB2312" w:hAnsi="仿宋_GB2312" w:eastAsia="仿宋_GB2312" w:cs="仿宋_GB2312"/>
          <w:b w:val="0"/>
          <w:bCs w:val="0"/>
          <w:lang w:eastAsia="zh-CN"/>
        </w:rPr>
        <w:t>财政拨款收入</w:t>
      </w:r>
      <w:r>
        <w:rPr>
          <w:rStyle w:val="26"/>
          <w:rFonts w:hint="eastAsia" w:ascii="仿宋_GB2312" w:hAnsi="仿宋_GB2312" w:eastAsia="仿宋_GB2312" w:cs="仿宋_GB2312"/>
          <w:b w:val="0"/>
          <w:bCs w:val="0"/>
        </w:rPr>
        <w:t>支出决算表</w:t>
      </w:r>
      <w:bookmarkEnd w:id="138"/>
      <w:bookmarkEnd w:id="139"/>
      <w:bookmarkEnd w:id="140"/>
    </w:p>
    <w:p>
      <w:pPr>
        <w:rPr>
          <w:rFonts w:hint="eastAsia" w:ascii="仿宋_GB2312" w:hAnsi="仿宋_GB2312" w:eastAsia="仿宋_GB2312" w:cs="仿宋_GB2312"/>
          <w:lang w:eastAsia="zh-CN"/>
        </w:rPr>
      </w:pPr>
      <w:bookmarkStart w:id="141" w:name="_Toc21768"/>
      <w:bookmarkStart w:id="142" w:name="_Toc14437"/>
      <w:r>
        <w:rPr>
          <w:rStyle w:val="26"/>
          <w:rFonts w:hint="eastAsia" w:ascii="仿宋_GB2312" w:hAnsi="仿宋_GB2312" w:eastAsia="仿宋_GB2312" w:cs="仿宋_GB2312"/>
          <w:b w:val="0"/>
          <w:bCs w:val="0"/>
          <w:lang w:eastAsia="zh-CN"/>
        </w:rPr>
        <w:t>十四、国有资本经营预算财政拨款支出决算表</w:t>
      </w:r>
      <w:bookmarkEnd w:id="141"/>
      <w:bookmarkEnd w:id="14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AFA0A"/>
    <w:multiLevelType w:val="singleLevel"/>
    <w:tmpl w:val="ACEAFA0A"/>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D3A6364"/>
    <w:rsid w:val="10C055FF"/>
    <w:rsid w:val="11373BD7"/>
    <w:rsid w:val="118107EC"/>
    <w:rsid w:val="16073BB1"/>
    <w:rsid w:val="16BB723D"/>
    <w:rsid w:val="18015F3F"/>
    <w:rsid w:val="19F203C5"/>
    <w:rsid w:val="1A384B6E"/>
    <w:rsid w:val="1BE8440E"/>
    <w:rsid w:val="1D155CEE"/>
    <w:rsid w:val="20F57F95"/>
    <w:rsid w:val="240371BF"/>
    <w:rsid w:val="29FD04D3"/>
    <w:rsid w:val="2ABE7A3E"/>
    <w:rsid w:val="2C1531AC"/>
    <w:rsid w:val="319F7F4E"/>
    <w:rsid w:val="333C005D"/>
    <w:rsid w:val="3B6F01E9"/>
    <w:rsid w:val="3C0C0783"/>
    <w:rsid w:val="42E360EB"/>
    <w:rsid w:val="47EB27DD"/>
    <w:rsid w:val="48C72172"/>
    <w:rsid w:val="496F39ED"/>
    <w:rsid w:val="4BE068DB"/>
    <w:rsid w:val="4BF6002B"/>
    <w:rsid w:val="4ECE2238"/>
    <w:rsid w:val="5E3521A6"/>
    <w:rsid w:val="613526D2"/>
    <w:rsid w:val="64CA39A1"/>
    <w:rsid w:val="6C4A05C8"/>
    <w:rsid w:val="72734D90"/>
    <w:rsid w:val="755F36B0"/>
    <w:rsid w:val="78A44F9F"/>
    <w:rsid w:val="79A70C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figures"/>
    <w:basedOn w:val="1"/>
    <w:next w:val="1"/>
    <w:qFormat/>
    <w:uiPriority w:val="0"/>
    <w:pPr>
      <w:jc w:val="left"/>
    </w:pPr>
    <w:rPr>
      <w:rFonts w:ascii="Calibri" w:hAnsi="Calibri"/>
      <w:kern w:val="0"/>
      <w:szCs w:val="21"/>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8"/>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uiPriority w:val="0"/>
    <w:pPr>
      <w:ind w:leftChars="0"/>
    </w:pPr>
    <w:rPr>
      <w:rFonts w:ascii="Times New Roman" w:hAnsi="Times New Roman" w:eastAsia="宋体" w:cs="Times New Roman"/>
      <w:sz w:val="20"/>
      <w:szCs w:val="20"/>
    </w:rPr>
  </w:style>
  <w:style w:type="paragraph" w:customStyle="1" w:styleId="32">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r>
              <a:rPr lang="en-US" altLang="zh-CN"/>
              <a:t>       </a:t>
            </a:r>
            <a:r>
              <a:rPr altLang="en-US"/>
              <a:t>                      </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3">
                <a:lumMod val="60000"/>
                <a:lumOff val="40000"/>
              </a:schemeClr>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Sheet1!$B$2:$B$3</c:f>
              <c:numCache>
                <c:formatCode>General</c:formatCode>
                <c:ptCount val="2"/>
                <c:pt idx="0">
                  <c:v>307.51</c:v>
                </c:pt>
              </c:numCache>
            </c:numRef>
          </c:val>
        </c:ser>
        <c:ser>
          <c:idx val="1"/>
          <c:order val="1"/>
          <c:tx>
            <c:strRef>
              <c:f>Sheet1!$C$1</c:f>
              <c:strCache>
                <c:ptCount val="1"/>
                <c:pt idx="0">
                  <c:v>2020年度</c:v>
                </c:pt>
              </c:strCache>
            </c:strRef>
          </c:tx>
          <c:spPr>
            <a:solidFill>
              <a:schemeClr val="accent4">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Sheet1!$C$2:$C$3</c:f>
              <c:numCache>
                <c:formatCode>General</c:formatCode>
                <c:ptCount val="2"/>
                <c:pt idx="0">
                  <c:v>281.01</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Sheet1!$A$2:$A$3</c:f>
              <c:strCache>
                <c:ptCount val="2"/>
                <c:pt idx="0">
                  <c:v>收支总计</c:v>
                </c:pt>
              </c:strCache>
            </c:strRef>
          </c:cat>
          <c:val>
            <c:numRef>
              <c:f>Sheet1!$D$2:$D$3</c:f>
              <c:numCache>
                <c:formatCode>General</c:formatCode>
                <c:ptCount val="2"/>
              </c:numCache>
            </c:numRef>
          </c:val>
        </c:ser>
        <c:dLbls>
          <c:showLegendKey val="0"/>
          <c:showVal val="0"/>
          <c:showCatName val="0"/>
          <c:showSerName val="0"/>
          <c:showPercent val="0"/>
          <c:showBubbleSize val="0"/>
        </c:dLbls>
        <c:gapWidth val="150"/>
        <c:overlap val="0"/>
        <c:axId val="993432829"/>
        <c:axId val="265725943"/>
      </c:barChart>
      <c:catAx>
        <c:axId val="993432829"/>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725943"/>
        <c:crosses val="autoZero"/>
        <c:auto val="1"/>
        <c:lblAlgn val="ctr"/>
        <c:lblOffset val="100"/>
        <c:noMultiLvlLbl val="0"/>
      </c:catAx>
      <c:valAx>
        <c:axId val="265725943"/>
        <c:scaling>
          <c:orientation val="minMax"/>
          <c:max val="40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432829"/>
        <c:crosses val="autoZero"/>
        <c:crossBetween val="between"/>
        <c:majorUnit val="40"/>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manualLayout>
          <c:xMode val="edge"/>
          <c:yMode val="edge"/>
          <c:x val="0.219285553226482"/>
          <c:y val="0.0472575626950179"/>
        </c:manualLayout>
      </c:layout>
      <c:overlay val="0"/>
      <c:spPr>
        <a:noFill/>
        <a:ln>
          <a:noFill/>
        </a:ln>
        <a:effectLst/>
      </c:spPr>
    </c:title>
    <c:autoTitleDeleted val="0"/>
    <c:plotArea>
      <c:layout/>
      <c:pieChart>
        <c:varyColors val="1"/>
        <c:ser>
          <c:idx val="0"/>
          <c:order val="0"/>
          <c:tx>
            <c:strRef>
              <c:f>Sheet1!$B$1</c:f>
              <c:strCache>
                <c:ptCount val="1"/>
                <c:pt idx="0">
                  <c:v>本年收入</c:v>
                </c:pt>
              </c:strCache>
            </c:strRef>
          </c:tx>
          <c:spPr>
            <a:solidFill>
              <a:schemeClr val="accent4">
                <a:lumMod val="60000"/>
                <a:lumOff val="40000"/>
              </a:schemeClr>
            </a:solidFill>
          </c:spPr>
          <c:explosion val="0"/>
          <c:dPt>
            <c:idx val="0"/>
            <c:bubble3D val="0"/>
            <c:spPr>
              <a:solidFill>
                <a:schemeClr val="accent4">
                  <a:lumMod val="60000"/>
                  <a:lumOff val="40000"/>
                </a:schemeClr>
              </a:solidFill>
              <a:ln w="19050">
                <a:solidFill>
                  <a:schemeClr val="lt1"/>
                </a:solidFill>
              </a:ln>
              <a:effectLst/>
            </c:spPr>
          </c:dPt>
          <c:dPt>
            <c:idx val="1"/>
            <c:bubble3D val="0"/>
            <c:spPr>
              <a:solidFill>
                <a:schemeClr val="accent3">
                  <a:lumMod val="60000"/>
                  <a:lumOff val="40000"/>
                </a:schemeClr>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c:v>
                </c:pt>
                <c:pt idx="1">
                  <c:v>其他收入</c:v>
                </c:pt>
              </c:strCache>
            </c:strRef>
          </c:cat>
          <c:val>
            <c:numRef>
              <c:f>Sheet1!$B$2:$B$3</c:f>
              <c:numCache>
                <c:formatCode>General</c:formatCode>
                <c:ptCount val="2"/>
                <c:pt idx="0">
                  <c:v>278.67</c:v>
                </c:pt>
                <c:pt idx="1">
                  <c:v>0.09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0" normalizeH="0" baseline="0">
                <a:solidFill>
                  <a:schemeClr val="tx1"/>
                </a:solidFill>
                <a:uFill>
                  <a:solidFill>
                    <a:schemeClr val="tx1"/>
                  </a:solidFill>
                </a:uFill>
                <a:latin typeface="+mn-lt"/>
                <a:ea typeface="+mn-ea"/>
                <a:cs typeface="+mn-cs"/>
              </a:defRPr>
            </a:pPr>
            <a:r>
              <a:rPr u="none" strike="noStrike" cap="none" normalizeH="0">
                <a:solidFill>
                  <a:schemeClr val="tx1"/>
                </a:solidFill>
                <a:uFill>
                  <a:solidFill>
                    <a:schemeClr val="tx1"/>
                  </a:solidFill>
                </a:uFill>
              </a:rPr>
              <a:t>图三：支出决算结构图</a:t>
            </a:r>
            <a:endParaRPr u="none" strike="noStrike" cap="none" normalizeH="0">
              <a:solidFill>
                <a:schemeClr val="tx1"/>
              </a:solidFill>
              <a:uFill>
                <a:solidFill>
                  <a:schemeClr val="tx1"/>
                </a:solidFill>
              </a:uFill>
            </a:endParaRPr>
          </a:p>
        </c:rich>
      </c:tx>
      <c:layout/>
      <c:overlay val="0"/>
      <c:spPr>
        <a:noFill/>
        <a:ln>
          <a:noFill/>
        </a:ln>
        <a:effectLst/>
      </c:sp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3">
                  <a:lumMod val="60000"/>
                  <a:lumOff val="40000"/>
                </a:schemeClr>
              </a:solidFill>
              <a:ln w="19050">
                <a:solidFill>
                  <a:schemeClr val="lt1"/>
                </a:solidFill>
              </a:ln>
              <a:effectLst/>
            </c:spPr>
          </c:dPt>
          <c:dPt>
            <c:idx val="1"/>
            <c:bubble3D val="0"/>
            <c:explosion val="2"/>
            <c:spPr>
              <a:solidFill>
                <a:schemeClr val="accent4">
                  <a:lumMod val="40000"/>
                  <a:lumOff val="60000"/>
                </a:schemeClr>
              </a:solidFill>
              <a:ln w="19050">
                <a:solidFill>
                  <a:schemeClr val="lt1"/>
                </a:solidFill>
              </a:ln>
              <a:effectLst/>
            </c:spPr>
          </c:dPt>
          <c:dLbls>
            <c:dLbl>
              <c:idx val="0"/>
              <c:layout>
                <c:manualLayout>
                  <c:x val="-0.1171929287598"/>
                  <c:y val="-0.11431214961674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2314875411391"/>
                  <c:y val="0.12942662445894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57.18</c:v>
                </c:pt>
                <c:pt idx="1">
                  <c:v>42.82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u="none" strike="noStrike" kern="1200" cap="none" spc="0" normalizeH="0">
          <a:solidFill>
            <a:schemeClr val="tx1"/>
          </a:solidFill>
          <a:uFill>
            <a:solidFill>
              <a:schemeClr val="tx1"/>
            </a:solidFill>
          </a:u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图四：财政拨款收、支总计变动情况</a:t>
            </a:r>
          </a:p>
        </c:rich>
      </c:tx>
      <c:layout>
        <c:manualLayout>
          <c:xMode val="edge"/>
          <c:yMode val="edge"/>
          <c:x val="0.0378702055348762"/>
          <c:y val="0.0236877971527677"/>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3">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财政拨款收、支总计</c:v>
                </c:pt>
              </c:strCache>
            </c:strRef>
          </c:cat>
          <c:val>
            <c:numRef>
              <c:f>Sheet1!$B$2:$B$3</c:f>
              <c:numCache>
                <c:formatCode>General</c:formatCode>
                <c:ptCount val="2"/>
                <c:pt idx="0">
                  <c:v>274.33</c:v>
                </c:pt>
              </c:numCache>
            </c:numRef>
          </c:val>
        </c:ser>
        <c:ser>
          <c:idx val="1"/>
          <c:order val="1"/>
          <c:tx>
            <c:strRef>
              <c:f>Sheet1!$C$1</c:f>
              <c:strCache>
                <c:ptCount val="1"/>
                <c:pt idx="0">
                  <c:v>2020年度</c:v>
                </c:pt>
              </c:strCache>
            </c:strRef>
          </c:tx>
          <c:spPr>
            <a:solidFill>
              <a:schemeClr val="accent4">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财政拨款收、支总计</c:v>
                </c:pt>
              </c:strCache>
            </c:strRef>
          </c:cat>
          <c:val>
            <c:numRef>
              <c:f>Sheet1!$C$2:$C$3</c:f>
              <c:numCache>
                <c:formatCode>General</c:formatCode>
                <c:ptCount val="2"/>
                <c:pt idx="0">
                  <c:v>278.67</c:v>
                </c:pt>
              </c:numCache>
            </c:numRef>
          </c:val>
        </c:ser>
        <c:dLbls>
          <c:showLegendKey val="0"/>
          <c:showVal val="1"/>
          <c:showCatName val="0"/>
          <c:showSerName val="0"/>
          <c:showPercent val="0"/>
          <c:showBubbleSize val="0"/>
        </c:dLbls>
        <c:gapWidth val="150"/>
        <c:overlap val="0"/>
        <c:axId val="869982217"/>
        <c:axId val="480266717"/>
      </c:barChart>
      <c:catAx>
        <c:axId val="86998221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266717"/>
        <c:crosses val="autoZero"/>
        <c:auto val="1"/>
        <c:lblAlgn val="ctr"/>
        <c:lblOffset val="100"/>
        <c:noMultiLvlLbl val="0"/>
      </c:catAx>
      <c:valAx>
        <c:axId val="480266717"/>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982217"/>
        <c:crosses val="autoZero"/>
        <c:crossBetween val="between"/>
        <c:majorUnit val="10"/>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图五：一般公共预算财政拨款支出决算变动情况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3">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274.33</c:v>
                </c:pt>
              </c:numCache>
            </c:numRef>
          </c:val>
        </c:ser>
        <c:ser>
          <c:idx val="1"/>
          <c:order val="1"/>
          <c:tx>
            <c:strRef>
              <c:f>Sheet1!$C$1</c:f>
              <c:strCache>
                <c:ptCount val="1"/>
                <c:pt idx="0">
                  <c:v>2020年度</c:v>
                </c:pt>
              </c:strCache>
            </c:strRef>
          </c:tx>
          <c:spPr>
            <a:solidFill>
              <a:schemeClr val="accent4">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278.67</c:v>
                </c:pt>
              </c:numCache>
            </c:numRef>
          </c:val>
        </c:ser>
        <c:dLbls>
          <c:showLegendKey val="0"/>
          <c:showVal val="1"/>
          <c:showCatName val="0"/>
          <c:showSerName val="0"/>
          <c:showPercent val="0"/>
          <c:showBubbleSize val="0"/>
        </c:dLbls>
        <c:gapWidth val="219"/>
        <c:overlap val="-27"/>
        <c:axId val="662969087"/>
        <c:axId val="9740102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629690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01024"/>
        <c:crosses val="autoZero"/>
        <c:auto val="1"/>
        <c:lblAlgn val="ctr"/>
        <c:lblOffset val="100"/>
        <c:noMultiLvlLbl val="0"/>
      </c:catAx>
      <c:valAx>
        <c:axId val="97401024"/>
        <c:scaling>
          <c:orientation val="minMax"/>
          <c:max val="30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969087"/>
        <c:crosses val="autoZero"/>
        <c:crossBetween val="between"/>
        <c:majorUnit val="1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图六：一般公共预算财政拨款支出决算结构</a:t>
            </a:r>
          </a:p>
        </c:rich>
      </c:tx>
      <c:layout>
        <c:manualLayout>
          <c:xMode val="edge"/>
          <c:yMode val="edge"/>
          <c:x val="0.168669527896996"/>
          <c:y val="0.0342757067800851"/>
        </c:manualLayout>
      </c:layout>
      <c:overlay val="0"/>
      <c:spPr>
        <a:noFill/>
        <a:ln>
          <a:noFill/>
        </a:ln>
        <a:effectLst/>
      </c:spPr>
    </c:title>
    <c:autoTitleDeleted val="0"/>
    <c:plotArea>
      <c:layout>
        <c:manualLayout>
          <c:layoutTarget val="inner"/>
          <c:xMode val="edge"/>
          <c:yMode val="edge"/>
          <c:x val="0.190006131207848"/>
          <c:y val="0.162097476066144"/>
          <c:w val="0.44316370324954"/>
          <c:h val="0.786335944299391"/>
        </c:manualLayout>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5">
                  <a:lumMod val="40000"/>
                  <a:lumOff val="60000"/>
                </a:schemeClr>
              </a:solidFill>
              <a:ln w="19050">
                <a:solidFill>
                  <a:schemeClr val="lt1"/>
                </a:solidFill>
              </a:ln>
              <a:effectLst/>
            </c:spPr>
          </c:dPt>
          <c:dPt>
            <c:idx val="1"/>
            <c:bubble3D val="0"/>
            <c:spPr>
              <a:solidFill>
                <a:schemeClr val="accent2">
                  <a:lumMod val="40000"/>
                  <a:lumOff val="60000"/>
                </a:scheme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医疗卫生支出</c:v>
                </c:pt>
                <c:pt idx="3">
                  <c:v>住房保障支出</c:v>
                </c:pt>
              </c:strCache>
            </c:strRef>
          </c:cat>
          <c:val>
            <c:numRef>
              <c:f>Sheet1!$B$2:$B$5</c:f>
              <c:numCache>
                <c:formatCode>General</c:formatCode>
                <c:ptCount val="4"/>
                <c:pt idx="0">
                  <c:v>223.03</c:v>
                </c:pt>
                <c:pt idx="1">
                  <c:v>14.33</c:v>
                </c:pt>
                <c:pt idx="2">
                  <c:v>8.31</c:v>
                </c:pt>
                <c:pt idx="3">
                  <c:v>33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fbe7945-02a4-4afc-9b03-f69c1c9ef3f7}"/>
        <w:style w:val=""/>
        <w:category>
          <w:name w:val="常规"/>
          <w:gallery w:val="placeholder"/>
        </w:category>
        <w:types>
          <w:type w:val="bbPlcHdr"/>
        </w:types>
        <w:behaviors>
          <w:behavior w:val="content"/>
        </w:behaviors>
        <w:description w:val=""/>
        <w:guid w:val="{5fbe7945-02a4-4afc-9b03-f69c1c9ef3f7}"/>
      </w:docPartPr>
      <w:docPartBody>
        <w:p>
          <w:r>
            <w:rPr>
              <w:color w:val="808080"/>
            </w:rPr>
            <w:t>单击此处输入文字。</w:t>
          </w:r>
        </w:p>
      </w:docPartBody>
    </w:docPart>
    <w:docPart>
      <w:docPartPr>
        <w:name w:val="{4747ac12-6bc7-4850-bcd0-9d129f1b2a8f}"/>
        <w:style w:val=""/>
        <w:category>
          <w:name w:val="常规"/>
          <w:gallery w:val="placeholder"/>
        </w:category>
        <w:types>
          <w:type w:val="bbPlcHdr"/>
        </w:types>
        <w:behaviors>
          <w:behavior w:val="content"/>
        </w:behaviors>
        <w:description w:val=""/>
        <w:guid w:val="{4747ac12-6bc7-4850-bcd0-9d129f1b2a8f}"/>
      </w:docPartPr>
      <w:docPartBody>
        <w:p>
          <w:r>
            <w:rPr>
              <w:color w:val="808080"/>
            </w:rPr>
            <w:t>单击此处输入文字。</w:t>
          </w:r>
        </w:p>
      </w:docPartBody>
    </w:docPart>
    <w:docPart>
      <w:docPartPr>
        <w:name w:val="{4804a689-a61a-4198-8222-1837c96f656e}"/>
        <w:style w:val=""/>
        <w:category>
          <w:name w:val="常规"/>
          <w:gallery w:val="placeholder"/>
        </w:category>
        <w:types>
          <w:type w:val="bbPlcHdr"/>
        </w:types>
        <w:behaviors>
          <w:behavior w:val="content"/>
        </w:behaviors>
        <w:description w:val=""/>
        <w:guid w:val="{4804a689-a61a-4198-8222-1837c96f656e}"/>
      </w:docPartPr>
      <w:docPartBody>
        <w:p>
          <w:r>
            <w:rPr>
              <w:color w:val="808080"/>
            </w:rPr>
            <w:t>单击此处输入文字。</w:t>
          </w:r>
        </w:p>
      </w:docPartBody>
    </w:docPart>
    <w:docPart>
      <w:docPartPr>
        <w:name w:val="{5953c8e1-f1b8-44e3-803e-bc1ef5ba53ab}"/>
        <w:style w:val=""/>
        <w:category>
          <w:name w:val="常规"/>
          <w:gallery w:val="placeholder"/>
        </w:category>
        <w:types>
          <w:type w:val="bbPlcHdr"/>
        </w:types>
        <w:behaviors>
          <w:behavior w:val="content"/>
        </w:behaviors>
        <w:description w:val=""/>
        <w:guid w:val="{5953c8e1-f1b8-44e3-803e-bc1ef5ba53ab}"/>
      </w:docPartPr>
      <w:docPartBody>
        <w:p>
          <w:r>
            <w:rPr>
              <w:color w:val="808080"/>
            </w:rPr>
            <w:t>单击此处输入文字。</w:t>
          </w:r>
        </w:p>
      </w:docPartBody>
    </w:docPart>
    <w:docPart>
      <w:docPartPr>
        <w:name w:val="{cc65de0f-12fb-4a59-8d73-a3aba956da93}"/>
        <w:style w:val=""/>
        <w:category>
          <w:name w:val="常规"/>
          <w:gallery w:val="placeholder"/>
        </w:category>
        <w:types>
          <w:type w:val="bbPlcHdr"/>
        </w:types>
        <w:behaviors>
          <w:behavior w:val="content"/>
        </w:behaviors>
        <w:description w:val=""/>
        <w:guid w:val="{cc65de0f-12fb-4a59-8d73-a3aba956da93}"/>
      </w:docPartPr>
      <w:docPartBody>
        <w:p>
          <w:r>
            <w:rPr>
              <w:color w:val="808080"/>
            </w:rPr>
            <w:t>单击此处输入文字。</w:t>
          </w:r>
        </w:p>
      </w:docPartBody>
    </w:docPart>
    <w:docPart>
      <w:docPartPr>
        <w:name w:val="{64ea0b77-01a1-480a-8972-8fcc96311de4}"/>
        <w:style w:val=""/>
        <w:category>
          <w:name w:val="常规"/>
          <w:gallery w:val="placeholder"/>
        </w:category>
        <w:types>
          <w:type w:val="bbPlcHdr"/>
        </w:types>
        <w:behaviors>
          <w:behavior w:val="content"/>
        </w:behaviors>
        <w:description w:val=""/>
        <w:guid w:val="{64ea0b77-01a1-480a-8972-8fcc96311de4}"/>
      </w:docPartPr>
      <w:docPartBody>
        <w:p>
          <w:r>
            <w:rPr>
              <w:color w:val="808080"/>
            </w:rPr>
            <w:t>单击此处输入文字。</w:t>
          </w:r>
        </w:p>
      </w:docPartBody>
    </w:docPart>
    <w:docPart>
      <w:docPartPr>
        <w:name w:val="{12f68e46-def9-4cd0-8961-adb3082734f9}"/>
        <w:style w:val=""/>
        <w:category>
          <w:name w:val="常规"/>
          <w:gallery w:val="placeholder"/>
        </w:category>
        <w:types>
          <w:type w:val="bbPlcHdr"/>
        </w:types>
        <w:behaviors>
          <w:behavior w:val="content"/>
        </w:behaviors>
        <w:description w:val=""/>
        <w:guid w:val="{12f68e46-def9-4cd0-8961-adb3082734f9}"/>
      </w:docPartPr>
      <w:docPartBody>
        <w:p>
          <w:r>
            <w:rPr>
              <w:color w:val="808080"/>
            </w:rPr>
            <w:t>单击此处输入文字。</w:t>
          </w:r>
        </w:p>
      </w:docPartBody>
    </w:docPart>
    <w:docPart>
      <w:docPartPr>
        <w:name w:val="{e466c11a-5008-4331-b17b-1a2ef8e2bb4e}"/>
        <w:style w:val=""/>
        <w:category>
          <w:name w:val="常规"/>
          <w:gallery w:val="placeholder"/>
        </w:category>
        <w:types>
          <w:type w:val="bbPlcHdr"/>
        </w:types>
        <w:behaviors>
          <w:behavior w:val="content"/>
        </w:behaviors>
        <w:description w:val=""/>
        <w:guid w:val="{e466c11a-5008-4331-b17b-1a2ef8e2bb4e}"/>
      </w:docPartPr>
      <w:docPartBody>
        <w:p>
          <w:r>
            <w:rPr>
              <w:color w:val="808080"/>
            </w:rPr>
            <w:t>单击此处输入文字。</w:t>
          </w:r>
        </w:p>
      </w:docPartBody>
    </w:docPart>
    <w:docPart>
      <w:docPartPr>
        <w:name w:val="{128893f9-dc5b-4d1e-9b18-c864c54978f8}"/>
        <w:style w:val=""/>
        <w:category>
          <w:name w:val="常规"/>
          <w:gallery w:val="placeholder"/>
        </w:category>
        <w:types>
          <w:type w:val="bbPlcHdr"/>
        </w:types>
        <w:behaviors>
          <w:behavior w:val="content"/>
        </w:behaviors>
        <w:description w:val=""/>
        <w:guid w:val="{128893f9-dc5b-4d1e-9b18-c864c54978f8}"/>
      </w:docPartPr>
      <w:docPartBody>
        <w:p>
          <w:r>
            <w:rPr>
              <w:color w:val="808080"/>
            </w:rPr>
            <w:t>单击此处输入文字。</w:t>
          </w:r>
        </w:p>
      </w:docPartBody>
    </w:docPart>
    <w:docPart>
      <w:docPartPr>
        <w:name w:val="{39bf75df-d8e8-405a-becb-f731b0d10e02}"/>
        <w:style w:val=""/>
        <w:category>
          <w:name w:val="常规"/>
          <w:gallery w:val="placeholder"/>
        </w:category>
        <w:types>
          <w:type w:val="bbPlcHdr"/>
        </w:types>
        <w:behaviors>
          <w:behavior w:val="content"/>
        </w:behaviors>
        <w:description w:val=""/>
        <w:guid w:val="{39bf75df-d8e8-405a-becb-f731b0d10e02}"/>
      </w:docPartPr>
      <w:docPartBody>
        <w:p>
          <w:r>
            <w:rPr>
              <w:color w:val="808080"/>
            </w:rPr>
            <w:t>单击此处输入文字。</w:t>
          </w:r>
        </w:p>
      </w:docPartBody>
    </w:docPart>
    <w:docPart>
      <w:docPartPr>
        <w:name w:val="{71372029-dfac-4ddd-837a-844547f927e9}"/>
        <w:style w:val=""/>
        <w:category>
          <w:name w:val="常规"/>
          <w:gallery w:val="placeholder"/>
        </w:category>
        <w:types>
          <w:type w:val="bbPlcHdr"/>
        </w:types>
        <w:behaviors>
          <w:behavior w:val="content"/>
        </w:behaviors>
        <w:description w:val=""/>
        <w:guid w:val="{71372029-dfac-4ddd-837a-844547f927e9}"/>
      </w:docPartPr>
      <w:docPartBody>
        <w:p>
          <w:r>
            <w:rPr>
              <w:color w:val="808080"/>
            </w:rPr>
            <w:t>单击此处输入文字。</w:t>
          </w:r>
        </w:p>
      </w:docPartBody>
    </w:docPart>
    <w:docPart>
      <w:docPartPr>
        <w:name w:val="{39a6a35b-4738-4c38-a32c-f8c02aa21584}"/>
        <w:style w:val=""/>
        <w:category>
          <w:name w:val="常规"/>
          <w:gallery w:val="placeholder"/>
        </w:category>
        <w:types>
          <w:type w:val="bbPlcHdr"/>
        </w:types>
        <w:behaviors>
          <w:behavior w:val="content"/>
        </w:behaviors>
        <w:description w:val=""/>
        <w:guid w:val="{39a6a35b-4738-4c38-a32c-f8c02aa21584}"/>
      </w:docPartPr>
      <w:docPartBody>
        <w:p>
          <w:r>
            <w:rPr>
              <w:color w:val="808080"/>
            </w:rPr>
            <w:t>单击此处输入文字。</w:t>
          </w:r>
        </w:p>
      </w:docPartBody>
    </w:docPart>
    <w:docPart>
      <w:docPartPr>
        <w:name w:val="{82ec7189-81fe-46be-9845-120a45d0dd6a}"/>
        <w:style w:val=""/>
        <w:category>
          <w:name w:val="常规"/>
          <w:gallery w:val="placeholder"/>
        </w:category>
        <w:types>
          <w:type w:val="bbPlcHdr"/>
        </w:types>
        <w:behaviors>
          <w:behavior w:val="content"/>
        </w:behaviors>
        <w:description w:val=""/>
        <w:guid w:val="{82ec7189-81fe-46be-9845-120a45d0dd6a}"/>
      </w:docPartPr>
      <w:docPartBody>
        <w:p>
          <w:r>
            <w:rPr>
              <w:color w:val="808080"/>
            </w:rPr>
            <w:t>单击此处输入文字。</w:t>
          </w:r>
        </w:p>
      </w:docPartBody>
    </w:docPart>
    <w:docPart>
      <w:docPartPr>
        <w:name w:val="{2326c559-18a7-4ac8-8154-57adf4736b4f}"/>
        <w:style w:val=""/>
        <w:category>
          <w:name w:val="常规"/>
          <w:gallery w:val="placeholder"/>
        </w:category>
        <w:types>
          <w:type w:val="bbPlcHdr"/>
        </w:types>
        <w:behaviors>
          <w:behavior w:val="content"/>
        </w:behaviors>
        <w:description w:val=""/>
        <w:guid w:val="{2326c559-18a7-4ac8-8154-57adf4736b4f}"/>
      </w:docPartPr>
      <w:docPartBody>
        <w:p>
          <w:r>
            <w:rPr>
              <w:color w:val="808080"/>
            </w:rPr>
            <w:t>单击此处输入文字。</w:t>
          </w:r>
        </w:p>
      </w:docPartBody>
    </w:docPart>
    <w:docPart>
      <w:docPartPr>
        <w:name w:val="{3dffa96b-e1f6-40bb-8ada-895d5b8d187c}"/>
        <w:style w:val=""/>
        <w:category>
          <w:name w:val="常规"/>
          <w:gallery w:val="placeholder"/>
        </w:category>
        <w:types>
          <w:type w:val="bbPlcHdr"/>
        </w:types>
        <w:behaviors>
          <w:behavior w:val="content"/>
        </w:behaviors>
        <w:description w:val=""/>
        <w:guid w:val="{3dffa96b-e1f6-40bb-8ada-895d5b8d187c}"/>
      </w:docPartPr>
      <w:docPartBody>
        <w:p>
          <w:r>
            <w:rPr>
              <w:color w:val="808080"/>
            </w:rPr>
            <w:t>单击此处输入文字。</w:t>
          </w:r>
        </w:p>
      </w:docPartBody>
    </w:docPart>
    <w:docPart>
      <w:docPartPr>
        <w:name w:val="{23a4be5c-38ea-4932-9d0f-1893c42dae72}"/>
        <w:style w:val=""/>
        <w:category>
          <w:name w:val="常规"/>
          <w:gallery w:val="placeholder"/>
        </w:category>
        <w:types>
          <w:type w:val="bbPlcHdr"/>
        </w:types>
        <w:behaviors>
          <w:behavior w:val="content"/>
        </w:behaviors>
        <w:description w:val=""/>
        <w:guid w:val="{23a4be5c-38ea-4932-9d0f-1893c42dae72}"/>
      </w:docPartPr>
      <w:docPartBody>
        <w:p>
          <w:r>
            <w:rPr>
              <w:color w:val="808080"/>
            </w:rPr>
            <w:t>单击此处输入文字。</w:t>
          </w:r>
        </w:p>
      </w:docPartBody>
    </w:docPart>
    <w:docPart>
      <w:docPartPr>
        <w:name w:val="{e7a59a56-745e-40dc-b7f9-505a42e1c159}"/>
        <w:style w:val=""/>
        <w:category>
          <w:name w:val="常规"/>
          <w:gallery w:val="placeholder"/>
        </w:category>
        <w:types>
          <w:type w:val="bbPlcHdr"/>
        </w:types>
        <w:behaviors>
          <w:behavior w:val="content"/>
        </w:behaviors>
        <w:description w:val=""/>
        <w:guid w:val="{e7a59a56-745e-40dc-b7f9-505a42e1c159}"/>
      </w:docPartPr>
      <w:docPartBody>
        <w:p>
          <w:r>
            <w:rPr>
              <w:color w:val="808080"/>
            </w:rPr>
            <w:t>单击此处输入文字。</w:t>
          </w:r>
        </w:p>
      </w:docPartBody>
    </w:docPart>
    <w:docPart>
      <w:docPartPr>
        <w:name w:val="{65dbad01-3cf6-4760-83d0-40acc65cfa3b}"/>
        <w:style w:val=""/>
        <w:category>
          <w:name w:val="常规"/>
          <w:gallery w:val="placeholder"/>
        </w:category>
        <w:types>
          <w:type w:val="bbPlcHdr"/>
        </w:types>
        <w:behaviors>
          <w:behavior w:val="content"/>
        </w:behaviors>
        <w:description w:val=""/>
        <w:guid w:val="{65dbad01-3cf6-4760-83d0-40acc65cfa3b}"/>
      </w:docPartPr>
      <w:docPartBody>
        <w:p>
          <w:r>
            <w:rPr>
              <w:color w:val="808080"/>
            </w:rPr>
            <w:t>单击此处输入文字。</w:t>
          </w:r>
        </w:p>
      </w:docPartBody>
    </w:docPart>
    <w:docPart>
      <w:docPartPr>
        <w:name w:val="{7f2a909f-ddc5-4ba4-a7f3-14f9bbb260ad}"/>
        <w:style w:val=""/>
        <w:category>
          <w:name w:val="常规"/>
          <w:gallery w:val="placeholder"/>
        </w:category>
        <w:types>
          <w:type w:val="bbPlcHdr"/>
        </w:types>
        <w:behaviors>
          <w:behavior w:val="content"/>
        </w:behaviors>
        <w:description w:val=""/>
        <w:guid w:val="{7f2a909f-ddc5-4ba4-a7f3-14f9bbb260ad}"/>
      </w:docPartPr>
      <w:docPartBody>
        <w:p>
          <w:r>
            <w:rPr>
              <w:color w:val="808080"/>
            </w:rPr>
            <w:t>单击此处输入文字。</w:t>
          </w:r>
        </w:p>
      </w:docPartBody>
    </w:docPart>
    <w:docPart>
      <w:docPartPr>
        <w:name w:val="{2bc1911b-6385-4867-af96-bd6e77d5b76d}"/>
        <w:style w:val=""/>
        <w:category>
          <w:name w:val="常规"/>
          <w:gallery w:val="placeholder"/>
        </w:category>
        <w:types>
          <w:type w:val="bbPlcHdr"/>
        </w:types>
        <w:behaviors>
          <w:behavior w:val="content"/>
        </w:behaviors>
        <w:description w:val=""/>
        <w:guid w:val="{2bc1911b-6385-4867-af96-bd6e77d5b76d}"/>
      </w:docPartPr>
      <w:docPartBody>
        <w:p>
          <w:r>
            <w:rPr>
              <w:color w:val="808080"/>
            </w:rPr>
            <w:t>单击此处输入文字。</w:t>
          </w:r>
        </w:p>
      </w:docPartBody>
    </w:docPart>
    <w:docPart>
      <w:docPartPr>
        <w:name w:val="{c1c80db8-be26-4e08-a0dd-47f37cca329d}"/>
        <w:style w:val=""/>
        <w:category>
          <w:name w:val="常规"/>
          <w:gallery w:val="placeholder"/>
        </w:category>
        <w:types>
          <w:type w:val="bbPlcHdr"/>
        </w:types>
        <w:behaviors>
          <w:behavior w:val="content"/>
        </w:behaviors>
        <w:description w:val=""/>
        <w:guid w:val="{c1c80db8-be26-4e08-a0dd-47f37cca329d}"/>
      </w:docPartPr>
      <w:docPartBody>
        <w:p>
          <w:r>
            <w:rPr>
              <w:color w:val="808080"/>
            </w:rPr>
            <w:t>单击此处输入文字。</w:t>
          </w:r>
        </w:p>
      </w:docPartBody>
    </w:docPart>
    <w:docPart>
      <w:docPartPr>
        <w:name w:val="{93fd4f8f-3ab5-423d-b398-8d3250a73699}"/>
        <w:style w:val=""/>
        <w:category>
          <w:name w:val="常规"/>
          <w:gallery w:val="placeholder"/>
        </w:category>
        <w:types>
          <w:type w:val="bbPlcHdr"/>
        </w:types>
        <w:behaviors>
          <w:behavior w:val="content"/>
        </w:behaviors>
        <w:description w:val=""/>
        <w:guid w:val="{93fd4f8f-3ab5-423d-b398-8d3250a73699}"/>
      </w:docPartPr>
      <w:docPartBody>
        <w:p>
          <w:r>
            <w:rPr>
              <w:color w:val="808080"/>
            </w:rPr>
            <w:t>单击此处输入文字。</w:t>
          </w:r>
        </w:p>
      </w:docPartBody>
    </w:docPart>
    <w:docPart>
      <w:docPartPr>
        <w:name w:val="{5f84dc24-9c9e-4924-b13f-78c3df8d496f}"/>
        <w:style w:val=""/>
        <w:category>
          <w:name w:val="常规"/>
          <w:gallery w:val="placeholder"/>
        </w:category>
        <w:types>
          <w:type w:val="bbPlcHdr"/>
        </w:types>
        <w:behaviors>
          <w:behavior w:val="content"/>
        </w:behaviors>
        <w:description w:val=""/>
        <w:guid w:val="{5f84dc24-9c9e-4924-b13f-78c3df8d496f}"/>
      </w:docPartPr>
      <w:docPartBody>
        <w:p>
          <w:r>
            <w:rPr>
              <w:color w:val="808080"/>
            </w:rPr>
            <w:t>单击此处输入文字。</w:t>
          </w:r>
        </w:p>
      </w:docPartBody>
    </w:docPart>
    <w:docPart>
      <w:docPartPr>
        <w:name w:val="{cd05f097-9065-4550-8c48-cd9de6c189c6}"/>
        <w:style w:val=""/>
        <w:category>
          <w:name w:val="常规"/>
          <w:gallery w:val="placeholder"/>
        </w:category>
        <w:types>
          <w:type w:val="bbPlcHdr"/>
        </w:types>
        <w:behaviors>
          <w:behavior w:val="content"/>
        </w:behaviors>
        <w:description w:val=""/>
        <w:guid w:val="{cd05f097-9065-4550-8c48-cd9de6c189c6}"/>
      </w:docPartPr>
      <w:docPartBody>
        <w:p>
          <w:r>
            <w:rPr>
              <w:color w:val="808080"/>
            </w:rPr>
            <w:t>单击此处输入文字。</w:t>
          </w:r>
        </w:p>
      </w:docPartBody>
    </w:docPart>
    <w:docPart>
      <w:docPartPr>
        <w:name w:val="{6c81f3c1-b7c8-4d36-9820-127a379e2567}"/>
        <w:style w:val=""/>
        <w:category>
          <w:name w:val="常规"/>
          <w:gallery w:val="placeholder"/>
        </w:category>
        <w:types>
          <w:type w:val="bbPlcHdr"/>
        </w:types>
        <w:behaviors>
          <w:behavior w:val="content"/>
        </w:behaviors>
        <w:description w:val=""/>
        <w:guid w:val="{6c81f3c1-b7c8-4d36-9820-127a379e2567}"/>
      </w:docPartPr>
      <w:docPartBody>
        <w:p>
          <w:r>
            <w:rPr>
              <w:color w:val="808080"/>
            </w:rPr>
            <w:t>单击此处输入文字。</w:t>
          </w:r>
        </w:p>
      </w:docPartBody>
    </w:docPart>
    <w:docPart>
      <w:docPartPr>
        <w:name w:val="{369a6668-af89-41a5-9743-5705e90a7086}"/>
        <w:style w:val=""/>
        <w:category>
          <w:name w:val="常规"/>
          <w:gallery w:val="placeholder"/>
        </w:category>
        <w:types>
          <w:type w:val="bbPlcHdr"/>
        </w:types>
        <w:behaviors>
          <w:behavior w:val="content"/>
        </w:behaviors>
        <w:description w:val=""/>
        <w:guid w:val="{369a6668-af89-41a5-9743-5705e90a7086}"/>
      </w:docPartPr>
      <w:docPartBody>
        <w:p>
          <w:r>
            <w:rPr>
              <w:color w:val="808080"/>
            </w:rPr>
            <w:t>单击此处输入文字。</w:t>
          </w:r>
        </w:p>
      </w:docPartBody>
    </w:docPart>
    <w:docPart>
      <w:docPartPr>
        <w:name w:val="{83487fe1-77b3-43bd-b35d-05fd7398c039}"/>
        <w:style w:val=""/>
        <w:category>
          <w:name w:val="常规"/>
          <w:gallery w:val="placeholder"/>
        </w:category>
        <w:types>
          <w:type w:val="bbPlcHdr"/>
        </w:types>
        <w:behaviors>
          <w:behavior w:val="content"/>
        </w:behaviors>
        <w:description w:val=""/>
        <w:guid w:val="{83487fe1-77b3-43bd-b35d-05fd7398c039}"/>
      </w:docPartPr>
      <w:docPartBody>
        <w:p>
          <w:r>
            <w:rPr>
              <w:color w:val="808080"/>
            </w:rPr>
            <w:t>单击此处输入文字。</w:t>
          </w:r>
        </w:p>
      </w:docPartBody>
    </w:docPart>
    <w:docPart>
      <w:docPartPr>
        <w:name w:val="{38df3650-e8de-4ded-a6e9-5d9c7ff30875}"/>
        <w:style w:val=""/>
        <w:category>
          <w:name w:val="常规"/>
          <w:gallery w:val="placeholder"/>
        </w:category>
        <w:types>
          <w:type w:val="bbPlcHdr"/>
        </w:types>
        <w:behaviors>
          <w:behavior w:val="content"/>
        </w:behaviors>
        <w:description w:val=""/>
        <w:guid w:val="{38df3650-e8de-4ded-a6e9-5d9c7ff30875}"/>
      </w:docPartPr>
      <w:docPartBody>
        <w:p>
          <w:r>
            <w:rPr>
              <w:color w:val="808080"/>
            </w:rPr>
            <w:t>单击此处输入文字。</w:t>
          </w:r>
        </w:p>
      </w:docPartBody>
    </w:docPart>
    <w:docPart>
      <w:docPartPr>
        <w:name w:val="{7d2b8af4-cb69-47c6-8e66-051e74eaae92}"/>
        <w:style w:val=""/>
        <w:category>
          <w:name w:val="常规"/>
          <w:gallery w:val="placeholder"/>
        </w:category>
        <w:types>
          <w:type w:val="bbPlcHdr"/>
        </w:types>
        <w:behaviors>
          <w:behavior w:val="content"/>
        </w:behaviors>
        <w:description w:val=""/>
        <w:guid w:val="{7d2b8af4-cb69-47c6-8e66-051e74eaae92}"/>
      </w:docPartPr>
      <w:docPartBody>
        <w:p>
          <w:r>
            <w:rPr>
              <w:color w:val="808080"/>
            </w:rPr>
            <w:t>单击此处输入文字。</w:t>
          </w:r>
        </w:p>
      </w:docPartBody>
    </w:docPart>
    <w:docPart>
      <w:docPartPr>
        <w:name w:val="{53d17ee2-3aa4-48c0-9789-a52b51407e00}"/>
        <w:style w:val=""/>
        <w:category>
          <w:name w:val="常规"/>
          <w:gallery w:val="placeholder"/>
        </w:category>
        <w:types>
          <w:type w:val="bbPlcHdr"/>
        </w:types>
        <w:behaviors>
          <w:behavior w:val="content"/>
        </w:behaviors>
        <w:description w:val=""/>
        <w:guid w:val="{53d17ee2-3aa4-48c0-9789-a52b51407e00}"/>
      </w:docPartPr>
      <w:docPartBody>
        <w:p>
          <w:r>
            <w:rPr>
              <w:color w:val="808080"/>
            </w:rPr>
            <w:t>单击此处输入文字。</w:t>
          </w:r>
        </w:p>
      </w:docPartBody>
    </w:docPart>
    <w:docPart>
      <w:docPartPr>
        <w:name w:val="{48e76943-3cae-4620-848a-0e7ae5160a94}"/>
        <w:style w:val=""/>
        <w:category>
          <w:name w:val="常规"/>
          <w:gallery w:val="placeholder"/>
        </w:category>
        <w:types>
          <w:type w:val="bbPlcHdr"/>
        </w:types>
        <w:behaviors>
          <w:behavior w:val="content"/>
        </w:behaviors>
        <w:description w:val=""/>
        <w:guid w:val="{48e76943-3cae-4620-848a-0e7ae5160a94}"/>
      </w:docPartPr>
      <w:docPartBody>
        <w:p>
          <w:r>
            <w:rPr>
              <w:color w:val="808080"/>
            </w:rPr>
            <w:t>单击此处输入文字。</w:t>
          </w:r>
        </w:p>
      </w:docPartBody>
    </w:docPart>
    <w:docPart>
      <w:docPartPr>
        <w:name w:val="{3dc3f7e1-9144-4d1b-8d0e-247d45e35134}"/>
        <w:style w:val=""/>
        <w:category>
          <w:name w:val="常规"/>
          <w:gallery w:val="placeholder"/>
        </w:category>
        <w:types>
          <w:type w:val="bbPlcHdr"/>
        </w:types>
        <w:behaviors>
          <w:behavior w:val="content"/>
        </w:behaviors>
        <w:description w:val=""/>
        <w:guid w:val="{3dc3f7e1-9144-4d1b-8d0e-247d45e35134}"/>
      </w:docPartPr>
      <w:docPartBody>
        <w:p>
          <w:r>
            <w:rPr>
              <w:color w:val="808080"/>
            </w:rPr>
            <w:t>单击此处输入文字。</w:t>
          </w:r>
        </w:p>
      </w:docPartBody>
    </w:docPart>
    <w:docPart>
      <w:docPartPr>
        <w:name w:val="{3e198581-28ae-4285-a4e0-c041a16de52e}"/>
        <w:style w:val=""/>
        <w:category>
          <w:name w:val="常规"/>
          <w:gallery w:val="placeholder"/>
        </w:category>
        <w:types>
          <w:type w:val="bbPlcHdr"/>
        </w:types>
        <w:behaviors>
          <w:behavior w:val="content"/>
        </w:behaviors>
        <w:description w:val=""/>
        <w:guid w:val="{3e198581-28ae-4285-a4e0-c041a16de52e}"/>
      </w:docPartPr>
      <w:docPartBody>
        <w:p>
          <w:r>
            <w:rPr>
              <w:color w:val="808080"/>
            </w:rPr>
            <w:t>单击此处输入文字。</w:t>
          </w:r>
        </w:p>
      </w:docPartBody>
    </w:docPart>
    <w:docPart>
      <w:docPartPr>
        <w:name w:val="{47cf47d5-5d2a-4f12-943c-f653cd6a8b7e}"/>
        <w:style w:val=""/>
        <w:category>
          <w:name w:val="常规"/>
          <w:gallery w:val="placeholder"/>
        </w:category>
        <w:types>
          <w:type w:val="bbPlcHdr"/>
        </w:types>
        <w:behaviors>
          <w:behavior w:val="content"/>
        </w:behaviors>
        <w:description w:val=""/>
        <w:guid w:val="{47cf47d5-5d2a-4f12-943c-f653cd6a8b7e}"/>
      </w:docPartPr>
      <w:docPartBody>
        <w:p>
          <w:r>
            <w:rPr>
              <w:color w:val="808080"/>
            </w:rPr>
            <w:t>单击此处输入文字。</w:t>
          </w:r>
        </w:p>
      </w:docPartBody>
    </w:docPart>
    <w:docPart>
      <w:docPartPr>
        <w:name w:val="{15e5a5eb-a655-4461-834f-d534f8ccca74}"/>
        <w:style w:val=""/>
        <w:category>
          <w:name w:val="常规"/>
          <w:gallery w:val="placeholder"/>
        </w:category>
        <w:types>
          <w:type w:val="bbPlcHdr"/>
        </w:types>
        <w:behaviors>
          <w:behavior w:val="content"/>
        </w:behaviors>
        <w:description w:val=""/>
        <w:guid w:val="{15e5a5eb-a655-4461-834f-d534f8ccca74}"/>
      </w:docPartPr>
      <w:docPartBody>
        <w:p>
          <w:r>
            <w:rPr>
              <w:color w:val="808080"/>
            </w:rPr>
            <w:t>单击此处输入文字。</w:t>
          </w:r>
        </w:p>
      </w:docPartBody>
    </w:docPart>
    <w:docPart>
      <w:docPartPr>
        <w:name w:val="{176b93db-f650-44fb-a7f3-7e3e406ebfca}"/>
        <w:style w:val=""/>
        <w:category>
          <w:name w:val="常规"/>
          <w:gallery w:val="placeholder"/>
        </w:category>
        <w:types>
          <w:type w:val="bbPlcHdr"/>
        </w:types>
        <w:behaviors>
          <w:behavior w:val="content"/>
        </w:behaviors>
        <w:description w:val=""/>
        <w:guid w:val="{176b93db-f650-44fb-a7f3-7e3e406ebfca}"/>
      </w:docPartPr>
      <w:docPartBody>
        <w:p>
          <w:r>
            <w:rPr>
              <w:color w:val="808080"/>
            </w:rPr>
            <w:t>单击此处输入文字。</w:t>
          </w:r>
        </w:p>
      </w:docPartBody>
    </w:docPart>
    <w:docPart>
      <w:docPartPr>
        <w:name w:val="{69cf3a13-c5b6-4502-b71d-3e001d750029}"/>
        <w:style w:val=""/>
        <w:category>
          <w:name w:val="常规"/>
          <w:gallery w:val="placeholder"/>
        </w:category>
        <w:types>
          <w:type w:val="bbPlcHdr"/>
        </w:types>
        <w:behaviors>
          <w:behavior w:val="content"/>
        </w:behaviors>
        <w:description w:val=""/>
        <w:guid w:val="{69cf3a13-c5b6-4502-b71d-3e001d750029}"/>
      </w:docPartPr>
      <w:docPartBody>
        <w:p>
          <w:r>
            <w:rPr>
              <w:color w:val="808080"/>
            </w:rPr>
            <w:t>单击此处输入文字。</w:t>
          </w:r>
        </w:p>
      </w:docPartBody>
    </w:docPart>
    <w:docPart>
      <w:docPartPr>
        <w:name w:val="{a2b276bb-1a89-457d-954f-6ab8fbaa4ee5}"/>
        <w:style w:val=""/>
        <w:category>
          <w:name w:val="常规"/>
          <w:gallery w:val="placeholder"/>
        </w:category>
        <w:types>
          <w:type w:val="bbPlcHdr"/>
        </w:types>
        <w:behaviors>
          <w:behavior w:val="content"/>
        </w:behaviors>
        <w:description w:val=""/>
        <w:guid w:val="{a2b276bb-1a89-457d-954f-6ab8fbaa4ee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4</TotalTime>
  <ScaleCrop>false</ScaleCrop>
  <LinksUpToDate>false</LinksUpToDate>
  <CharactersWithSpaces>8692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cp:lastModifiedBy>
  <cp:lastPrinted>2021-07-29T03:56:00Z</cp:lastPrinted>
  <dcterms:modified xsi:type="dcterms:W3CDTF">2021-09-07T06:31:40Z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