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1" w:name="_Toc15396597"/>
      <w:bookmarkStart w:id="2" w:name="_Toc15377193"/>
      <w:bookmarkStart w:id="3" w:name="_Toc15396475"/>
      <w:bookmarkStart w:id="4" w:name="_Toc15377425"/>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Start w:id="6" w:name="_Toc15396598"/>
      <w:bookmarkStart w:id="7" w:name="_Toc15378442"/>
      <w:bookmarkStart w:id="8" w:name="_Toc15396476"/>
      <w:bookmarkStart w:id="9" w:name="_Toc15377426"/>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民族宗教</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事务委员会单位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4</w:t>
      </w:r>
    </w:p>
    <w:p>
      <w:pPr>
        <w:pStyle w:val="12"/>
        <w:pageBreakBefore w:val="0"/>
        <w:kinsoku/>
        <w:wordWrap/>
        <w:overflowPunct/>
        <w:topLinePunct w:val="0"/>
        <w:bidi w:val="0"/>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w:t>
      </w:r>
    </w:p>
    <w:p>
      <w:pPr>
        <w:pStyle w:val="12"/>
        <w:pageBreakBefore w:val="0"/>
        <w:kinsoku/>
        <w:wordWrap/>
        <w:overflowPunct/>
        <w:topLinePunct w:val="0"/>
        <w:bidi w:val="0"/>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eastAsia="zh-CN"/>
        </w:rPr>
        <w:t>二、</w:t>
      </w:r>
      <w:r>
        <w:rPr>
          <w:rFonts w:hint="eastAsia"/>
          <w:color w:val="auto"/>
          <w:sz w:val="24"/>
          <w:highlight w:val="none"/>
          <w:lang w:val="en-US" w:eastAsia="zh-CN"/>
        </w:rPr>
        <w:t>2021年重点</w:t>
      </w:r>
      <w:r>
        <w:rPr>
          <w:rFonts w:hint="eastAsia"/>
          <w:color w:val="auto"/>
          <w:sz w:val="24"/>
          <w:highlight w:val="none"/>
        </w:rPr>
        <w:t>工作</w:t>
      </w:r>
      <w:r>
        <w:rPr>
          <w:rFonts w:hint="eastAsia"/>
          <w:color w:val="auto"/>
          <w:sz w:val="24"/>
          <w:highlight w:val="none"/>
          <w:lang w:eastAsia="zh-CN"/>
        </w:rPr>
        <w:t>完成情况</w:t>
      </w:r>
      <w:r>
        <w:rPr>
          <w:rFonts w:hint="default"/>
          <w:color w:val="auto"/>
          <w:sz w:val="24"/>
          <w:highlight w:val="none"/>
          <w:lang w:val="en-US" w:eastAsia="zh-CN"/>
        </w:rPr>
        <w:t>.......................................................................................</w:t>
      </w:r>
      <w:r>
        <w:rPr>
          <w:rFonts w:hint="eastAsia"/>
          <w:color w:val="auto"/>
          <w:sz w:val="24"/>
          <w:highlight w:val="none"/>
          <w:lang w:val="en-US" w:eastAsia="zh-CN"/>
        </w:rPr>
        <w:t>6</w:t>
      </w:r>
    </w:p>
    <w:p>
      <w:pPr>
        <w:pStyle w:val="12"/>
        <w:pageBreakBefore w:val="0"/>
        <w:kinsoku/>
        <w:wordWrap/>
        <w:overflowPunct/>
        <w:topLinePunct w:val="0"/>
        <w:bidi w:val="0"/>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三、机构设置情况</w:t>
      </w:r>
      <w:r>
        <w:rPr>
          <w:rFonts w:hint="default"/>
          <w:color w:val="auto"/>
          <w:sz w:val="24"/>
          <w:highlight w:val="none"/>
          <w:lang w:val="en-US" w:eastAsia="zh-CN"/>
        </w:rPr>
        <w:t>............................................................................................................</w:t>
      </w:r>
      <w:r>
        <w:rPr>
          <w:rFonts w:hint="eastAsia"/>
          <w:color w:val="auto"/>
          <w:sz w:val="24"/>
          <w:highlight w:val="none"/>
          <w:lang w:val="en-US" w:eastAsia="zh-CN"/>
        </w:rPr>
        <w:t>7</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9</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9</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10</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10</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14</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14</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八、政府性基金预算支出决算情况说明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16</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16</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17</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18</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22</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r>
        <w:rPr>
          <w:rFonts w:hint="eastAsia"/>
          <w:color w:val="auto"/>
          <w:sz w:val="24"/>
          <w:highlight w:val="none"/>
        </w:rPr>
        <w:t>二、收入决算表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ascii="Times New Roman" w:hAnsi="Times New Roman" w:cs="Times New Roman"/>
          <w:color w:val="auto"/>
          <w:sz w:val="24"/>
          <w:szCs w:val="24"/>
          <w:lang w:val="en-US" w:eastAsia="zh-CN"/>
        </w:rPr>
      </w:pPr>
      <w:r>
        <w:rPr>
          <w:rFonts w:hint="eastAsia"/>
          <w:color w:val="auto"/>
          <w:sz w:val="24"/>
          <w:highlight w:val="none"/>
        </w:rPr>
        <w:t>五、财政拨款支出决算明细表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六、一般公共预算财政拨款支出决算表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十、一般公共预算财政拨款“三公”经费支出决算表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十一、政府性基金预算财政拨款收入支出决算表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rPr>
      </w:pPr>
      <w:r>
        <w:rPr>
          <w:rFonts w:hint="eastAsia"/>
          <w:color w:val="auto"/>
          <w:sz w:val="24"/>
          <w:highlight w:val="none"/>
        </w:rPr>
        <w:t>十二、政府性基金预算财政拨款“三公”经费支出决算表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eastAsia" w:cs="Times New Roman"/>
          <w:color w:val="auto"/>
          <w:sz w:val="24"/>
          <w:szCs w:val="24"/>
          <w:lang w:val="en-US" w:eastAsia="zh-CN"/>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41</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7"/>
          <w:rFonts w:hint="eastAsia" w:ascii="黑体" w:hAnsi="黑体" w:eastAsia="黑体"/>
          <w:b w:val="0"/>
          <w:bCs w:val="0"/>
          <w:color w:val="auto"/>
          <w:highlight w:val="none"/>
          <w:lang w:eastAsia="zh-CN"/>
        </w:rPr>
      </w:pPr>
      <w:bookmarkStart w:id="14" w:name="_Toc15377197"/>
      <w:bookmarkStart w:id="15" w:name="_Toc15396600"/>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1.贯彻执行党和国家关于民族宗教工作的方针、政策、法律、法规以及省委、省政府的决策部署；负责起草民族宗教地方性法规、规章草案，协调推进本系统依法行政，落实行政执法责任制；保障少数民族合法权益，联系民族自治地方，督促指导民族区域自治法的贯彻落实。</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2.组织开展民族宗教理论、政策及重大问题的调查研究；负责民族宗教动态和信息的汇总、分析，提出有关民族宗教工作的政策建议。</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3.负责协调推动有关部门履行民族宗教工作相关职责，推进民族宗教事务法治化、社会化管理工作，促进民族宗教政策在经济发展和社会事业等相关领域的实施、衔接；对全省民族宗教工作进行业务指导。</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4.研究提出协调民族关系、宗教关系的工作建议，会同有关部门处理涉及民族关系、宗教关系的重大事项，参与协调民族地区社会稳定工作，促进各民族共同团结奋斗、共同繁荣发展，维护国家统一。</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5.负责拟订全省少数民族事业发展专项规划，监督检查规划实施情况；参与拟订少数民族和民族地区经济社会相关领域的发展规划，促进建立和完善少数民族事业发展综合评价监测体系，推进民族宗教事务服务体系和管理信息化建设。</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6.研究分析全省少数民族和民族地区经济发展、社会事业方面的问题并提出特殊政策建议，组织协调或参与配合实施省委、省政府部署的民族地区民生工程相关工作，参与协调民族地区科技发展、对口支援、经济技术合作和扶贫开发等相关工作。</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7.负责组织指导全省民族宗教方面的法律法规、政策及基本知识的宣传教育工作；组织开展民族团结进步创建活动；承办省政府民族团结进步表彰活动；指导城市民族工作，协调城市民族关系；指导散居少数民族和民族乡工作；组织协调民族自治地方重大庆典活动。</w:t>
      </w:r>
    </w:p>
    <w:p>
      <w:pPr>
        <w:pageBreakBefore w:val="0"/>
        <w:kinsoku/>
        <w:wordWrap/>
        <w:overflowPunct/>
        <w:topLinePunct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8.负责管理全省少数民族语言文字工作，指导少数民族语言文字的翻译、出版和民族古籍的收集、整理、出版工作。    </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9.依法履行宗教事务管理职责，依法保护公民宗教信仰自由和正常的宗教活动，维护宗教界合法权益，促进宗教关系和谐。</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10.指导宗教团体依法依章开展活动，支持宗教团体加强自身建设，帮助宗教团体办好宗教院校，推动宗教团体在宗教界开展爱国主义、社会主义和维护祖国统一、民族团结的自我教育，办理宗教团体需由政府解决或协调的有关事务。</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11.指导市（州）、县（市、区）民族宗教事务部门依法履行管理职责，防范利用民族宗教进行的非法、违法活动，抵御境外利用民族宗教进行的分裂、渗透、破坏活动。</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12.负责民族宗教事务方面的外事管理工作，组织指导民族宗教工作领域有关对外和对港澳台的交流、交往与合作；参与涉及民族宗教事务的对外宣传工作。</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13.参与拟订少数民族干部人才队伍、宗教工作队伍建设规划,研究提出少数民族和民族地区干部队伍建设的政策建议，联系少数民族干部，会同有关部门开展少数民族和民族地区干部的培养教育和使用工作。</w:t>
      </w:r>
    </w:p>
    <w:p>
      <w:pPr>
        <w:pageBreakBefore w:val="0"/>
        <w:kinsoku/>
        <w:wordWrap/>
        <w:overflowPunct/>
        <w:topLinePunct w:val="0"/>
        <w:bidi w:val="0"/>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14.承担省政府公布的有关行政审批事项。</w:t>
      </w:r>
    </w:p>
    <w:p>
      <w:pPr>
        <w:pageBreakBefore w:val="0"/>
        <w:kinsoku/>
        <w:wordWrap/>
        <w:overflowPunct/>
        <w:topLinePunct w:val="0"/>
        <w:bidi w:val="0"/>
        <w:adjustRightInd w:val="0"/>
        <w:snapToGrid w:val="0"/>
        <w:spacing w:line="600" w:lineRule="exact"/>
        <w:ind w:firstLine="640" w:firstLineChars="200"/>
        <w:outlineLvl w:val="2"/>
        <w:rPr>
          <w:rFonts w:hint="eastAsia"/>
        </w:rPr>
      </w:pPr>
      <w:r>
        <w:rPr>
          <w:rFonts w:hint="default" w:ascii="Times New Roman" w:hAnsi="Times New Roman" w:eastAsia="仿宋_GB2312" w:cs="Times New Roman"/>
          <w:color w:val="auto"/>
          <w:sz w:val="32"/>
          <w:szCs w:val="32"/>
        </w:rPr>
        <w:t>15.承办省委、省政府交办的其他事项。</w:t>
      </w: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2021年，在省委、省政府的坚强领导和省委统战部归口领导下，省民族宗教委以习近平新时代中国特色社会主义思想为指导，深入学习贯彻习近平总书记关于加强和改进民族工作的重要思想和关于宗教工作的重要论述，全面贯彻落实党的十九届五次、六次全会精神以及中央民族工作会议、全国宗教工作会议精神，紧扣铸牢中华民族共同体意识、坚持我国宗教中国化这一新时代民族宗教工作的鲜明主线，扎实推进民族宗教工作创新发展，有力维护了全省民族宗教领域团结繁荣、和谐稳定。</w:t>
      </w:r>
    </w:p>
    <w:p>
      <w:pPr>
        <w:pageBreakBefore w:val="0"/>
        <w:kinsoku/>
        <w:wordWrap/>
        <w:overflowPunct/>
        <w:topLinePunct w:val="0"/>
        <w:bidi w:val="0"/>
        <w:adjustRightInd w:val="0"/>
        <w:snapToGrid w:val="0"/>
        <w:spacing w:line="600" w:lineRule="exact"/>
        <w:ind w:firstLine="640" w:firstLineChars="200"/>
        <w:outlineLvl w:val="2"/>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一年来，省民族宗教委在全面推动各项工作的同时，重点抓好了以下几件大事</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val="en-US" w:eastAsia="zh-CN"/>
        </w:rPr>
        <w:t>是</w:t>
      </w:r>
      <w:r>
        <w:rPr>
          <w:rFonts w:hint="default" w:ascii="Times New Roman" w:hAnsi="Times New Roman" w:cs="Times New Roman"/>
          <w:color w:val="auto"/>
          <w:sz w:val="32"/>
          <w:szCs w:val="32"/>
          <w:lang w:val="en-US" w:eastAsia="zh-CN"/>
        </w:rPr>
        <w:t>民族宗教领域疫情防控和安全工作取得显著成效；二是聚焦庆祝中国共产党成立100周年主题深化思想政治引领；三是铸牢中华民族共同体意识宣传教育取得新成效；四是构筑中华民族共有精神家园迈出新步伐；五是不断拓展各民族交往交流交融广度和深度；六是民族团结进步创建工作不断走深走实；七是切实抓好宗教界政治引领推动铸牢中华民族共同体意识</w:t>
      </w:r>
      <w:r>
        <w:rPr>
          <w:rFonts w:hint="default" w:ascii="Times New Roman" w:hAnsi="Times New Roman" w:eastAsia="仿宋_GB2312" w:cs="Times New Roman"/>
          <w:color w:val="auto"/>
          <w:sz w:val="32"/>
          <w:szCs w:val="32"/>
          <w:lang w:val="en-US" w:eastAsia="zh-CN"/>
        </w:rPr>
        <w:t>；八是切实防范化解民族宗教领域风险隐患；九是以政治建设为统领全面加强机关自身建设。</w:t>
      </w:r>
    </w:p>
    <w:p>
      <w:pPr>
        <w:pStyle w:val="2"/>
        <w:keepNext w:val="0"/>
        <w:keepLines w:val="0"/>
        <w:pageBreakBefore w:val="0"/>
        <w:widowControl w:val="0"/>
        <w:kinsoku/>
        <w:wordWrap/>
        <w:overflowPunct/>
        <w:topLinePunct w:val="0"/>
        <w:autoSpaceDE/>
        <w:autoSpaceDN/>
        <w:bidi w:val="0"/>
        <w:spacing w:line="3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ind w:firstLine="640" w:firstLineChars="200"/>
        <w:textAlignment w:val="auto"/>
        <w:outlineLvl w:val="2"/>
        <w:rPr>
          <w:rFonts w:hint="eastAsia" w:ascii="黑体" w:hAnsi="黑体" w:eastAsia="黑体" w:cstheme="majorBidi"/>
          <w:b w:val="0"/>
          <w:bCs/>
          <w:color w:val="auto"/>
          <w:kern w:val="2"/>
          <w:sz w:val="32"/>
          <w:szCs w:val="32"/>
          <w:highlight w:val="none"/>
          <w:lang w:val="en-US" w:eastAsia="zh-CN" w:bidi="ar-SA"/>
        </w:rPr>
      </w:pPr>
      <w:r>
        <w:rPr>
          <w:rFonts w:hint="eastAsia" w:ascii="黑体" w:hAnsi="黑体" w:eastAsia="黑体" w:cstheme="majorBidi"/>
          <w:b w:val="0"/>
          <w:bCs/>
          <w:color w:val="auto"/>
          <w:kern w:val="2"/>
          <w:sz w:val="32"/>
          <w:szCs w:val="32"/>
          <w:highlight w:val="none"/>
          <w:lang w:val="en-US" w:eastAsia="zh-CN" w:bidi="ar-SA"/>
        </w:rPr>
        <w:t>三、机构设置情况</w:t>
      </w:r>
    </w:p>
    <w:p>
      <w:pPr>
        <w:keepNext w:val="0"/>
        <w:keepLines w:val="0"/>
        <w:pageBreakBefore w:val="0"/>
        <w:widowControl w:val="0"/>
        <w:kinsoku/>
        <w:wordWrap/>
        <w:overflowPunct/>
        <w:topLinePunct w:val="0"/>
        <w:autoSpaceDE/>
        <w:autoSpaceDN/>
        <w:bidi w:val="0"/>
        <w:adjustRightInd w:val="0"/>
        <w:snapToGrid w:val="0"/>
        <w:spacing w:line="320" w:lineRule="exact"/>
        <w:ind w:firstLine="640" w:firstLineChars="200"/>
        <w:textAlignment w:val="auto"/>
        <w:outlineLvl w:val="2"/>
        <w:rPr>
          <w:rFonts w:hint="default" w:ascii="Times New Roman" w:hAnsi="Times New Roman" w:eastAsia="仿宋_GB2312" w:cs="Times New Roman"/>
          <w:color w:val="auto"/>
          <w:sz w:val="32"/>
          <w:szCs w:val="32"/>
        </w:rPr>
      </w:pPr>
    </w:p>
    <w:p>
      <w:pPr>
        <w:pageBreakBefore w:val="0"/>
        <w:kinsoku/>
        <w:wordWrap/>
        <w:overflowPunct/>
        <w:topLinePunct w:val="0"/>
        <w:bidi w:val="0"/>
        <w:adjustRightInd w:val="0"/>
        <w:snapToGrid w:val="0"/>
        <w:spacing w:line="600" w:lineRule="exact"/>
        <w:ind w:firstLine="640" w:firstLineChars="200"/>
        <w:outlineLvl w:val="2"/>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四川省民族宗教委由</w:t>
      </w:r>
      <w:r>
        <w:rPr>
          <w:rFonts w:hint="eastAsia" w:eastAsia="仿宋_GB2312" w:cs="Times New Roman"/>
          <w:color w:val="auto"/>
          <w:sz w:val="32"/>
          <w:szCs w:val="32"/>
          <w:lang w:val="en-US" w:eastAsia="zh-CN"/>
        </w:rPr>
        <w:t>15个内设处室组成，分别是：办公室、宗教综合处、政法处、监督处、城散处、经济处、文外处、教科语文处、佛道伊处、天基处、藏佛一处、藏佛二处、计划财务处、干部人事处、离退处</w:t>
      </w:r>
      <w:bookmarkStart w:id="67" w:name="_GoBack"/>
      <w:bookmarkEnd w:id="67"/>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br w:type="page"/>
      </w:r>
    </w:p>
    <w:p>
      <w:pPr>
        <w:pStyle w:val="3"/>
        <w:ind w:right="440"/>
        <w:jc w:val="center"/>
        <w:rPr>
          <w:rStyle w:val="26"/>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5001.42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42.64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0.86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人员支出追加。</w:t>
      </w:r>
    </w:p>
    <w:p>
      <w:pPr>
        <w:spacing w:line="600" w:lineRule="exact"/>
        <w:ind w:firstLine="420" w:firstLineChars="200"/>
        <w:rPr>
          <w:rFonts w:hint="eastAsia" w:ascii="仿宋" w:hAnsi="仿宋" w:eastAsia="仿宋"/>
          <w:color w:val="auto"/>
          <w:sz w:val="32"/>
          <w:szCs w:val="32"/>
          <w:highlight w:val="none"/>
        </w:rPr>
      </w:pPr>
      <w:r>
        <w:drawing>
          <wp:anchor distT="0" distB="0" distL="114300" distR="114300" simplePos="0" relativeHeight="251658240" behindDoc="0" locked="0" layoutInCell="1" allowOverlap="1">
            <wp:simplePos x="0" y="0"/>
            <wp:positionH relativeFrom="column">
              <wp:posOffset>791845</wp:posOffset>
            </wp:positionH>
            <wp:positionV relativeFrom="paragraph">
              <wp:posOffset>163195</wp:posOffset>
            </wp:positionV>
            <wp:extent cx="45720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rPr>
          <w:rFonts w:hint="default"/>
          <w:lang w:val="en-US" w:eastAsia="zh-CN"/>
        </w:rPr>
      </w:pPr>
    </w:p>
    <w:p>
      <w:pPr>
        <w:spacing w:line="600" w:lineRule="exact"/>
        <w:ind w:firstLine="960" w:firstLineChars="300"/>
        <w:jc w:val="left"/>
        <w:rPr>
          <w:rStyle w:val="27"/>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4939.93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4939.82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0.11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outlineLvl w:val="1"/>
        <w:rPr>
          <w:rFonts w:ascii="仿宋_GB2312" w:eastAsia="仿宋_GB2312"/>
          <w:color w:val="auto"/>
          <w:sz w:val="32"/>
          <w:szCs w:val="32"/>
          <w:highlight w:val="none"/>
        </w:rPr>
      </w:pPr>
    </w:p>
    <w:p>
      <w:pPr>
        <w:spacing w:line="600" w:lineRule="exact"/>
        <w:ind w:firstLine="640" w:firstLineChars="200"/>
        <w:outlineLvl w:val="1"/>
        <w:rPr>
          <w:rFonts w:ascii="仿宋_GB2312" w:eastAsia="仿宋_GB2312"/>
          <w:color w:val="auto"/>
          <w:sz w:val="32"/>
          <w:szCs w:val="32"/>
          <w:highlight w:val="none"/>
        </w:rPr>
      </w:pPr>
    </w:p>
    <w:p>
      <w:pPr>
        <w:spacing w:line="600" w:lineRule="exact"/>
        <w:ind w:firstLine="420" w:firstLineChars="200"/>
        <w:rPr>
          <w:rFonts w:hint="default" w:ascii="仿宋_GB2312" w:eastAsia="仿宋_GB2312"/>
          <w:color w:val="auto"/>
          <w:sz w:val="32"/>
          <w:szCs w:val="32"/>
          <w:highlight w:val="none"/>
          <w:lang w:val="en-US"/>
        </w:rPr>
      </w:pPr>
      <w:r>
        <w:drawing>
          <wp:anchor distT="0" distB="0" distL="114300" distR="114300" simplePos="0" relativeHeight="251659264" behindDoc="0" locked="0" layoutInCell="1" allowOverlap="1">
            <wp:simplePos x="0" y="0"/>
            <wp:positionH relativeFrom="column">
              <wp:posOffset>537845</wp:posOffset>
            </wp:positionH>
            <wp:positionV relativeFrom="paragraph">
              <wp:posOffset>194945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eastAsia="仿宋_GB2312"/>
          <w:color w:val="auto"/>
          <w:sz w:val="32"/>
          <w:szCs w:val="32"/>
          <w:highlight w:val="none"/>
          <w:lang w:val="en-US" w:eastAsia="zh-CN"/>
        </w:rPr>
        <w:t xml:space="preserve">        </w:t>
      </w:r>
      <w:r>
        <w:rPr>
          <w:rFonts w:hint="eastAsia" w:ascii="仿宋" w:hAnsi="仿宋" w:eastAsia="仿宋"/>
          <w:color w:val="auto"/>
          <w:sz w:val="32"/>
          <w:szCs w:val="32"/>
          <w:highlight w:val="none"/>
        </w:rPr>
        <w:t>（图2：收入决算结构图）（饼状图）</w:t>
      </w:r>
    </w:p>
    <w:p>
      <w:pPr>
        <w:pStyle w:val="25"/>
        <w:numPr>
          <w:ilvl w:val="0"/>
          <w:numId w:val="0"/>
        </w:numPr>
        <w:spacing w:line="600" w:lineRule="exact"/>
        <w:ind w:firstLine="640" w:firstLineChars="200"/>
        <w:outlineLvl w:val="1"/>
        <w:rPr>
          <w:rFonts w:hint="eastAsia" w:ascii="黑体" w:hAnsi="黑体" w:eastAsia="黑体"/>
          <w:color w:val="auto"/>
          <w:sz w:val="32"/>
          <w:szCs w:val="32"/>
          <w:highlight w:val="none"/>
          <w:lang w:eastAsia="zh-CN"/>
        </w:rPr>
      </w:pPr>
      <w:bookmarkStart w:id="22" w:name="_Toc15377207"/>
      <w:bookmarkStart w:id="23" w:name="_Toc15396605"/>
    </w:p>
    <w:p>
      <w:pPr>
        <w:pStyle w:val="25"/>
        <w:numPr>
          <w:ilvl w:val="0"/>
          <w:numId w:val="0"/>
        </w:num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4978.4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3717.94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74.68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1260.45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25.32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default" w:ascii="仿宋" w:hAnsi="仿宋" w:eastAsia="仿宋"/>
          <w:color w:val="auto"/>
          <w:sz w:val="32"/>
          <w:szCs w:val="32"/>
          <w:highlight w:val="none"/>
          <w:shd w:val="pct10" w:color="auto" w:fill="FFFFFF"/>
          <w:lang w:val="en-US"/>
        </w:rPr>
      </w:pPr>
      <w:r>
        <w:drawing>
          <wp:anchor distT="0" distB="0" distL="114300" distR="114300" simplePos="0" relativeHeight="251660288" behindDoc="0" locked="0" layoutInCell="1" allowOverlap="1">
            <wp:simplePos x="0" y="0"/>
            <wp:positionH relativeFrom="column">
              <wp:posOffset>791845</wp:posOffset>
            </wp:positionH>
            <wp:positionV relativeFrom="paragraph">
              <wp:posOffset>140335</wp:posOffset>
            </wp:positionV>
            <wp:extent cx="3924935" cy="2526665"/>
            <wp:effectExtent l="4445" t="4445" r="13970" b="21590"/>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shd w:val="pct10" w:color="auto" w:fill="FFFFFF"/>
          <w:lang w:val="en-US" w:eastAsia="zh-CN"/>
        </w:rPr>
        <w:t xml:space="preserve">        </w:t>
      </w:r>
      <w:r>
        <w:rPr>
          <w:rFonts w:hint="eastAsia" w:ascii="仿宋" w:hAnsi="仿宋" w:eastAsia="仿宋"/>
          <w:color w:val="auto"/>
          <w:sz w:val="32"/>
          <w:szCs w:val="32"/>
          <w:highlight w:val="none"/>
        </w:rPr>
        <w:t>（图3：支出决算结构图）（饼状图）</w:t>
      </w:r>
      <w:r>
        <w:rPr>
          <w:rFonts w:hint="eastAsia" w:ascii="仿宋" w:hAnsi="仿宋" w:eastAsia="仿宋"/>
          <w:color w:val="auto"/>
          <w:sz w:val="32"/>
          <w:szCs w:val="32"/>
          <w:highlight w:val="none"/>
          <w:shd w:val="pct10" w:color="auto" w:fill="FFFFFF"/>
          <w:lang w:val="en-US" w:eastAsia="zh-CN"/>
        </w:rPr>
        <w:t xml:space="preserve"> </w:t>
      </w:r>
    </w:p>
    <w:p>
      <w:pPr>
        <w:pStyle w:val="2"/>
        <w:rPr>
          <w:rFonts w:ascii="仿宋_GB2312" w:eastAsia="仿宋_GB2312"/>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4"/>
      <w:bookmarkEnd w:id="25"/>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4932.82</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469.98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Times New Roman" w:hAnsi="Times New Roman" w:eastAsia="仿宋_GB2312" w:cs="Times New Roman"/>
          <w:color w:val="auto"/>
          <w:sz w:val="32"/>
          <w:szCs w:val="32"/>
          <w:highlight w:val="none"/>
          <w:lang w:val="en-US" w:eastAsia="zh-CN"/>
        </w:rPr>
        <w:t>一是人员支出增加；二是按规定追加职工住房补贴；三是新增专项支出。</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0288" behindDoc="0" locked="0" layoutInCell="1" allowOverlap="1">
            <wp:simplePos x="0" y="0"/>
            <wp:positionH relativeFrom="column">
              <wp:posOffset>410845</wp:posOffset>
            </wp:positionH>
            <wp:positionV relativeFrom="paragraph">
              <wp:posOffset>276860</wp:posOffset>
            </wp:positionV>
            <wp:extent cx="4572000" cy="2743200"/>
            <wp:effectExtent l="4445" t="4445" r="14605" b="14605"/>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（图4：财政拨款收、支决算总计变动情况）（柱状图）</w:t>
      </w:r>
    </w:p>
    <w:p>
      <w:pPr>
        <w:spacing w:line="600" w:lineRule="exact"/>
      </w:pPr>
    </w:p>
    <w:p>
      <w:pPr>
        <w:spacing w:line="600" w:lineRule="exact"/>
        <w:ind w:firstLine="640" w:firstLineChars="200"/>
        <w:outlineLvl w:val="1"/>
        <w:rPr>
          <w:rStyle w:val="27"/>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default" w:ascii="仿宋" w:hAnsi="仿宋" w:eastAsia="仿宋"/>
          <w:color w:val="auto"/>
          <w:sz w:val="32"/>
          <w:szCs w:val="32"/>
          <w:highlight w:val="none"/>
          <w:lang w:val="e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default" w:ascii="仿宋" w:hAnsi="仿宋" w:eastAsia="仿宋"/>
          <w:color w:val="auto"/>
          <w:sz w:val="32"/>
          <w:szCs w:val="32"/>
          <w:highlight w:val="none"/>
          <w:lang w:val="en"/>
        </w:rPr>
        <w:t>4932.82</w:t>
      </w:r>
      <w:r>
        <w:rPr>
          <w:rFonts w:hint="eastAsia" w:ascii="仿宋" w:hAnsi="仿宋" w:eastAsia="仿宋"/>
          <w:color w:val="auto"/>
          <w:sz w:val="32"/>
          <w:szCs w:val="32"/>
          <w:highlight w:val="none"/>
        </w:rPr>
        <w:t>万元，占本年支出合计的</w:t>
      </w:r>
      <w:r>
        <w:rPr>
          <w:rFonts w:hint="default" w:ascii="仿宋" w:hAnsi="仿宋" w:eastAsia="仿宋"/>
          <w:color w:val="auto"/>
          <w:sz w:val="32"/>
          <w:szCs w:val="32"/>
          <w:highlight w:val="none"/>
          <w:lang w:val="en"/>
        </w:rPr>
        <w:t>99.08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default" w:ascii="仿宋" w:hAnsi="仿宋" w:eastAsia="仿宋"/>
          <w:color w:val="auto"/>
          <w:sz w:val="32"/>
          <w:szCs w:val="32"/>
          <w:highlight w:val="none"/>
          <w:lang w:val="en"/>
        </w:rPr>
        <w:t>469.98</w:t>
      </w:r>
      <w:r>
        <w:rPr>
          <w:rFonts w:hint="eastAsia" w:ascii="仿宋" w:hAnsi="仿宋" w:eastAsia="仿宋"/>
          <w:color w:val="auto"/>
          <w:sz w:val="32"/>
          <w:szCs w:val="32"/>
          <w:highlight w:val="none"/>
        </w:rPr>
        <w:t>万元，增长</w:t>
      </w:r>
      <w:r>
        <w:rPr>
          <w:rFonts w:hint="default" w:ascii="仿宋" w:hAnsi="仿宋" w:eastAsia="仿宋"/>
          <w:color w:val="auto"/>
          <w:sz w:val="32"/>
          <w:szCs w:val="32"/>
          <w:highlight w:val="none"/>
          <w:lang w:val="en"/>
        </w:rPr>
        <w:t>10.53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Times New Roman" w:hAnsi="Times New Roman" w:eastAsia="仿宋_GB2312" w:cs="Times New Roman"/>
          <w:color w:val="auto"/>
          <w:sz w:val="32"/>
          <w:szCs w:val="32"/>
          <w:highlight w:val="none"/>
          <w:lang w:val="en-US" w:eastAsia="zh-CN"/>
        </w:rPr>
        <w:t>一是人员支出增加；二是按规定追加职工住房补贴</w:t>
      </w:r>
      <w:r>
        <w:rPr>
          <w:rFonts w:hint="eastAsia" w:eastAsia="仿宋_GB2312" w:cs="Times New Roman"/>
          <w:color w:val="auto"/>
          <w:sz w:val="32"/>
          <w:szCs w:val="32"/>
          <w:highlight w:val="none"/>
          <w:lang w:val="en-US" w:eastAsia="zh-CN"/>
        </w:rPr>
        <w:t>。</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pStyle w:val="2"/>
        <w:rPr>
          <w:rFonts w:hint="eastAsia"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614045</wp:posOffset>
            </wp:positionH>
            <wp:positionV relativeFrom="paragraph">
              <wp:posOffset>183515</wp:posOffset>
            </wp:positionV>
            <wp:extent cx="4572000" cy="2983865"/>
            <wp:effectExtent l="4445" t="4445" r="14605" b="21590"/>
            <wp:wrapTopAndBottom/>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lang w:val="en-US" w:eastAsia="zh-CN"/>
        </w:rPr>
        <w:t xml:space="preserve">    </w:t>
      </w:r>
      <w:r>
        <w:rPr>
          <w:rFonts w:hint="eastAsia" w:ascii="仿宋" w:hAnsi="仿宋" w:eastAsia="仿宋"/>
          <w:color w:val="auto"/>
          <w:sz w:val="32"/>
          <w:szCs w:val="32"/>
          <w:highlight w:val="none"/>
        </w:rPr>
        <w:t>（图5：一般公共预算财政拨款支出决算变动情况）（柱状图）</w:t>
      </w:r>
      <w:bookmarkStart w:id="29" w:name="_Toc15377211"/>
    </w:p>
    <w:p>
      <w:pPr>
        <w:pStyle w:val="2"/>
        <w:rPr>
          <w:rFonts w:hint="eastAsia"/>
        </w:rPr>
      </w:pPr>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4932.82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3587.6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72.73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112.69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719.15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172.85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340.54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512445</wp:posOffset>
            </wp:positionH>
            <wp:positionV relativeFrom="paragraph">
              <wp:posOffset>113665</wp:posOffset>
            </wp:positionV>
            <wp:extent cx="4305300" cy="2506980"/>
            <wp:effectExtent l="4445" t="4445" r="14605" b="22225"/>
            <wp:wrapTopAndBottom/>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rPr>
      </w:pPr>
      <w:bookmarkStart w:id="30" w:name="_Toc15377212"/>
      <w:r>
        <w:rPr>
          <w:rFonts w:hint="eastAsia" w:ascii="仿宋" w:hAnsi="仿宋" w:eastAsia="仿宋"/>
          <w:color w:val="auto"/>
          <w:sz w:val="32"/>
          <w:szCs w:val="32"/>
          <w:highlight w:val="none"/>
        </w:rPr>
        <w:t>（图6：一般公共预算财政拨款支出决算结构）（饼状图）</w:t>
      </w:r>
    </w:p>
    <w:p>
      <w:pPr>
        <w:spacing w:line="600" w:lineRule="exact"/>
        <w:ind w:firstLine="642" w:firstLineChars="200"/>
        <w:outlineLvl w:val="2"/>
        <w:rPr>
          <w:rFonts w:hint="eastAsia" w:ascii="仿宋" w:hAnsi="仿宋" w:eastAsia="仿宋"/>
          <w:b/>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7444"/>
      <w:bookmarkStart w:id="32" w:name="_Toc15378460"/>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4932.82万元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91.87</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2" w:firstLineChars="200"/>
        <w:rPr>
          <w:rStyle w:val="16"/>
          <w:rFonts w:hint="eastAsia" w:ascii="仿宋" w:hAnsi="仿宋" w:eastAsia="仿宋"/>
          <w:b w:val="0"/>
          <w:bCs/>
          <w:color w:val="000000"/>
          <w:sz w:val="32"/>
          <w:szCs w:val="32"/>
          <w:lang w:eastAsia="zh-CN"/>
        </w:rPr>
      </w:pPr>
      <w:r>
        <w:rPr>
          <w:rStyle w:val="16"/>
          <w:rFonts w:hint="eastAsia" w:eastAsia="仿宋_GB2312" w:cs="Times New Roman"/>
          <w:bCs/>
          <w:color w:val="auto"/>
          <w:sz w:val="32"/>
          <w:szCs w:val="32"/>
          <w:lang w:val="en-US" w:eastAsia="zh-CN"/>
        </w:rPr>
        <w:t>1.</w:t>
      </w:r>
      <w:r>
        <w:rPr>
          <w:rStyle w:val="16"/>
          <w:rFonts w:hint="default" w:ascii="Times New Roman" w:hAnsi="Times New Roman" w:eastAsia="仿宋_GB2312" w:cs="Times New Roman"/>
          <w:bCs/>
          <w:color w:val="auto"/>
          <w:sz w:val="32"/>
          <w:szCs w:val="32"/>
        </w:rPr>
        <w:t>一般公共服务</w:t>
      </w:r>
      <w:r>
        <w:rPr>
          <w:rStyle w:val="16"/>
          <w:rFonts w:hint="default" w:ascii="Times New Roman" w:hAnsi="Times New Roman" w:eastAsia="仿宋_GB2312" w:cs="Times New Roman"/>
          <w:bCs/>
          <w:color w:val="auto"/>
          <w:sz w:val="32"/>
          <w:szCs w:val="32"/>
          <w:lang w:eastAsia="zh-CN"/>
        </w:rPr>
        <w:t>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民族事务</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lang w:eastAsia="zh-CN"/>
        </w:rPr>
        <w:t>行政运行</w:t>
      </w:r>
      <w:r>
        <w:rPr>
          <w:rStyle w:val="16"/>
          <w:rFonts w:hint="default" w:ascii="Times New Roman" w:hAnsi="Times New Roman" w:eastAsia="仿宋_GB2312" w:cs="Times New Roman"/>
          <w:bCs/>
          <w:color w:val="auto"/>
          <w:sz w:val="32"/>
          <w:szCs w:val="32"/>
        </w:rPr>
        <w:t>（项）: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2372.72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95.5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default" w:ascii="Times New Roman" w:hAnsi="Times New Roman" w:eastAsia="仿宋_GB2312" w:cs="Times New Roman"/>
          <w:b w:val="0"/>
          <w:bCs/>
          <w:color w:val="auto"/>
          <w:sz w:val="32"/>
          <w:szCs w:val="32"/>
        </w:rPr>
        <w:t>决算数小于预算数的主要原因是</w:t>
      </w:r>
      <w:r>
        <w:rPr>
          <w:rStyle w:val="16"/>
          <w:rFonts w:hint="default" w:ascii="Times New Roman" w:hAnsi="Times New Roman" w:eastAsia="仿宋_GB2312" w:cs="Times New Roman"/>
          <w:b w:val="0"/>
          <w:bCs/>
          <w:color w:val="auto"/>
          <w:sz w:val="32"/>
          <w:szCs w:val="32"/>
          <w:lang w:eastAsia="zh-CN"/>
        </w:rPr>
        <w:t>公用经费结余。</w:t>
      </w:r>
    </w:p>
    <w:p>
      <w:pPr>
        <w:numPr>
          <w:ilvl w:val="0"/>
          <w:numId w:val="0"/>
        </w:numPr>
        <w:spacing w:line="600" w:lineRule="exact"/>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 xml:space="preserve">    </w:t>
      </w:r>
      <w:r>
        <w:rPr>
          <w:rStyle w:val="16"/>
          <w:rFonts w:ascii="仿宋" w:hAnsi="仿宋" w:eastAsia="仿宋"/>
          <w:bCs/>
          <w:color w:val="000000"/>
          <w:sz w:val="32"/>
          <w:szCs w:val="32"/>
        </w:rPr>
        <w:t>2.</w:t>
      </w:r>
      <w:r>
        <w:rPr>
          <w:rStyle w:val="16"/>
          <w:rFonts w:hint="default" w:ascii="Times New Roman" w:hAnsi="Times New Roman" w:eastAsia="仿宋_GB2312" w:cs="Times New Roman"/>
          <w:bCs/>
          <w:color w:val="auto"/>
          <w:sz w:val="32"/>
          <w:szCs w:val="32"/>
        </w:rPr>
        <w:t>一般公共服务</w:t>
      </w:r>
      <w:r>
        <w:rPr>
          <w:rStyle w:val="16"/>
          <w:rFonts w:hint="default" w:ascii="Times New Roman" w:hAnsi="Times New Roman" w:eastAsia="仿宋_GB2312" w:cs="Times New Roman"/>
          <w:bCs/>
          <w:color w:val="auto"/>
          <w:sz w:val="32"/>
          <w:szCs w:val="32"/>
          <w:lang w:eastAsia="zh-CN"/>
        </w:rPr>
        <w:t>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民族事务</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highlight w:val="none"/>
          <w:shd w:val="clear"/>
        </w:rPr>
        <w:t>）</w:t>
      </w:r>
      <w:r>
        <w:rPr>
          <w:rStyle w:val="16"/>
          <w:rFonts w:hint="default" w:ascii="Times New Roman" w:hAnsi="Times New Roman" w:eastAsia="仿宋_GB2312" w:cs="Times New Roman"/>
          <w:bCs/>
          <w:color w:val="auto"/>
          <w:sz w:val="32"/>
          <w:szCs w:val="32"/>
          <w:highlight w:val="none"/>
          <w:shd w:val="clear"/>
          <w:lang w:eastAsia="zh-CN"/>
        </w:rPr>
        <w:t>一般行政管理事务</w:t>
      </w:r>
      <w:r>
        <w:rPr>
          <w:rStyle w:val="16"/>
          <w:rFonts w:hint="default" w:ascii="Times New Roman" w:hAnsi="Times New Roman" w:eastAsia="仿宋_GB2312" w:cs="Times New Roman"/>
          <w:bCs/>
          <w:color w:val="auto"/>
          <w:sz w:val="32"/>
          <w:szCs w:val="32"/>
          <w:highlight w:val="none"/>
          <w:shd w:val="clear"/>
        </w:rPr>
        <w:t>（项）</w:t>
      </w:r>
      <w:r>
        <w:rPr>
          <w:rStyle w:val="16"/>
          <w:rFonts w:hint="eastAsia" w:eastAsia="仿宋_GB2312" w:cs="Times New Roman"/>
          <w:bCs/>
          <w:color w:val="auto"/>
          <w:sz w:val="32"/>
          <w:szCs w:val="32"/>
          <w:highlight w:val="none"/>
          <w:shd w:val="clear"/>
          <w:lang w:val="en-US" w:eastAsia="zh-CN"/>
        </w:rPr>
        <w:t>:</w:t>
      </w:r>
      <w:r>
        <w:rPr>
          <w:rStyle w:val="16"/>
          <w:rFonts w:ascii="仿宋" w:hAnsi="仿宋" w:eastAsia="仿宋"/>
          <w:b w:val="0"/>
          <w:bCs/>
          <w:color w:val="000000"/>
          <w:sz w:val="32"/>
          <w:szCs w:val="32"/>
          <w:highlight w:val="none"/>
          <w:shd w:val="clear"/>
        </w:rPr>
        <w:t xml:space="preserve"> </w:t>
      </w:r>
      <w:r>
        <w:rPr>
          <w:rStyle w:val="16"/>
          <w:rFonts w:hint="eastAsia" w:ascii="仿宋" w:hAnsi="仿宋" w:eastAsia="仿宋"/>
          <w:b w:val="0"/>
          <w:bCs/>
          <w:color w:val="000000"/>
          <w:sz w:val="32"/>
          <w:szCs w:val="32"/>
          <w:highlight w:val="none"/>
          <w:shd w:val="clear"/>
        </w:rPr>
        <w:t>支出决算为</w:t>
      </w:r>
      <w:r>
        <w:rPr>
          <w:rStyle w:val="16"/>
          <w:rFonts w:hint="eastAsia" w:ascii="仿宋" w:hAnsi="仿宋" w:eastAsia="仿宋"/>
          <w:b w:val="0"/>
          <w:bCs/>
          <w:color w:val="000000"/>
          <w:sz w:val="32"/>
          <w:szCs w:val="32"/>
          <w:highlight w:val="none"/>
          <w:shd w:val="clear"/>
          <w:lang w:val="en-US" w:eastAsia="zh-CN"/>
        </w:rPr>
        <w:t>778.07</w:t>
      </w:r>
      <w:r>
        <w:rPr>
          <w:rStyle w:val="16"/>
          <w:rFonts w:hint="eastAsia" w:ascii="仿宋" w:hAnsi="仿宋" w:eastAsia="仿宋"/>
          <w:b w:val="0"/>
          <w:bCs/>
          <w:color w:val="000000"/>
          <w:sz w:val="32"/>
          <w:szCs w:val="32"/>
          <w:highlight w:val="none"/>
          <w:shd w:val="clear"/>
        </w:rPr>
        <w:t>万元，完成预算</w:t>
      </w:r>
      <w:r>
        <w:rPr>
          <w:rStyle w:val="16"/>
          <w:rFonts w:hint="eastAsia" w:ascii="仿宋" w:hAnsi="仿宋" w:eastAsia="仿宋"/>
          <w:b w:val="0"/>
          <w:bCs/>
          <w:color w:val="000000"/>
          <w:sz w:val="32"/>
          <w:szCs w:val="32"/>
          <w:highlight w:val="none"/>
          <w:shd w:val="clear"/>
          <w:lang w:val="en-US" w:eastAsia="zh-CN"/>
        </w:rPr>
        <w:t>78.1</w:t>
      </w:r>
      <w:r>
        <w:rPr>
          <w:rStyle w:val="16"/>
          <w:rFonts w:ascii="仿宋" w:hAnsi="仿宋" w:eastAsia="仿宋"/>
          <w:b w:val="0"/>
          <w:bCs/>
          <w:color w:val="000000"/>
          <w:sz w:val="32"/>
          <w:szCs w:val="32"/>
          <w:highlight w:val="none"/>
          <w:shd w:val="clear"/>
        </w:rPr>
        <w:t>%</w:t>
      </w:r>
      <w:r>
        <w:rPr>
          <w:rStyle w:val="16"/>
          <w:rFonts w:hint="eastAsia" w:ascii="仿宋" w:hAnsi="仿宋" w:eastAsia="仿宋"/>
          <w:b w:val="0"/>
          <w:bCs/>
          <w:color w:val="000000"/>
          <w:sz w:val="32"/>
          <w:szCs w:val="32"/>
        </w:rPr>
        <w:t>。</w:t>
      </w:r>
      <w:r>
        <w:rPr>
          <w:rStyle w:val="16"/>
          <w:rFonts w:hint="default" w:ascii="Times New Roman" w:hAnsi="Times New Roman" w:eastAsia="仿宋_GB2312" w:cs="Times New Roman"/>
          <w:b w:val="0"/>
          <w:bCs/>
          <w:color w:val="auto"/>
          <w:sz w:val="32"/>
          <w:szCs w:val="32"/>
        </w:rPr>
        <w:t>决算数小于预算数的主要原因是</w:t>
      </w:r>
      <w:r>
        <w:rPr>
          <w:rStyle w:val="16"/>
          <w:rFonts w:hint="default" w:ascii="Times New Roman" w:hAnsi="Times New Roman" w:eastAsia="仿宋_GB2312" w:cs="Times New Roman"/>
          <w:b w:val="0"/>
          <w:bCs/>
          <w:color w:val="auto"/>
          <w:sz w:val="32"/>
          <w:szCs w:val="32"/>
          <w:lang w:eastAsia="zh-CN"/>
        </w:rPr>
        <w:t>部分专项工作因</w:t>
      </w:r>
      <w:r>
        <w:rPr>
          <w:rStyle w:val="16"/>
          <w:rFonts w:hint="default" w:ascii="Times New Roman" w:hAnsi="Times New Roman" w:eastAsia="仿宋_GB2312" w:cs="Times New Roman"/>
          <w:b w:val="0"/>
          <w:bCs/>
          <w:color w:val="auto"/>
          <w:sz w:val="32"/>
          <w:szCs w:val="32"/>
          <w:lang w:val="en-US" w:eastAsia="zh-CN"/>
        </w:rPr>
        <w:t>新冠肺炎疫情</w:t>
      </w:r>
      <w:r>
        <w:rPr>
          <w:rStyle w:val="16"/>
          <w:rFonts w:hint="default" w:ascii="Times New Roman" w:hAnsi="Times New Roman" w:eastAsia="仿宋_GB2312" w:cs="Times New Roman"/>
          <w:b w:val="0"/>
          <w:bCs/>
          <w:color w:val="auto"/>
          <w:sz w:val="32"/>
          <w:szCs w:val="32"/>
          <w:lang w:eastAsia="zh-CN"/>
        </w:rPr>
        <w:t>原因未开展。</w:t>
      </w:r>
    </w:p>
    <w:p>
      <w:pPr>
        <w:numPr>
          <w:ilvl w:val="0"/>
          <w:numId w:val="0"/>
        </w:numPr>
        <w:spacing w:line="600" w:lineRule="exact"/>
        <w:ind w:firstLine="642"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default" w:ascii="Times New Roman" w:hAnsi="Times New Roman" w:eastAsia="仿宋_GB2312" w:cs="Times New Roman"/>
          <w:bCs/>
          <w:color w:val="auto"/>
          <w:sz w:val="32"/>
          <w:szCs w:val="32"/>
        </w:rPr>
        <w:t>一般公共服务</w:t>
      </w:r>
      <w:r>
        <w:rPr>
          <w:rStyle w:val="16"/>
          <w:rFonts w:hint="default" w:ascii="Times New Roman" w:hAnsi="Times New Roman" w:eastAsia="仿宋_GB2312" w:cs="Times New Roman"/>
          <w:bCs/>
          <w:color w:val="auto"/>
          <w:sz w:val="32"/>
          <w:szCs w:val="32"/>
          <w:lang w:eastAsia="zh-CN"/>
        </w:rPr>
        <w:t>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民族事务</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lang w:eastAsia="zh-CN"/>
        </w:rPr>
        <w:t>民族工作专项</w:t>
      </w:r>
      <w:r>
        <w:rPr>
          <w:rStyle w:val="16"/>
          <w:rFonts w:hint="default" w:ascii="Times New Roman" w:hAnsi="Times New Roman" w:eastAsia="仿宋_GB2312" w:cs="Times New Roman"/>
          <w:bCs/>
          <w:color w:val="auto"/>
          <w:sz w:val="32"/>
          <w:szCs w:val="32"/>
        </w:rPr>
        <w:t>（项）:</w:t>
      </w:r>
      <w:r>
        <w:rPr>
          <w:rStyle w:val="16"/>
          <w:rFonts w:hint="default" w:ascii="Times New Roman" w:hAnsi="Times New Roman" w:eastAsia="仿宋_GB2312" w:cs="Times New Roman"/>
          <w:b w:val="0"/>
          <w:bCs/>
          <w:color w:val="auto"/>
          <w:sz w:val="32"/>
          <w:szCs w:val="32"/>
        </w:rPr>
        <w:t xml:space="preserve"> </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277.06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75.45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default" w:ascii="Times New Roman" w:hAnsi="Times New Roman" w:eastAsia="仿宋_GB2312" w:cs="Times New Roman"/>
          <w:b w:val="0"/>
          <w:bCs/>
          <w:color w:val="auto"/>
          <w:sz w:val="32"/>
          <w:szCs w:val="32"/>
        </w:rPr>
        <w:t>决算数小于预算数的主要原因是</w:t>
      </w:r>
      <w:r>
        <w:rPr>
          <w:rStyle w:val="16"/>
          <w:rFonts w:hint="default" w:ascii="Times New Roman" w:hAnsi="Times New Roman" w:eastAsia="仿宋_GB2312" w:cs="Times New Roman"/>
          <w:b w:val="0"/>
          <w:bCs/>
          <w:color w:val="auto"/>
          <w:sz w:val="32"/>
          <w:szCs w:val="32"/>
          <w:lang w:eastAsia="zh-CN"/>
        </w:rPr>
        <w:t>部分专项工作因</w:t>
      </w:r>
      <w:r>
        <w:rPr>
          <w:rStyle w:val="16"/>
          <w:rFonts w:hint="default" w:ascii="Times New Roman" w:hAnsi="Times New Roman" w:eastAsia="仿宋_GB2312" w:cs="Times New Roman"/>
          <w:b w:val="0"/>
          <w:bCs/>
          <w:color w:val="auto"/>
          <w:sz w:val="32"/>
          <w:szCs w:val="32"/>
          <w:lang w:val="en-US" w:eastAsia="zh-CN"/>
        </w:rPr>
        <w:t>新冠肺炎疫情</w:t>
      </w:r>
      <w:r>
        <w:rPr>
          <w:rStyle w:val="16"/>
          <w:rFonts w:hint="default" w:ascii="Times New Roman" w:hAnsi="Times New Roman" w:eastAsia="仿宋_GB2312" w:cs="Times New Roman"/>
          <w:b w:val="0"/>
          <w:bCs/>
          <w:color w:val="auto"/>
          <w:sz w:val="32"/>
          <w:szCs w:val="32"/>
          <w:lang w:eastAsia="zh-CN"/>
        </w:rPr>
        <w:t>原因未开展。</w:t>
      </w:r>
    </w:p>
    <w:p>
      <w:pPr>
        <w:numPr>
          <w:ilvl w:val="0"/>
          <w:numId w:val="0"/>
        </w:numPr>
        <w:spacing w:line="600" w:lineRule="exact"/>
        <w:ind w:firstLine="642" w:firstLineChars="200"/>
      </w:pPr>
      <w:r>
        <w:rPr>
          <w:rStyle w:val="16"/>
          <w:rFonts w:ascii="仿宋" w:hAnsi="仿宋" w:eastAsia="仿宋"/>
          <w:bCs/>
          <w:color w:val="000000"/>
          <w:sz w:val="32"/>
          <w:szCs w:val="32"/>
        </w:rPr>
        <w:t>4.</w:t>
      </w:r>
      <w:r>
        <w:rPr>
          <w:rStyle w:val="16"/>
          <w:rFonts w:hint="default" w:ascii="Times New Roman" w:hAnsi="Times New Roman" w:eastAsia="仿宋_GB2312" w:cs="Times New Roman"/>
          <w:bCs/>
          <w:color w:val="auto"/>
          <w:sz w:val="32"/>
          <w:szCs w:val="32"/>
        </w:rPr>
        <w:t>一般公共服务</w:t>
      </w:r>
      <w:r>
        <w:rPr>
          <w:rStyle w:val="16"/>
          <w:rFonts w:hint="default" w:ascii="Times New Roman" w:hAnsi="Times New Roman" w:eastAsia="仿宋_GB2312" w:cs="Times New Roman"/>
          <w:bCs/>
          <w:color w:val="auto"/>
          <w:sz w:val="32"/>
          <w:szCs w:val="32"/>
          <w:lang w:eastAsia="zh-CN"/>
        </w:rPr>
        <w:t>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统战事务</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lang w:eastAsia="zh-CN"/>
        </w:rPr>
        <w:t>宗教事务</w:t>
      </w:r>
      <w:r>
        <w:rPr>
          <w:rStyle w:val="16"/>
          <w:rFonts w:hint="default" w:ascii="Times New Roman" w:hAnsi="Times New Roman" w:eastAsia="仿宋_GB2312" w:cs="Times New Roman"/>
          <w:bCs/>
          <w:color w:val="auto"/>
          <w:sz w:val="32"/>
          <w:szCs w:val="32"/>
        </w:rPr>
        <w:t>（项）:</w:t>
      </w:r>
      <w:r>
        <w:rPr>
          <w:rStyle w:val="16"/>
          <w:rFonts w:hint="default" w:ascii="Times New Roman" w:hAnsi="Times New Roman" w:eastAsia="仿宋_GB2312" w:cs="Times New Roman"/>
          <w:b w:val="0"/>
          <w:bCs/>
          <w:color w:val="auto"/>
          <w:sz w:val="32"/>
          <w:szCs w:val="32"/>
        </w:rPr>
        <w:t xml:space="preserve"> </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159.75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70.33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default" w:ascii="Times New Roman" w:hAnsi="Times New Roman" w:eastAsia="仿宋_GB2312" w:cs="Times New Roman"/>
          <w:b w:val="0"/>
          <w:bCs/>
          <w:color w:val="auto"/>
          <w:sz w:val="32"/>
          <w:szCs w:val="32"/>
        </w:rPr>
        <w:t>决算数小于预算数的主要原因是</w:t>
      </w:r>
      <w:r>
        <w:rPr>
          <w:rStyle w:val="16"/>
          <w:rFonts w:hint="default" w:ascii="Times New Roman" w:hAnsi="Times New Roman" w:eastAsia="仿宋_GB2312" w:cs="Times New Roman"/>
          <w:b w:val="0"/>
          <w:bCs/>
          <w:color w:val="auto"/>
          <w:sz w:val="32"/>
          <w:szCs w:val="32"/>
          <w:lang w:eastAsia="zh-CN"/>
        </w:rPr>
        <w:t>部分专项工作因</w:t>
      </w:r>
      <w:r>
        <w:rPr>
          <w:rStyle w:val="16"/>
          <w:rFonts w:hint="default" w:ascii="Times New Roman" w:hAnsi="Times New Roman" w:eastAsia="仿宋_GB2312" w:cs="Times New Roman"/>
          <w:b w:val="0"/>
          <w:bCs/>
          <w:color w:val="auto"/>
          <w:sz w:val="32"/>
          <w:szCs w:val="32"/>
          <w:lang w:val="en-US" w:eastAsia="zh-CN"/>
        </w:rPr>
        <w:t>新冠肺炎疫情</w:t>
      </w:r>
      <w:r>
        <w:rPr>
          <w:rStyle w:val="16"/>
          <w:rFonts w:hint="default" w:ascii="Times New Roman" w:hAnsi="Times New Roman" w:eastAsia="仿宋_GB2312" w:cs="Times New Roman"/>
          <w:b w:val="0"/>
          <w:bCs/>
          <w:color w:val="auto"/>
          <w:sz w:val="32"/>
          <w:szCs w:val="32"/>
          <w:lang w:eastAsia="zh-CN"/>
        </w:rPr>
        <w:t>原因未开展。</w:t>
      </w:r>
    </w:p>
    <w:p>
      <w:pPr>
        <w:numPr>
          <w:ilvl w:val="0"/>
          <w:numId w:val="0"/>
        </w:numPr>
        <w:spacing w:line="600" w:lineRule="exact"/>
        <w:ind w:firstLine="642"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5</w:t>
      </w:r>
      <w:r>
        <w:rPr>
          <w:rStyle w:val="16"/>
          <w:rFonts w:ascii="仿宋" w:hAnsi="仿宋" w:eastAsia="仿宋"/>
          <w:bCs/>
          <w:color w:val="000000"/>
          <w:sz w:val="32"/>
          <w:szCs w:val="32"/>
        </w:rPr>
        <w:t>.</w:t>
      </w:r>
      <w:r>
        <w:rPr>
          <w:rStyle w:val="16"/>
          <w:rFonts w:hint="default" w:ascii="Times New Roman" w:hAnsi="Times New Roman" w:eastAsia="仿宋_GB2312" w:cs="Times New Roman"/>
          <w:bCs/>
          <w:color w:val="auto"/>
          <w:sz w:val="32"/>
          <w:szCs w:val="32"/>
        </w:rPr>
        <w:t>教育</w:t>
      </w:r>
      <w:r>
        <w:rPr>
          <w:rStyle w:val="16"/>
          <w:rFonts w:hint="default" w:ascii="Times New Roman" w:hAnsi="Times New Roman" w:eastAsia="仿宋_GB2312" w:cs="Times New Roman"/>
          <w:bCs/>
          <w:color w:val="auto"/>
          <w:sz w:val="32"/>
          <w:szCs w:val="32"/>
          <w:lang w:eastAsia="zh-CN"/>
        </w:rPr>
        <w:t>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其他教育支出</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lang w:eastAsia="zh-CN"/>
        </w:rPr>
        <w:t>其他教育支出</w:t>
      </w:r>
      <w:r>
        <w:rPr>
          <w:rStyle w:val="16"/>
          <w:rFonts w:hint="default" w:ascii="Times New Roman" w:hAnsi="Times New Roman" w:eastAsia="仿宋_GB2312" w:cs="Times New Roman"/>
          <w:bCs/>
          <w:color w:val="auto"/>
          <w:sz w:val="32"/>
          <w:szCs w:val="32"/>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112.69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93.24</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，决算数小于预算数的主要原因是</w:t>
      </w:r>
      <w:r>
        <w:rPr>
          <w:rStyle w:val="16"/>
          <w:rFonts w:hint="eastAsia" w:ascii="仿宋" w:hAnsi="仿宋" w:eastAsia="仿宋"/>
          <w:b w:val="0"/>
          <w:bCs/>
          <w:color w:val="auto"/>
          <w:sz w:val="32"/>
          <w:szCs w:val="32"/>
          <w:highlight w:val="none"/>
          <w:lang w:eastAsia="zh-CN"/>
        </w:rPr>
        <w:t>由于受疫情影响，部分培训未能如期开展</w:t>
      </w:r>
      <w:r>
        <w:rPr>
          <w:rStyle w:val="16"/>
          <w:rFonts w:hint="eastAsia" w:ascii="仿宋" w:hAnsi="仿宋" w:eastAsia="仿宋"/>
          <w:b w:val="0"/>
          <w:bCs/>
          <w:color w:val="auto"/>
          <w:sz w:val="32"/>
          <w:szCs w:val="32"/>
          <w:highlight w:val="none"/>
        </w:rPr>
        <w:t>。</w:t>
      </w:r>
    </w:p>
    <w:p>
      <w:pPr>
        <w:pStyle w:val="2"/>
        <w:ind w:firstLine="642" w:firstLineChars="200"/>
        <w:rPr>
          <w:rStyle w:val="16"/>
          <w:rFonts w:ascii="仿宋" w:hAnsi="仿宋" w:eastAsia="仿宋"/>
          <w:b w:val="0"/>
          <w:bCs/>
          <w:color w:val="000000"/>
          <w:sz w:val="32"/>
          <w:szCs w:val="32"/>
        </w:rPr>
      </w:pPr>
      <w:r>
        <w:rPr>
          <w:rStyle w:val="16"/>
          <w:rFonts w:hint="eastAsia" w:ascii="仿宋" w:hAnsi="仿宋" w:eastAsia="仿宋" w:cstheme="minorBidi"/>
          <w:bCs/>
          <w:color w:val="000000"/>
          <w:kern w:val="2"/>
          <w:sz w:val="32"/>
          <w:szCs w:val="32"/>
          <w:lang w:val="en-US" w:eastAsia="zh-CN" w:bidi="ar-SA"/>
        </w:rPr>
        <w:t>6.</w:t>
      </w:r>
      <w:r>
        <w:rPr>
          <w:rStyle w:val="16"/>
          <w:rFonts w:hint="default" w:ascii="仿宋" w:hAnsi="仿宋" w:eastAsia="仿宋" w:cstheme="minorBidi"/>
          <w:bCs/>
          <w:color w:val="000000"/>
          <w:kern w:val="2"/>
          <w:sz w:val="32"/>
          <w:szCs w:val="32"/>
          <w:lang w:val="en-US" w:eastAsia="zh-CN" w:bidi="ar-SA"/>
        </w:rPr>
        <w:t>社</w:t>
      </w:r>
      <w:r>
        <w:rPr>
          <w:rStyle w:val="16"/>
          <w:rFonts w:hint="default" w:ascii="Times New Roman" w:hAnsi="Times New Roman" w:eastAsia="仿宋_GB2312" w:cs="Times New Roman"/>
          <w:bCs/>
          <w:color w:val="auto"/>
          <w:sz w:val="32"/>
          <w:szCs w:val="32"/>
          <w:lang w:eastAsia="zh-CN"/>
        </w:rPr>
        <w:t>会保障和就业支出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行政事业单位</w:t>
      </w:r>
      <w:r>
        <w:rPr>
          <w:rStyle w:val="16"/>
          <w:rFonts w:hint="default" w:ascii="Times New Roman" w:hAnsi="Times New Roman" w:eastAsia="仿宋_GB2312" w:cs="Times New Roman"/>
          <w:bCs/>
          <w:color w:val="auto"/>
          <w:sz w:val="32"/>
          <w:szCs w:val="32"/>
          <w:lang w:val="en-US" w:eastAsia="zh-CN"/>
        </w:rPr>
        <w:t>养老支出</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lang w:eastAsia="zh-CN"/>
        </w:rPr>
        <w:t>行政单位离退休</w:t>
      </w:r>
      <w:r>
        <w:rPr>
          <w:rStyle w:val="16"/>
          <w:rFonts w:hint="default" w:ascii="Times New Roman" w:hAnsi="Times New Roman" w:eastAsia="仿宋_GB2312" w:cs="Times New Roman"/>
          <w:bCs/>
          <w:color w:val="auto"/>
          <w:sz w:val="32"/>
          <w:szCs w:val="32"/>
        </w:rPr>
        <w:t>（项）:</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474.24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97.93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default" w:ascii="Times New Roman" w:hAnsi="Times New Roman" w:eastAsia="仿宋_GB2312" w:cs="Times New Roman"/>
          <w:b w:val="0"/>
          <w:bCs/>
          <w:color w:val="auto"/>
          <w:sz w:val="32"/>
          <w:szCs w:val="32"/>
        </w:rPr>
        <w:t>决算数小于预算数的主要原因是</w:t>
      </w:r>
      <w:r>
        <w:rPr>
          <w:rStyle w:val="16"/>
          <w:rFonts w:hint="eastAsia" w:ascii="Times New Roman" w:cs="Times New Roman"/>
          <w:b w:val="0"/>
          <w:bCs/>
          <w:color w:val="auto"/>
          <w:sz w:val="32"/>
          <w:szCs w:val="32"/>
          <w:lang w:eastAsia="zh-CN"/>
        </w:rPr>
        <w:t>单位有离休人员去世。</w:t>
      </w:r>
    </w:p>
    <w:p>
      <w:pPr>
        <w:pStyle w:val="2"/>
        <w:ind w:firstLine="640" w:firstLineChars="200"/>
        <w:rPr>
          <w:rStyle w:val="16"/>
          <w:rFonts w:hint="default" w:ascii="Times New Roman" w:hAnsi="Times New Roman" w:eastAsia="仿宋_GB2312" w:cs="Times New Roman"/>
          <w:b w:val="0"/>
          <w:bCs/>
          <w:color w:val="auto"/>
          <w:sz w:val="32"/>
          <w:szCs w:val="32"/>
          <w:highlight w:val="none"/>
        </w:rPr>
      </w:pPr>
      <w:r>
        <w:rPr>
          <w:rStyle w:val="16"/>
          <w:rFonts w:hint="eastAsia" w:ascii="Times New Roman" w:cs="Times New Roman"/>
          <w:b w:val="0"/>
          <w:bCs/>
          <w:color w:val="auto"/>
          <w:sz w:val="32"/>
          <w:szCs w:val="32"/>
          <w:lang w:val="en-US" w:eastAsia="zh-CN"/>
        </w:rPr>
        <w:t>7.</w:t>
      </w:r>
      <w:r>
        <w:rPr>
          <w:rStyle w:val="16"/>
          <w:rFonts w:hint="default" w:ascii="Times New Roman" w:hAnsi="Times New Roman" w:eastAsia="仿宋_GB2312" w:cs="Times New Roman"/>
          <w:bCs/>
          <w:color w:val="auto"/>
          <w:sz w:val="32"/>
          <w:szCs w:val="32"/>
          <w:lang w:eastAsia="zh-CN"/>
        </w:rPr>
        <w:t>社会保障和就业支出</w:t>
      </w:r>
      <w:r>
        <w:rPr>
          <w:rStyle w:val="16"/>
          <w:rFonts w:hint="default" w:ascii="Times New Roman" w:hAnsi="Times New Roman" w:eastAsia="仿宋_GB2312" w:cs="Times New Roman"/>
          <w:bCs/>
          <w:color w:val="auto"/>
          <w:sz w:val="32"/>
          <w:szCs w:val="32"/>
        </w:rPr>
        <w:t>（类）</w:t>
      </w:r>
      <w:r>
        <w:rPr>
          <w:rStyle w:val="16"/>
          <w:rFonts w:hint="default" w:ascii="Times New Roman" w:hAnsi="Times New Roman" w:eastAsia="仿宋_GB2312" w:cs="Times New Roman"/>
          <w:bCs/>
          <w:color w:val="auto"/>
          <w:sz w:val="32"/>
          <w:szCs w:val="32"/>
          <w:lang w:eastAsia="zh-CN"/>
        </w:rPr>
        <w:t>行政事业单位</w:t>
      </w:r>
      <w:r>
        <w:rPr>
          <w:rStyle w:val="16"/>
          <w:rFonts w:hint="default" w:ascii="Times New Roman" w:hAnsi="Times New Roman" w:eastAsia="仿宋_GB2312" w:cs="Times New Roman"/>
          <w:bCs/>
          <w:color w:val="auto"/>
          <w:sz w:val="32"/>
          <w:szCs w:val="32"/>
          <w:lang w:val="en-US" w:eastAsia="zh-CN"/>
        </w:rPr>
        <w:t>养老支出</w:t>
      </w:r>
      <w:r>
        <w:rPr>
          <w:rStyle w:val="16"/>
          <w:rFonts w:hint="default" w:ascii="Times New Roman" w:hAnsi="Times New Roman" w:eastAsia="仿宋_GB2312" w:cs="Times New Roman"/>
          <w:bCs/>
          <w:color w:val="auto"/>
          <w:sz w:val="32"/>
          <w:szCs w:val="32"/>
        </w:rPr>
        <w:t>（款）</w:t>
      </w:r>
      <w:r>
        <w:rPr>
          <w:rStyle w:val="16"/>
          <w:rFonts w:hint="default" w:ascii="Times New Roman" w:hAnsi="Times New Roman" w:eastAsia="仿宋_GB2312" w:cs="Times New Roman"/>
          <w:bCs/>
          <w:color w:val="auto"/>
          <w:sz w:val="32"/>
          <w:szCs w:val="32"/>
          <w:lang w:eastAsia="zh-CN"/>
        </w:rPr>
        <w:t>机关事业单位基本养老保险缴费支出</w:t>
      </w:r>
      <w:r>
        <w:rPr>
          <w:rStyle w:val="16"/>
          <w:rFonts w:hint="default" w:ascii="Times New Roman" w:hAnsi="Times New Roman" w:eastAsia="仿宋_GB2312" w:cs="Times New Roman"/>
          <w:bCs/>
          <w:color w:val="auto"/>
          <w:sz w:val="32"/>
          <w:szCs w:val="32"/>
        </w:rPr>
        <w:t>（项）:</w:t>
      </w:r>
      <w:r>
        <w:rPr>
          <w:rStyle w:val="16"/>
          <w:rFonts w:hint="default" w:ascii="Times New Roman" w:hAnsi="Times New Roman" w:eastAsia="仿宋_GB2312" w:cs="Times New Roman"/>
          <w:b w:val="0"/>
          <w:bCs/>
          <w:color w:val="auto"/>
          <w:sz w:val="32"/>
          <w:szCs w:val="32"/>
        </w:rPr>
        <w:t>支出决算为</w:t>
      </w:r>
      <w:r>
        <w:rPr>
          <w:rStyle w:val="16"/>
          <w:rFonts w:hint="eastAsia" w:ascii="Times New Roman" w:cs="Times New Roman"/>
          <w:b w:val="0"/>
          <w:bCs/>
          <w:color w:val="auto"/>
          <w:sz w:val="32"/>
          <w:szCs w:val="32"/>
          <w:lang w:val="en-US" w:eastAsia="zh-CN"/>
        </w:rPr>
        <w:t>172.24</w:t>
      </w:r>
      <w:r>
        <w:rPr>
          <w:rStyle w:val="16"/>
          <w:rFonts w:hint="default" w:ascii="Times New Roman" w:hAnsi="Times New Roman" w:eastAsia="仿宋_GB2312" w:cs="Times New Roman"/>
          <w:b w:val="0"/>
          <w:bCs/>
          <w:color w:val="auto"/>
          <w:sz w:val="32"/>
          <w:szCs w:val="32"/>
        </w:rPr>
        <w:t>万元，完成预算</w:t>
      </w:r>
      <w:r>
        <w:rPr>
          <w:rStyle w:val="16"/>
          <w:rFonts w:hint="eastAsia" w:ascii="Times New Roman" w:cs="Times New Roman"/>
          <w:b w:val="0"/>
          <w:bCs/>
          <w:color w:val="auto"/>
          <w:sz w:val="32"/>
          <w:szCs w:val="32"/>
          <w:lang w:val="en-US" w:eastAsia="zh-CN"/>
        </w:rPr>
        <w:t>98.32</w:t>
      </w:r>
      <w:r>
        <w:rPr>
          <w:rStyle w:val="16"/>
          <w:rFonts w:hint="default" w:ascii="Times New Roman" w:hAnsi="Times New Roman" w:eastAsia="仿宋_GB2312" w:cs="Times New Roman"/>
          <w:b w:val="0"/>
          <w:bCs/>
          <w:color w:val="auto"/>
          <w:sz w:val="32"/>
          <w:szCs w:val="32"/>
        </w:rPr>
        <w:t>%。决算数小于预算数的主要原因是</w:t>
      </w:r>
      <w:r>
        <w:rPr>
          <w:rStyle w:val="16"/>
          <w:rFonts w:hint="default" w:ascii="Times New Roman" w:hAnsi="Times New Roman" w:eastAsia="仿宋_GB2312" w:cs="Times New Roman"/>
          <w:b w:val="0"/>
          <w:bCs/>
          <w:color w:val="auto"/>
          <w:sz w:val="32"/>
          <w:szCs w:val="32"/>
          <w:lang w:eastAsia="zh-CN"/>
        </w:rPr>
        <w:t>年内单位有新增退休</w:t>
      </w:r>
      <w:r>
        <w:rPr>
          <w:rStyle w:val="16"/>
          <w:rFonts w:hint="default" w:ascii="Times New Roman" w:hAnsi="Times New Roman" w:eastAsia="仿宋_GB2312" w:cs="Times New Roman"/>
          <w:b w:val="0"/>
          <w:bCs/>
          <w:color w:val="auto"/>
          <w:sz w:val="32"/>
          <w:szCs w:val="32"/>
          <w:highlight w:val="none"/>
          <w:lang w:eastAsia="zh-CN"/>
        </w:rPr>
        <w:t>人员，停缴养老保险。</w:t>
      </w:r>
    </w:p>
    <w:p>
      <w:pPr>
        <w:pStyle w:val="2"/>
        <w:ind w:firstLine="640" w:firstLineChars="200"/>
        <w:rPr>
          <w:rStyle w:val="16"/>
          <w:rFonts w:hint="default" w:ascii="Times New Roman" w:hAnsi="Times New Roman" w:eastAsia="仿宋_GB2312" w:cs="Times New Roman"/>
          <w:bCs/>
          <w:color w:val="auto"/>
          <w:sz w:val="32"/>
          <w:szCs w:val="32"/>
          <w:highlight w:val="none"/>
        </w:rPr>
      </w:pPr>
      <w:r>
        <w:rPr>
          <w:rStyle w:val="16"/>
          <w:rFonts w:hint="eastAsia" w:ascii="Times New Roman" w:cs="Times New Roman"/>
          <w:b w:val="0"/>
          <w:bCs/>
          <w:color w:val="auto"/>
          <w:sz w:val="32"/>
          <w:szCs w:val="32"/>
          <w:highlight w:val="none"/>
          <w:lang w:val="en-US" w:eastAsia="zh-CN"/>
        </w:rPr>
        <w:t>8.</w:t>
      </w:r>
      <w:r>
        <w:rPr>
          <w:rStyle w:val="16"/>
          <w:rFonts w:hint="default" w:ascii="Times New Roman" w:hAnsi="Times New Roman" w:eastAsia="仿宋_GB2312" w:cs="Times New Roman"/>
          <w:bCs/>
          <w:color w:val="auto"/>
          <w:sz w:val="32"/>
          <w:szCs w:val="32"/>
          <w:highlight w:val="none"/>
          <w:lang w:eastAsia="zh-CN"/>
        </w:rPr>
        <w:t>社会保障和就业支出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行政事业单位</w:t>
      </w:r>
      <w:r>
        <w:rPr>
          <w:rStyle w:val="16"/>
          <w:rFonts w:hint="default" w:ascii="Times New Roman" w:hAnsi="Times New Roman" w:eastAsia="仿宋_GB2312" w:cs="Times New Roman"/>
          <w:bCs/>
          <w:color w:val="auto"/>
          <w:sz w:val="32"/>
          <w:szCs w:val="32"/>
          <w:highlight w:val="none"/>
          <w:lang w:val="en-US" w:eastAsia="zh-CN"/>
        </w:rPr>
        <w:t>养老支出</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eastAsia="zh-CN"/>
        </w:rPr>
        <w:t>机关事业单位职业年金缴费支出</w:t>
      </w:r>
      <w:r>
        <w:rPr>
          <w:rStyle w:val="16"/>
          <w:rFonts w:hint="default" w:ascii="Times New Roman" w:hAnsi="Times New Roman" w:eastAsia="仿宋_GB2312" w:cs="Times New Roman"/>
          <w:bCs/>
          <w:color w:val="auto"/>
          <w:sz w:val="32"/>
          <w:szCs w:val="32"/>
          <w:highlight w:val="none"/>
        </w:rPr>
        <w:t>（项）:</w:t>
      </w: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16.35</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100</w:t>
      </w:r>
      <w:r>
        <w:rPr>
          <w:rStyle w:val="16"/>
          <w:rFonts w:hint="default" w:ascii="Times New Roman" w:hAnsi="Times New Roman" w:eastAsia="仿宋_GB2312" w:cs="Times New Roman"/>
          <w:b w:val="0"/>
          <w:bCs/>
          <w:color w:val="auto"/>
          <w:sz w:val="32"/>
          <w:szCs w:val="32"/>
          <w:highlight w:val="none"/>
        </w:rPr>
        <w:t>%。</w:t>
      </w:r>
    </w:p>
    <w:p>
      <w:pPr>
        <w:pStyle w:val="2"/>
        <w:ind w:firstLine="642" w:firstLineChars="200"/>
        <w:rPr>
          <w:rStyle w:val="16"/>
          <w:rFonts w:hint="default" w:ascii="Times New Roman" w:hAnsi="Times New Roman" w:eastAsia="仿宋_GB2312" w:cs="Times New Roman"/>
          <w:bCs/>
          <w:color w:val="auto"/>
          <w:sz w:val="32"/>
          <w:szCs w:val="32"/>
          <w:highlight w:val="none"/>
        </w:rPr>
      </w:pPr>
      <w:r>
        <w:rPr>
          <w:rStyle w:val="16"/>
          <w:rFonts w:hint="eastAsia" w:ascii="Times New Roman" w:cs="Times New Roman"/>
          <w:bCs/>
          <w:color w:val="auto"/>
          <w:sz w:val="32"/>
          <w:szCs w:val="32"/>
          <w:highlight w:val="none"/>
          <w:lang w:val="en-US" w:eastAsia="zh-CN"/>
        </w:rPr>
        <w:t>9.</w:t>
      </w:r>
      <w:r>
        <w:rPr>
          <w:rStyle w:val="16"/>
          <w:rFonts w:hint="default" w:ascii="Times New Roman" w:hAnsi="Times New Roman" w:eastAsia="仿宋_GB2312" w:cs="Times New Roman"/>
          <w:bCs/>
          <w:color w:val="auto"/>
          <w:sz w:val="32"/>
          <w:szCs w:val="32"/>
          <w:highlight w:val="none"/>
          <w:lang w:eastAsia="zh-CN"/>
        </w:rPr>
        <w:t>社会保障和就业支出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抚恤</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eastAsia="zh-CN"/>
        </w:rPr>
        <w:t>死亡抚恤</w:t>
      </w:r>
      <w:r>
        <w:rPr>
          <w:rStyle w:val="16"/>
          <w:rFonts w:hint="default" w:ascii="Times New Roman" w:hAnsi="Times New Roman" w:eastAsia="仿宋_GB2312" w:cs="Times New Roman"/>
          <w:bCs/>
          <w:color w:val="auto"/>
          <w:sz w:val="32"/>
          <w:szCs w:val="32"/>
          <w:highlight w:val="none"/>
        </w:rPr>
        <w:t>（项）:</w:t>
      </w: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54.93</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100</w:t>
      </w:r>
      <w:r>
        <w:rPr>
          <w:rStyle w:val="16"/>
          <w:rFonts w:hint="default" w:ascii="Times New Roman" w:hAnsi="Times New Roman" w:eastAsia="仿宋_GB2312" w:cs="Times New Roman"/>
          <w:b w:val="0"/>
          <w:bCs/>
          <w:color w:val="auto"/>
          <w:sz w:val="32"/>
          <w:szCs w:val="32"/>
          <w:highlight w:val="none"/>
        </w:rPr>
        <w:t>%。</w:t>
      </w:r>
    </w:p>
    <w:p>
      <w:pPr>
        <w:spacing w:line="600" w:lineRule="exact"/>
        <w:ind w:firstLine="642" w:firstLineChars="200"/>
        <w:rPr>
          <w:rStyle w:val="16"/>
          <w:rFonts w:hint="default" w:ascii="Times New Roman" w:hAnsi="Times New Roman" w:eastAsia="仿宋_GB2312" w:cs="Times New Roman"/>
          <w:bCs/>
          <w:color w:val="auto"/>
          <w:sz w:val="32"/>
          <w:szCs w:val="32"/>
          <w:highlight w:val="none"/>
        </w:rPr>
      </w:pPr>
      <w:r>
        <w:rPr>
          <w:rStyle w:val="16"/>
          <w:rFonts w:hint="eastAsia" w:ascii="Times New Roman" w:cs="Times New Roman"/>
          <w:bCs/>
          <w:color w:val="auto"/>
          <w:sz w:val="32"/>
          <w:szCs w:val="32"/>
          <w:highlight w:val="none"/>
          <w:lang w:val="en-US" w:eastAsia="zh-CN"/>
        </w:rPr>
        <w:t>10.</w:t>
      </w:r>
      <w:r>
        <w:rPr>
          <w:rStyle w:val="16"/>
          <w:rFonts w:hint="default" w:ascii="Times New Roman" w:hAnsi="Times New Roman" w:eastAsia="仿宋_GB2312" w:cs="Times New Roman"/>
          <w:bCs/>
          <w:color w:val="auto"/>
          <w:sz w:val="32"/>
          <w:szCs w:val="32"/>
          <w:highlight w:val="none"/>
          <w:lang w:eastAsia="zh-CN"/>
        </w:rPr>
        <w:t>社会保障和就业支出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其他社会保障和就业支出</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eastAsia="zh-CN"/>
        </w:rPr>
        <w:t>其他社会保障和就业支出</w:t>
      </w:r>
      <w:r>
        <w:rPr>
          <w:rStyle w:val="16"/>
          <w:rFonts w:hint="default" w:ascii="Times New Roman" w:hAnsi="Times New Roman" w:eastAsia="仿宋_GB2312" w:cs="Times New Roman"/>
          <w:bCs/>
          <w:color w:val="auto"/>
          <w:sz w:val="32"/>
          <w:szCs w:val="32"/>
          <w:highlight w:val="none"/>
        </w:rPr>
        <w:t>（项）:</w:t>
      </w: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1.39</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30.85</w:t>
      </w:r>
      <w:r>
        <w:rPr>
          <w:rStyle w:val="16"/>
          <w:rFonts w:hint="default" w:ascii="Times New Roman" w:hAnsi="Times New Roman" w:eastAsia="仿宋_GB2312" w:cs="Times New Roman"/>
          <w:b w:val="0"/>
          <w:bCs/>
          <w:color w:val="auto"/>
          <w:sz w:val="32"/>
          <w:szCs w:val="32"/>
          <w:highlight w:val="none"/>
        </w:rPr>
        <w:t>%。决算数小于预算数的主要原因</w:t>
      </w:r>
      <w:r>
        <w:rPr>
          <w:rStyle w:val="16"/>
          <w:rFonts w:hint="default" w:ascii="Times New Roman" w:hAnsi="Times New Roman" w:eastAsia="仿宋_GB2312" w:cs="Times New Roman"/>
          <w:b w:val="0"/>
          <w:bCs/>
          <w:color w:val="auto"/>
          <w:sz w:val="32"/>
          <w:szCs w:val="32"/>
          <w:highlight w:val="none"/>
          <w:lang w:val="en-US" w:eastAsia="zh-CN"/>
        </w:rPr>
        <w:t>离休人员死亡，停发生活补助</w:t>
      </w:r>
      <w:r>
        <w:rPr>
          <w:rStyle w:val="16"/>
          <w:rFonts w:hint="default" w:ascii="Times New Roman" w:hAnsi="Times New Roman" w:eastAsia="仿宋_GB2312" w:cs="Times New Roman"/>
          <w:b w:val="0"/>
          <w:bCs/>
          <w:color w:val="auto"/>
          <w:sz w:val="32"/>
          <w:szCs w:val="32"/>
          <w:highlight w:val="none"/>
        </w:rPr>
        <w:t>。</w:t>
      </w:r>
    </w:p>
    <w:p>
      <w:pPr>
        <w:pStyle w:val="2"/>
        <w:ind w:firstLine="642" w:firstLineChars="200"/>
        <w:rPr>
          <w:rStyle w:val="16"/>
          <w:rFonts w:hint="default" w:ascii="Times New Roman" w:hAnsi="Times New Roman" w:eastAsia="仿宋_GB2312" w:cs="Times New Roman"/>
          <w:bCs/>
          <w:color w:val="auto"/>
          <w:sz w:val="32"/>
          <w:szCs w:val="32"/>
          <w:highlight w:val="none"/>
        </w:rPr>
      </w:pPr>
      <w:r>
        <w:rPr>
          <w:rStyle w:val="16"/>
          <w:rFonts w:hint="eastAsia" w:ascii="Times New Roman" w:cs="Times New Roman"/>
          <w:bCs/>
          <w:color w:val="auto"/>
          <w:sz w:val="32"/>
          <w:szCs w:val="32"/>
          <w:highlight w:val="none"/>
          <w:lang w:val="en-US" w:eastAsia="zh-CN"/>
        </w:rPr>
        <w:t>11.</w:t>
      </w:r>
      <w:r>
        <w:rPr>
          <w:rStyle w:val="16"/>
          <w:rFonts w:hint="default" w:ascii="Times New Roman" w:hAnsi="Times New Roman" w:eastAsia="仿宋_GB2312" w:cs="Times New Roman"/>
          <w:bCs/>
          <w:color w:val="auto"/>
          <w:sz w:val="32"/>
          <w:szCs w:val="32"/>
          <w:highlight w:val="none"/>
          <w:lang w:eastAsia="zh-CN"/>
        </w:rPr>
        <w:t>医疗健康支出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行政事业单位医疗</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eastAsia="zh-CN"/>
        </w:rPr>
        <w:t>行政单位医疗</w:t>
      </w:r>
      <w:r>
        <w:rPr>
          <w:rStyle w:val="16"/>
          <w:rFonts w:hint="default" w:ascii="Times New Roman" w:hAnsi="Times New Roman" w:eastAsia="仿宋_GB2312" w:cs="Times New Roman"/>
          <w:bCs/>
          <w:color w:val="auto"/>
          <w:sz w:val="32"/>
          <w:szCs w:val="32"/>
          <w:highlight w:val="none"/>
        </w:rPr>
        <w:t>（项）:</w:t>
      </w: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136.42</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98.98</w:t>
      </w:r>
      <w:r>
        <w:rPr>
          <w:rStyle w:val="16"/>
          <w:rFonts w:hint="default" w:ascii="Times New Roman" w:hAnsi="Times New Roman" w:eastAsia="仿宋_GB2312" w:cs="Times New Roman"/>
          <w:b w:val="0"/>
          <w:bCs/>
          <w:color w:val="auto"/>
          <w:sz w:val="32"/>
          <w:szCs w:val="32"/>
          <w:highlight w:val="none"/>
        </w:rPr>
        <w:t>%</w:t>
      </w:r>
      <w:r>
        <w:rPr>
          <w:rStyle w:val="16"/>
          <w:rFonts w:hint="eastAsia" w:ascii="Times New Roman" w:hAnsi="Times New Roman" w:cs="Times New Roman"/>
          <w:b w:val="0"/>
          <w:bCs/>
          <w:color w:val="auto"/>
          <w:sz w:val="32"/>
          <w:szCs w:val="32"/>
          <w:highlight w:val="none"/>
          <w:lang w:val="en-US" w:eastAsia="zh-CN"/>
        </w:rPr>
        <w:t>,</w:t>
      </w:r>
      <w:r>
        <w:rPr>
          <w:rStyle w:val="16"/>
          <w:rFonts w:hint="default" w:ascii="Times New Roman" w:hAnsi="Times New Roman" w:eastAsia="仿宋_GB2312" w:cs="Times New Roman"/>
          <w:b w:val="0"/>
          <w:bCs/>
          <w:color w:val="auto"/>
          <w:sz w:val="32"/>
          <w:szCs w:val="32"/>
          <w:highlight w:val="none"/>
        </w:rPr>
        <w:t>决算数小于预算数的主要原因。</w:t>
      </w:r>
    </w:p>
    <w:p>
      <w:pPr>
        <w:pStyle w:val="2"/>
        <w:ind w:firstLine="642" w:firstLineChars="200"/>
        <w:rPr>
          <w:rStyle w:val="16"/>
          <w:rFonts w:hint="default" w:ascii="Times New Roman" w:hAnsi="Times New Roman" w:eastAsia="仿宋_GB2312" w:cs="Times New Roman"/>
          <w:bCs/>
          <w:color w:val="auto"/>
          <w:sz w:val="32"/>
          <w:szCs w:val="32"/>
          <w:highlight w:val="none"/>
        </w:rPr>
      </w:pPr>
      <w:r>
        <w:rPr>
          <w:rStyle w:val="16"/>
          <w:rFonts w:hint="eastAsia" w:ascii="Times New Roman" w:cs="Times New Roman"/>
          <w:bCs/>
          <w:color w:val="auto"/>
          <w:sz w:val="32"/>
          <w:szCs w:val="32"/>
          <w:highlight w:val="none"/>
          <w:lang w:val="en-US" w:eastAsia="zh-CN"/>
        </w:rPr>
        <w:t>12.</w:t>
      </w:r>
      <w:r>
        <w:rPr>
          <w:rStyle w:val="16"/>
          <w:rFonts w:hint="default" w:ascii="Times New Roman" w:hAnsi="Times New Roman" w:eastAsia="仿宋_GB2312" w:cs="Times New Roman"/>
          <w:bCs/>
          <w:color w:val="auto"/>
          <w:sz w:val="32"/>
          <w:szCs w:val="32"/>
          <w:highlight w:val="none"/>
          <w:lang w:eastAsia="zh-CN"/>
        </w:rPr>
        <w:t>医疗健康支出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行政事业单位医疗</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eastAsia="zh-CN"/>
        </w:rPr>
        <w:t>公务员医疗补助</w:t>
      </w:r>
      <w:r>
        <w:rPr>
          <w:rStyle w:val="16"/>
          <w:rFonts w:hint="default" w:ascii="Times New Roman" w:hAnsi="Times New Roman" w:eastAsia="仿宋_GB2312" w:cs="Times New Roman"/>
          <w:bCs/>
          <w:color w:val="auto"/>
          <w:sz w:val="32"/>
          <w:szCs w:val="32"/>
          <w:highlight w:val="none"/>
        </w:rPr>
        <w:t>（项）:</w:t>
      </w: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36.43</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100</w:t>
      </w:r>
      <w:r>
        <w:rPr>
          <w:rStyle w:val="16"/>
          <w:rFonts w:hint="default" w:ascii="Times New Roman" w:hAnsi="Times New Roman" w:eastAsia="仿宋_GB2312" w:cs="Times New Roman"/>
          <w:b w:val="0"/>
          <w:bCs/>
          <w:color w:val="auto"/>
          <w:sz w:val="32"/>
          <w:szCs w:val="32"/>
          <w:highlight w:val="none"/>
        </w:rPr>
        <w:t>%。</w:t>
      </w:r>
    </w:p>
    <w:p>
      <w:pPr>
        <w:pStyle w:val="2"/>
        <w:rPr>
          <w:rStyle w:val="16"/>
          <w:rFonts w:hint="default" w:ascii="Times New Roman" w:hAnsi="Times New Roman" w:eastAsia="仿宋_GB2312" w:cs="Times New Roman"/>
          <w:bCs/>
          <w:color w:val="auto"/>
          <w:sz w:val="32"/>
          <w:szCs w:val="32"/>
          <w:highlight w:val="none"/>
        </w:rPr>
      </w:pPr>
      <w:r>
        <w:rPr>
          <w:rStyle w:val="16"/>
          <w:rFonts w:hint="eastAsia" w:ascii="Times New Roman" w:cs="Times New Roman"/>
          <w:bCs/>
          <w:color w:val="auto"/>
          <w:sz w:val="32"/>
          <w:szCs w:val="32"/>
          <w:highlight w:val="none"/>
          <w:lang w:val="en-US" w:eastAsia="zh-CN"/>
        </w:rPr>
        <w:t xml:space="preserve">    13.</w:t>
      </w:r>
      <w:r>
        <w:rPr>
          <w:rStyle w:val="16"/>
          <w:rFonts w:hint="default" w:ascii="Times New Roman" w:hAnsi="Times New Roman" w:eastAsia="仿宋_GB2312" w:cs="Times New Roman"/>
          <w:bCs/>
          <w:color w:val="auto"/>
          <w:sz w:val="32"/>
          <w:szCs w:val="32"/>
          <w:highlight w:val="none"/>
          <w:lang w:eastAsia="zh-CN"/>
        </w:rPr>
        <w:t>住房保障支出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住房改革支出</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eastAsia="zh-CN"/>
        </w:rPr>
        <w:t>住房公积金</w:t>
      </w:r>
      <w:r>
        <w:rPr>
          <w:rStyle w:val="16"/>
          <w:rFonts w:hint="default" w:ascii="Times New Roman" w:hAnsi="Times New Roman" w:eastAsia="仿宋_GB2312" w:cs="Times New Roman"/>
          <w:bCs/>
          <w:color w:val="auto"/>
          <w:sz w:val="32"/>
          <w:szCs w:val="32"/>
          <w:highlight w:val="none"/>
        </w:rPr>
        <w:t>（项）:</w:t>
      </w: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175.96</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100</w:t>
      </w:r>
      <w:r>
        <w:rPr>
          <w:rStyle w:val="16"/>
          <w:rFonts w:hint="default" w:ascii="Times New Roman" w:hAnsi="Times New Roman" w:eastAsia="仿宋_GB2312" w:cs="Times New Roman"/>
          <w:b w:val="0"/>
          <w:bCs/>
          <w:color w:val="auto"/>
          <w:sz w:val="32"/>
          <w:szCs w:val="32"/>
          <w:highlight w:val="none"/>
        </w:rPr>
        <w:t>%。</w:t>
      </w:r>
    </w:p>
    <w:p>
      <w:pPr>
        <w:pStyle w:val="2"/>
        <w:ind w:firstLine="642" w:firstLineChars="200"/>
        <w:rPr>
          <w:rStyle w:val="16"/>
          <w:rFonts w:hint="eastAsia" w:ascii="Times New Roman" w:hAnsi="Times New Roman" w:eastAsia="仿宋_GB2312" w:cs="Times New Roman"/>
          <w:bCs/>
          <w:color w:val="auto"/>
          <w:sz w:val="32"/>
          <w:szCs w:val="32"/>
          <w:highlight w:val="none"/>
          <w:lang w:val="en-US" w:eastAsia="zh-CN"/>
        </w:rPr>
      </w:pPr>
      <w:r>
        <w:rPr>
          <w:rStyle w:val="16"/>
          <w:rFonts w:hint="eastAsia" w:ascii="Times New Roman" w:cs="Times New Roman"/>
          <w:bCs/>
          <w:color w:val="auto"/>
          <w:sz w:val="32"/>
          <w:szCs w:val="32"/>
          <w:highlight w:val="none"/>
          <w:lang w:val="en-US" w:eastAsia="zh-CN"/>
        </w:rPr>
        <w:t>14.</w:t>
      </w:r>
      <w:r>
        <w:rPr>
          <w:rStyle w:val="16"/>
          <w:rFonts w:hint="default" w:ascii="Times New Roman" w:hAnsi="Times New Roman" w:eastAsia="仿宋_GB2312" w:cs="Times New Roman"/>
          <w:bCs/>
          <w:color w:val="auto"/>
          <w:sz w:val="32"/>
          <w:szCs w:val="32"/>
          <w:highlight w:val="none"/>
          <w:lang w:eastAsia="zh-CN"/>
        </w:rPr>
        <w:t>住房保障支出</w:t>
      </w:r>
      <w:r>
        <w:rPr>
          <w:rStyle w:val="16"/>
          <w:rFonts w:hint="default" w:ascii="Times New Roman" w:hAnsi="Times New Roman" w:eastAsia="仿宋_GB2312" w:cs="Times New Roman"/>
          <w:bCs/>
          <w:color w:val="auto"/>
          <w:sz w:val="32"/>
          <w:szCs w:val="32"/>
          <w:highlight w:val="none"/>
        </w:rPr>
        <w:t>（类）</w:t>
      </w:r>
      <w:r>
        <w:rPr>
          <w:rStyle w:val="16"/>
          <w:rFonts w:hint="default" w:ascii="Times New Roman" w:hAnsi="Times New Roman" w:eastAsia="仿宋_GB2312" w:cs="Times New Roman"/>
          <w:bCs/>
          <w:color w:val="auto"/>
          <w:sz w:val="32"/>
          <w:szCs w:val="32"/>
          <w:highlight w:val="none"/>
          <w:lang w:eastAsia="zh-CN"/>
        </w:rPr>
        <w:t>住房改革支出</w:t>
      </w:r>
      <w:r>
        <w:rPr>
          <w:rStyle w:val="16"/>
          <w:rFonts w:hint="default" w:ascii="Times New Roman" w:hAnsi="Times New Roman" w:eastAsia="仿宋_GB2312" w:cs="Times New Roman"/>
          <w:bCs/>
          <w:color w:val="auto"/>
          <w:sz w:val="32"/>
          <w:szCs w:val="32"/>
          <w:highlight w:val="none"/>
        </w:rPr>
        <w:t>（款）</w:t>
      </w:r>
      <w:r>
        <w:rPr>
          <w:rStyle w:val="16"/>
          <w:rFonts w:hint="default" w:ascii="Times New Roman" w:hAnsi="Times New Roman" w:eastAsia="仿宋_GB2312" w:cs="Times New Roman"/>
          <w:bCs/>
          <w:color w:val="auto"/>
          <w:sz w:val="32"/>
          <w:szCs w:val="32"/>
          <w:highlight w:val="none"/>
          <w:lang w:val="en-US" w:eastAsia="zh-CN"/>
        </w:rPr>
        <w:t>购房补贴</w:t>
      </w:r>
      <w:r>
        <w:rPr>
          <w:rStyle w:val="16"/>
          <w:rFonts w:hint="default" w:ascii="Times New Roman" w:hAnsi="Times New Roman" w:eastAsia="仿宋_GB2312" w:cs="Times New Roman"/>
          <w:bCs/>
          <w:color w:val="auto"/>
          <w:sz w:val="32"/>
          <w:szCs w:val="32"/>
          <w:highlight w:val="none"/>
        </w:rPr>
        <w:t>（项）:</w:t>
      </w:r>
    </w:p>
    <w:p>
      <w:pPr>
        <w:pStyle w:val="2"/>
        <w:rPr>
          <w:rFonts w:ascii="仿宋" w:hAnsi="仿宋" w:eastAsia="仿宋"/>
          <w:b/>
          <w:color w:val="auto"/>
          <w:sz w:val="32"/>
          <w:szCs w:val="32"/>
          <w:highlight w:val="none"/>
        </w:rPr>
      </w:pPr>
      <w:r>
        <w:rPr>
          <w:rStyle w:val="16"/>
          <w:rFonts w:hint="default" w:ascii="Times New Roman" w:hAnsi="Times New Roman" w:eastAsia="仿宋_GB2312" w:cs="Times New Roman"/>
          <w:b w:val="0"/>
          <w:bCs/>
          <w:color w:val="auto"/>
          <w:sz w:val="32"/>
          <w:szCs w:val="32"/>
          <w:highlight w:val="none"/>
        </w:rPr>
        <w:t>支出决算为</w:t>
      </w:r>
      <w:r>
        <w:rPr>
          <w:rStyle w:val="16"/>
          <w:rFonts w:hint="eastAsia" w:ascii="Times New Roman" w:cs="Times New Roman"/>
          <w:b w:val="0"/>
          <w:bCs/>
          <w:color w:val="auto"/>
          <w:sz w:val="32"/>
          <w:szCs w:val="32"/>
          <w:highlight w:val="none"/>
          <w:lang w:val="en-US" w:eastAsia="zh-CN"/>
        </w:rPr>
        <w:t>164.58</w:t>
      </w:r>
      <w:r>
        <w:rPr>
          <w:rStyle w:val="16"/>
          <w:rFonts w:hint="default" w:ascii="Times New Roman" w:hAnsi="Times New Roman" w:eastAsia="仿宋_GB2312" w:cs="Times New Roman"/>
          <w:b w:val="0"/>
          <w:bCs/>
          <w:color w:val="auto"/>
          <w:sz w:val="32"/>
          <w:szCs w:val="32"/>
          <w:highlight w:val="none"/>
        </w:rPr>
        <w:t>万元，完成预算</w:t>
      </w:r>
      <w:r>
        <w:rPr>
          <w:rStyle w:val="16"/>
          <w:rFonts w:hint="eastAsia" w:ascii="Times New Roman" w:cs="Times New Roman"/>
          <w:b w:val="0"/>
          <w:bCs/>
          <w:color w:val="auto"/>
          <w:sz w:val="32"/>
          <w:szCs w:val="32"/>
          <w:highlight w:val="none"/>
          <w:lang w:val="en-US" w:eastAsia="zh-CN"/>
        </w:rPr>
        <w:t>100</w:t>
      </w:r>
      <w:r>
        <w:rPr>
          <w:rStyle w:val="16"/>
          <w:rFonts w:hint="default" w:ascii="Times New Roman" w:hAnsi="Times New Roman" w:eastAsia="仿宋_GB2312" w:cs="Times New Roman"/>
          <w:b w:val="0"/>
          <w:bCs/>
          <w:color w:val="auto"/>
          <w:sz w:val="32"/>
          <w:szCs w:val="32"/>
          <w:highlight w:val="none"/>
        </w:rPr>
        <w:t>%。</w:t>
      </w:r>
    </w:p>
    <w:p>
      <w:pPr>
        <w:tabs>
          <w:tab w:val="right" w:pos="8306"/>
        </w:tabs>
        <w:spacing w:line="600" w:lineRule="exact"/>
        <w:ind w:firstLine="640"/>
        <w:outlineLvl w:val="1"/>
        <w:rPr>
          <w:rStyle w:val="27"/>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3717.94</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2975.15</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742.8</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44.37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94.81</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default" w:ascii="Times New Roman" w:hAnsi="Times New Roman" w:eastAsia="仿宋_GB2312" w:cs="Times New Roman"/>
          <w:color w:val="auto"/>
          <w:sz w:val="32"/>
          <w:szCs w:val="32"/>
          <w:highlight w:val="none"/>
          <w:lang w:val="en-US" w:eastAsia="zh-CN"/>
        </w:rPr>
        <w:t>按照厉行节约要求，严格控制压减公务接待费开支</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38.68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87.18</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5.69</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12.82</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default" w:ascii="仿宋_GB2312" w:eastAsia="仿宋_GB2312"/>
          <w:b/>
          <w:color w:val="auto"/>
          <w:sz w:val="32"/>
          <w:szCs w:val="32"/>
          <w:highlight w:val="none"/>
          <w:lang w:val="en-US"/>
        </w:rPr>
      </w:pPr>
      <w:r>
        <w:drawing>
          <wp:anchor distT="0" distB="0" distL="114300" distR="114300" simplePos="0" relativeHeight="251665408" behindDoc="0" locked="0" layoutInCell="1" allowOverlap="1">
            <wp:simplePos x="0" y="0"/>
            <wp:positionH relativeFrom="column">
              <wp:posOffset>652145</wp:posOffset>
            </wp:positionH>
            <wp:positionV relativeFrom="paragraph">
              <wp:posOffset>22860</wp:posOffset>
            </wp:positionV>
            <wp:extent cx="4572000" cy="2743200"/>
            <wp:effectExtent l="4445" t="4445" r="14605" b="1460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b/>
          <w:color w:val="auto"/>
          <w:sz w:val="32"/>
          <w:szCs w:val="32"/>
          <w:highlight w:val="none"/>
          <w:lang w:val="en-US" w:eastAsia="zh-CN"/>
        </w:rPr>
        <w:t xml:space="preserve">     </w:t>
      </w:r>
      <w:r>
        <w:rPr>
          <w:rFonts w:hint="eastAsia" w:ascii="仿宋" w:hAnsi="仿宋" w:eastAsia="仿宋"/>
          <w:color w:val="auto"/>
          <w:sz w:val="32"/>
          <w:szCs w:val="32"/>
          <w:highlight w:val="none"/>
        </w:rPr>
        <w:t>（图7：“三公”经费财政拨款支出结构）（饼状图）</w:t>
      </w:r>
    </w:p>
    <w:p>
      <w:pPr>
        <w:pageBreakBefore w:val="0"/>
        <w:kinsoku/>
        <w:wordWrap/>
        <w:overflowPunct/>
        <w:topLinePunct w:val="0"/>
        <w:bidi w:val="0"/>
        <w:spacing w:line="600" w:lineRule="exact"/>
        <w:ind w:firstLine="640"/>
        <w:rPr>
          <w:rFonts w:hint="default" w:ascii="Times New Roman" w:hAnsi="Times New Roman" w:eastAsia="仿宋_GB2312" w:cs="Times New Roman"/>
          <w:color w:val="auto"/>
          <w:sz w:val="32"/>
          <w:szCs w:val="32"/>
          <w:highlight w:val="none"/>
          <w:lang w:val="en-US" w:eastAsia="zh-CN"/>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default" w:ascii="Times New Roman" w:hAnsi="Times New Roman" w:eastAsia="仿宋_GB2312" w:cs="Times New Roman"/>
          <w:color w:val="auto"/>
          <w:sz w:val="32"/>
          <w:szCs w:val="32"/>
          <w:highlight w:val="none"/>
        </w:rPr>
        <w:t>因公出国（境）支出决算</w:t>
      </w:r>
      <w:r>
        <w:rPr>
          <w:rFonts w:hint="default" w:ascii="Times New Roman" w:hAnsi="Times New Roman" w:eastAsia="仿宋_GB2312" w:cs="Times New Roman"/>
          <w:color w:val="auto"/>
          <w:sz w:val="32"/>
          <w:szCs w:val="32"/>
          <w:highlight w:val="none"/>
          <w:lang w:val="en-US"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持平。</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38.68</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w:t>
      </w:r>
      <w:r>
        <w:rPr>
          <w:rStyle w:val="16"/>
          <w:rFonts w:hint="eastAsia" w:ascii="仿宋" w:hAnsi="仿宋" w:eastAsia="仿宋"/>
          <w:b w:val="0"/>
          <w:bCs/>
          <w:color w:val="auto"/>
          <w:sz w:val="32"/>
          <w:szCs w:val="32"/>
          <w:highlight w:val="none"/>
          <w:lang w:val="en-US" w:eastAsia="zh-CN"/>
        </w:rPr>
        <w:t>99.69</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5.64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17.07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Times New Roman" w:hAnsi="Times New Roman" w:eastAsia="仿宋_GB2312" w:cs="Times New Roman"/>
          <w:color w:val="auto"/>
          <w:sz w:val="32"/>
          <w:szCs w:val="32"/>
          <w:highlight w:val="none"/>
          <w:lang w:val="en-US" w:eastAsia="zh-CN"/>
        </w:rPr>
        <w:t>2021年在严格执行疫情防控要求下，公务出差频次较2020年有所增加，故公务用车运行维护费用增加</w:t>
      </w:r>
      <w:r>
        <w:rPr>
          <w:rFonts w:hint="eastAsia" w:eastAsia="仿宋_GB2312" w:cs="Times New Roman"/>
          <w:color w:val="auto"/>
          <w:sz w:val="32"/>
          <w:szCs w:val="32"/>
          <w:highlight w:val="none"/>
          <w:lang w:val="en-US" w:eastAsia="zh-CN"/>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38.68</w:t>
      </w:r>
      <w:r>
        <w:rPr>
          <w:rFonts w:hint="eastAsia" w:ascii="仿宋_GB2312" w:eastAsia="仿宋_GB2312"/>
          <w:color w:val="auto"/>
          <w:sz w:val="32"/>
          <w:szCs w:val="32"/>
          <w:highlight w:val="none"/>
        </w:rPr>
        <w:t>万元。</w:t>
      </w:r>
      <w:r>
        <w:rPr>
          <w:rFonts w:hint="default" w:ascii="Times New Roman" w:hAnsi="Times New Roman" w:eastAsia="仿宋_GB2312" w:cs="Times New Roman"/>
          <w:color w:val="auto"/>
          <w:sz w:val="32"/>
          <w:szCs w:val="32"/>
          <w:highlight w:val="none"/>
        </w:rPr>
        <w:t>主要用于</w:t>
      </w:r>
      <w:r>
        <w:rPr>
          <w:rFonts w:hint="default" w:ascii="Times New Roman" w:hAnsi="Times New Roman" w:eastAsia="仿宋_GB2312" w:cs="Times New Roman"/>
          <w:color w:val="auto"/>
          <w:sz w:val="32"/>
          <w:szCs w:val="32"/>
          <w:lang w:eastAsia="zh-CN"/>
        </w:rPr>
        <w:t>民族宗教工作调研、民族团结进步示范创建工作验收、宗教督查</w:t>
      </w:r>
      <w:r>
        <w:rPr>
          <w:rFonts w:hint="default" w:ascii="Times New Roman" w:hAnsi="Times New Roman" w:eastAsia="仿宋_GB2312" w:cs="Times New Roman"/>
          <w:color w:val="auto"/>
          <w:sz w:val="32"/>
          <w:szCs w:val="32"/>
        </w:rPr>
        <w:t>等所需的公务用车燃料费、维修费、过路过桥费、保险费等支出</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5.64</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70.5</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3.36万</w:t>
      </w:r>
      <w:r>
        <w:rPr>
          <w:rFonts w:hint="eastAsia" w:ascii="仿宋_GB2312" w:eastAsia="仿宋_GB2312"/>
          <w:color w:val="auto"/>
          <w:sz w:val="32"/>
          <w:szCs w:val="32"/>
          <w:highlight w:val="none"/>
        </w:rPr>
        <w:t>元，增长</w:t>
      </w:r>
      <w:r>
        <w:rPr>
          <w:rFonts w:hint="eastAsia" w:ascii="仿宋_GB2312" w:eastAsia="仿宋_GB2312"/>
          <w:color w:val="auto"/>
          <w:sz w:val="32"/>
          <w:szCs w:val="32"/>
          <w:highlight w:val="none"/>
          <w:lang w:val="en-US" w:eastAsia="zh-CN"/>
        </w:rPr>
        <w:t>147.37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Times New Roman" w:hAnsi="Times New Roman" w:eastAsia="仿宋_GB2312" w:cs="Times New Roman"/>
          <w:color w:val="auto"/>
          <w:sz w:val="32"/>
          <w:szCs w:val="32"/>
          <w:lang w:val="en-US" w:eastAsia="zh-CN"/>
        </w:rPr>
        <w:t>按照国家民族及省委、省政府有关要求，开展外事接待1批次</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3.54</w:t>
      </w:r>
      <w:r>
        <w:rPr>
          <w:rFonts w:hint="eastAsia" w:ascii="仿宋_GB2312" w:eastAsia="仿宋_GB2312"/>
          <w:color w:val="auto"/>
          <w:sz w:val="32"/>
          <w:szCs w:val="32"/>
          <w:highlight w:val="none"/>
        </w:rPr>
        <w:t>万元，主要用于</w:t>
      </w:r>
      <w:r>
        <w:rPr>
          <w:rFonts w:hint="default" w:ascii="Times New Roman" w:hAnsi="Times New Roman" w:eastAsia="仿宋_GB2312" w:cs="Times New Roman"/>
          <w:color w:val="auto"/>
          <w:sz w:val="32"/>
          <w:szCs w:val="32"/>
        </w:rPr>
        <w:t>执行公务、开展业务活动开支的交通费、住宿费、用餐费等</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3.54</w:t>
      </w:r>
      <w:r>
        <w:rPr>
          <w:rFonts w:hint="eastAsia" w:ascii="仿宋_GB2312" w:eastAsia="仿宋_GB2312"/>
          <w:color w:val="auto"/>
          <w:sz w:val="32"/>
          <w:szCs w:val="32"/>
          <w:highlight w:val="none"/>
        </w:rPr>
        <w:t>万元，具体内容包括：</w:t>
      </w:r>
      <w:r>
        <w:rPr>
          <w:rFonts w:hint="default" w:ascii="Times New Roman" w:hAnsi="Times New Roman" w:eastAsia="仿宋_GB2312" w:cs="Times New Roman"/>
          <w:color w:val="auto"/>
          <w:sz w:val="32"/>
          <w:szCs w:val="32"/>
          <w:lang w:eastAsia="zh-CN"/>
        </w:rPr>
        <w:t>接待中央统战部、国家民委、相关省（市、</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）民</w:t>
      </w:r>
      <w:r>
        <w:rPr>
          <w:rFonts w:hint="default" w:ascii="Times New Roman" w:hAnsi="Times New Roman" w:eastAsia="仿宋_GB2312" w:cs="Times New Roman"/>
          <w:color w:val="auto"/>
          <w:sz w:val="32"/>
          <w:szCs w:val="32"/>
          <w:lang w:val="en-US" w:eastAsia="zh-CN"/>
        </w:rPr>
        <w:t>宗</w:t>
      </w:r>
      <w:r>
        <w:rPr>
          <w:rFonts w:hint="default" w:ascii="Times New Roman" w:hAnsi="Times New Roman" w:eastAsia="仿宋_GB2312" w:cs="Times New Roman"/>
          <w:color w:val="auto"/>
          <w:sz w:val="32"/>
          <w:szCs w:val="32"/>
          <w:lang w:eastAsia="zh-CN"/>
        </w:rPr>
        <w:t>委（</w:t>
      </w:r>
      <w:r>
        <w:rPr>
          <w:rFonts w:hint="default" w:ascii="Times New Roman" w:hAnsi="Times New Roman" w:eastAsia="仿宋_GB2312" w:cs="Times New Roman"/>
          <w:color w:val="auto"/>
          <w:sz w:val="32"/>
          <w:szCs w:val="32"/>
          <w:lang w:val="en-US" w:eastAsia="zh-CN"/>
        </w:rPr>
        <w:t>厅</w:t>
      </w:r>
      <w:r>
        <w:rPr>
          <w:rFonts w:hint="default" w:ascii="Times New Roman" w:hAnsi="Times New Roman" w:eastAsia="仿宋_GB2312" w:cs="Times New Roman"/>
          <w:color w:val="auto"/>
          <w:sz w:val="32"/>
          <w:szCs w:val="32"/>
          <w:lang w:eastAsia="zh-CN"/>
        </w:rPr>
        <w:t>）等中央及省、市部门来川调研</w:t>
      </w:r>
      <w:r>
        <w:rPr>
          <w:rFonts w:hint="eastAsia" w:ascii="仿宋_GB2312" w:eastAsia="仿宋_GB2312"/>
          <w:color w:val="auto"/>
          <w:sz w:val="32"/>
          <w:szCs w:val="32"/>
          <w:highlight w:val="none"/>
        </w:rPr>
        <w:t>。</w:t>
      </w:r>
    </w:p>
    <w:p>
      <w:pPr>
        <w:pageBreakBefore w:val="0"/>
        <w:kinsoku/>
        <w:wordWrap/>
        <w:overflowPunct/>
        <w:topLinePunct w:val="0"/>
        <w:bidi w:val="0"/>
        <w:spacing w:line="600" w:lineRule="exact"/>
        <w:ind w:firstLine="642" w:firstLineChars="200"/>
        <w:rPr>
          <w:rFonts w:hint="default" w:ascii="Times New Roman" w:hAnsi="Times New Roman" w:eastAsia="仿宋_GB2312" w:cs="Times New Roman"/>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2.1</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万元，</w:t>
      </w:r>
      <w:r>
        <w:rPr>
          <w:rFonts w:hint="default" w:ascii="Times New Roman" w:hAnsi="Times New Roman" w:eastAsia="仿宋_GB2312" w:cs="Times New Roman"/>
          <w:color w:val="auto"/>
          <w:sz w:val="32"/>
          <w:szCs w:val="32"/>
          <w:highlight w:val="none"/>
        </w:rPr>
        <w:t>主要用于接待</w:t>
      </w:r>
      <w:r>
        <w:rPr>
          <w:rFonts w:hint="default" w:ascii="Times New Roman" w:hAnsi="Times New Roman" w:eastAsia="仿宋_GB2312" w:cs="Times New Roman"/>
          <w:color w:val="auto"/>
          <w:sz w:val="32"/>
          <w:szCs w:val="32"/>
          <w:highlight w:val="none"/>
          <w:lang w:val="en-US" w:eastAsia="zh-CN"/>
        </w:rPr>
        <w:t>湄公河流域驻外使节团来川考察民族地区经济社会发展工作接待</w:t>
      </w:r>
      <w:r>
        <w:rPr>
          <w:rFonts w:hint="default" w:ascii="Times New Roman" w:hAnsi="Times New Roman" w:eastAsia="仿宋_GB2312" w:cs="Times New Roman"/>
          <w:color w:val="auto"/>
          <w:sz w:val="32"/>
          <w:szCs w:val="32"/>
          <w:highlight w:val="none"/>
        </w:rPr>
        <w:t>。</w:t>
      </w:r>
    </w:p>
    <w:p>
      <w:pPr>
        <w:spacing w:line="600" w:lineRule="exact"/>
        <w:outlineLvl w:val="1"/>
        <w:rPr>
          <w:rFonts w:ascii="黑体" w:eastAsia="黑体"/>
          <w:color w:val="auto"/>
          <w:sz w:val="32"/>
          <w:szCs w:val="32"/>
          <w:highlight w:val="none"/>
        </w:rPr>
      </w:pPr>
      <w:bookmarkStart w:id="40" w:name="_Toc15396610"/>
      <w:bookmarkStart w:id="41" w:name="_Toc15377218"/>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44" w:name="_Toc15396612"/>
      <w:bookmarkStart w:id="45" w:name="_Toc15377221"/>
      <w:r>
        <w:rPr>
          <w:rStyle w:val="27"/>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四川省民族宗教事务委员会</w:t>
      </w:r>
      <w:r>
        <w:rPr>
          <w:rFonts w:hint="default" w:ascii="Times New Roman" w:hAnsi="Times New Roman" w:eastAsia="仿宋_GB2312" w:cs="Times New Roman"/>
          <w:color w:val="auto"/>
          <w:sz w:val="32"/>
          <w:szCs w:val="32"/>
          <w:highlight w:val="none"/>
        </w:rPr>
        <w:t>机关运行经费支出</w:t>
      </w:r>
      <w:r>
        <w:rPr>
          <w:rFonts w:hint="eastAsia" w:eastAsia="仿宋_GB2312" w:cs="Times New Roman"/>
          <w:color w:val="auto"/>
          <w:sz w:val="32"/>
          <w:szCs w:val="32"/>
          <w:highlight w:val="none"/>
          <w:lang w:val="en-US" w:eastAsia="zh-CN"/>
        </w:rPr>
        <w:t>742.8</w:t>
      </w:r>
      <w:r>
        <w:rPr>
          <w:rFonts w:hint="default" w:ascii="Times New Roman" w:hAnsi="Times New Roman" w:eastAsia="仿宋_GB2312" w:cs="Times New Roman"/>
          <w:color w:val="auto"/>
          <w:sz w:val="32"/>
          <w:szCs w:val="32"/>
          <w:highlight w:val="none"/>
        </w:rPr>
        <w:t>万元，比20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年增加</w:t>
      </w:r>
      <w:r>
        <w:rPr>
          <w:rFonts w:hint="eastAsia" w:eastAsia="仿宋_GB2312" w:cs="Times New Roman"/>
          <w:color w:val="auto"/>
          <w:sz w:val="32"/>
          <w:szCs w:val="32"/>
          <w:highlight w:val="none"/>
          <w:lang w:val="en-US" w:eastAsia="zh-CN"/>
        </w:rPr>
        <w:t>76.97</w:t>
      </w:r>
      <w:r>
        <w:rPr>
          <w:rFonts w:hint="default" w:ascii="Times New Roman" w:hAnsi="Times New Roman" w:eastAsia="仿宋_GB2312" w:cs="Times New Roman"/>
          <w:color w:val="auto"/>
          <w:sz w:val="32"/>
          <w:szCs w:val="32"/>
          <w:highlight w:val="none"/>
        </w:rPr>
        <w:t>万元，增长</w:t>
      </w:r>
      <w:r>
        <w:rPr>
          <w:rFonts w:hint="eastAsia" w:eastAsia="仿宋_GB2312" w:cs="Times New Roman"/>
          <w:color w:val="auto"/>
          <w:sz w:val="32"/>
          <w:szCs w:val="32"/>
          <w:highlight w:val="none"/>
          <w:lang w:val="en-US" w:eastAsia="zh-CN"/>
        </w:rPr>
        <w:t>11.56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val="en-US" w:eastAsia="zh-CN"/>
        </w:rPr>
        <w:t>新增人员对应公用经费</w:t>
      </w:r>
      <w:r>
        <w:rPr>
          <w:rFonts w:hint="eastAsia" w:eastAsia="仿宋_GB2312" w:cs="Times New Roman"/>
          <w:color w:val="auto"/>
          <w:sz w:val="32"/>
          <w:szCs w:val="32"/>
          <w:highlight w:val="none"/>
          <w:lang w:val="en-US" w:eastAsia="zh-CN"/>
        </w:rPr>
        <w:t>和培训支出</w:t>
      </w:r>
      <w:r>
        <w:rPr>
          <w:rFonts w:hint="eastAsia" w:ascii="Times New Roman" w:hAnsi="Times New Roman" w:eastAsia="仿宋_GB2312" w:cs="Times New Roman"/>
          <w:color w:val="auto"/>
          <w:sz w:val="32"/>
          <w:szCs w:val="32"/>
          <w:highlight w:val="none"/>
          <w:lang w:val="en-US" w:eastAsia="zh-CN"/>
        </w:rPr>
        <w:t>增加。</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四川省民族宗教事务委员</w:t>
      </w:r>
      <w:r>
        <w:rPr>
          <w:rFonts w:hint="eastAsia" w:eastAsia="仿宋_GB2312" w:cs="Times New Roman"/>
          <w:color w:val="auto"/>
          <w:sz w:val="32"/>
          <w:szCs w:val="32"/>
          <w:highlight w:val="none"/>
          <w:lang w:val="en-US" w:eastAsia="zh-CN"/>
        </w:rPr>
        <w:t>会</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56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41</w:t>
      </w:r>
      <w:r>
        <w:rPr>
          <w:rFonts w:hint="eastAsia" w:ascii="仿宋_GB2312" w:eastAsia="仿宋_GB2312"/>
          <w:color w:val="auto"/>
          <w:sz w:val="32"/>
          <w:szCs w:val="32"/>
          <w:highlight w:val="none"/>
        </w:rPr>
        <w:t>万元。主要用于</w:t>
      </w:r>
      <w:r>
        <w:rPr>
          <w:rFonts w:hint="default" w:ascii="Times New Roman" w:hAnsi="Times New Roman" w:eastAsia="仿宋_GB2312" w:cs="Times New Roman"/>
          <w:color w:val="auto"/>
          <w:sz w:val="32"/>
          <w:szCs w:val="32"/>
          <w:lang w:val="en-US" w:eastAsia="zh-CN"/>
        </w:rPr>
        <w:t>公务用车加油</w:t>
      </w:r>
      <w:r>
        <w:rPr>
          <w:rFonts w:hint="eastAsia" w:eastAsia="仿宋_GB2312" w:cs="Times New Roman"/>
          <w:color w:val="auto"/>
          <w:sz w:val="32"/>
          <w:szCs w:val="32"/>
          <w:lang w:val="en-US" w:eastAsia="zh-CN"/>
        </w:rPr>
        <w:t>和印刷服务</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四川省民族宗教事务委员</w:t>
      </w:r>
      <w:r>
        <w:rPr>
          <w:rFonts w:hint="eastAsia" w:eastAsia="仿宋_GB2312" w:cs="Times New Roman"/>
          <w:color w:val="auto"/>
          <w:sz w:val="32"/>
          <w:szCs w:val="32"/>
          <w:highlight w:val="none"/>
          <w:lang w:val="en-US" w:eastAsia="zh-CN"/>
        </w:rPr>
        <w:t>会</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辆、</w:t>
      </w:r>
      <w:r>
        <w:rPr>
          <w:rFonts w:hint="default" w:ascii="Times New Roman" w:hAnsi="Times New Roman" w:eastAsia="仿宋_GB2312" w:cs="Times New Roman"/>
          <w:color w:val="auto"/>
          <w:sz w:val="32"/>
          <w:szCs w:val="32"/>
          <w:highlight w:val="none"/>
          <w:lang w:val="en-US" w:eastAsia="zh-CN"/>
        </w:rPr>
        <w:t>离退休干部用车1辆、</w:t>
      </w:r>
      <w:r>
        <w:rPr>
          <w:rFonts w:hint="default" w:ascii="Times New Roman" w:hAnsi="Times New Roman" w:eastAsia="仿宋_GB2312" w:cs="Times New Roman"/>
          <w:color w:val="auto"/>
          <w:sz w:val="32"/>
          <w:szCs w:val="32"/>
          <w:highlight w:val="none"/>
        </w:rPr>
        <w:t>其他用车</w:t>
      </w:r>
      <w:r>
        <w:rPr>
          <w:rFonts w:hint="eastAsia"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辆</w:t>
      </w:r>
      <w:r>
        <w:rPr>
          <w:rFonts w:hint="eastAsia" w:eastAsia="仿宋_GB2312" w:cs="Times New Roman"/>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autoSpaceDE w:val="0"/>
        <w:autoSpaceDN w:val="0"/>
        <w:adjustRightInd w:val="0"/>
        <w:spacing w:line="600" w:lineRule="exact"/>
        <w:ind w:firstLine="640" w:firstLineChars="200"/>
        <w:jc w:val="left"/>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根据预算绩效管理要求，本单位在2021年度预算编制阶段，组织对</w:t>
      </w:r>
      <w:r>
        <w:rPr>
          <w:rFonts w:hint="default" w:ascii="Times New Roman" w:hAnsi="Times New Roman" w:eastAsia="仿宋_GB2312" w:cs="Times New Roman"/>
          <w:color w:val="auto"/>
          <w:sz w:val="32"/>
          <w:szCs w:val="32"/>
          <w:highlight w:val="none"/>
          <w:lang w:val="en-US" w:eastAsia="zh-CN"/>
        </w:rPr>
        <w:t>媒体宣传工作经费</w:t>
      </w:r>
      <w:r>
        <w:rPr>
          <w:rFonts w:hint="eastAsia" w:ascii="Times New Roman" w:hAnsi="Times New Roman" w:eastAsia="仿宋_GB2312" w:cs="Times New Roman"/>
          <w:color w:val="auto"/>
          <w:sz w:val="32"/>
          <w:szCs w:val="32"/>
          <w:highlight w:val="none"/>
          <w:lang w:val="en-US" w:eastAsia="zh-CN"/>
        </w:rPr>
        <w:t>项目等4个项目开展了预算事前绩效评估，对20个项目编制了绩效目标，预算执行过程中，选取4个项目开展绩效监控，年终执行完毕后，对4个项目开展了绩效自评，2021年特定目标类部门预算项目绩效目标自评表见附件（第四部分）。</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4"/>
        <w:spacing w:line="560" w:lineRule="exact"/>
        <w:ind w:firstLine="640" w:firstLineChars="200"/>
        <w:rPr>
          <w:rFonts w:hint="default" w:ascii="Times New Roman" w:hAnsi="Times New Roman" w:eastAsia="仿宋_GB2312" w:cs="Times New Roman"/>
          <w:color w:val="auto"/>
          <w:sz w:val="32"/>
          <w:szCs w:val="32"/>
        </w:rPr>
      </w:pPr>
      <w:bookmarkStart w:id="51" w:name="_Toc15377226"/>
      <w:r>
        <w:rPr>
          <w:rFonts w:hint="default" w:ascii="Times New Roman" w:hAnsi="Times New Roman" w:eastAsia="仿宋_GB2312" w:cs="Times New Roman"/>
          <w:color w:val="auto"/>
          <w:sz w:val="32"/>
          <w:szCs w:val="32"/>
        </w:rPr>
        <w:t>1.财政拨款收入：指单位从同级财政部门取得的财政预算资金。</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.其他收入：指单位取得的除上述收入以外的各项收入。主要是</w:t>
      </w:r>
      <w:r>
        <w:rPr>
          <w:rFonts w:hint="default" w:ascii="Times New Roman" w:hAnsi="Times New Roman" w:eastAsia="仿宋_GB2312" w:cs="Times New Roman"/>
          <w:color w:val="auto"/>
          <w:sz w:val="32"/>
          <w:szCs w:val="32"/>
          <w:lang w:eastAsia="zh-CN"/>
        </w:rPr>
        <w:t>从国家宗教局取得的上级补助收入</w:t>
      </w:r>
      <w:r>
        <w:rPr>
          <w:rFonts w:hint="default" w:ascii="Times New Roman" w:hAnsi="Times New Roman" w:eastAsia="仿宋_GB2312" w:cs="Times New Roman"/>
          <w:color w:val="auto"/>
          <w:sz w:val="32"/>
          <w:szCs w:val="32"/>
        </w:rPr>
        <w:t xml:space="preserve">等。 </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4"/>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val="en-US" w:eastAsia="zh-CN"/>
        </w:rPr>
        <w:t>一般公共服务支出（类）民族事务（款）行政运行（项）:</w:t>
      </w:r>
      <w:r>
        <w:rPr>
          <w:rFonts w:hint="default" w:ascii="Times New Roman" w:hAnsi="Times New Roman" w:eastAsia="仿宋_GB2312" w:cs="Times New Roman"/>
          <w:color w:val="auto"/>
          <w:sz w:val="32"/>
          <w:szCs w:val="32"/>
        </w:rPr>
        <w:t>指反映行政单位 (包括实行公务员管理的事业单位) 的基本支出。</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w:t>
      </w:r>
      <w:r>
        <w:rPr>
          <w:rFonts w:hint="default" w:ascii="Times New Roman" w:hAnsi="Times New Roman" w:eastAsia="仿宋_GB2312" w:cs="Times New Roman"/>
          <w:color w:val="auto"/>
          <w:sz w:val="32"/>
          <w:szCs w:val="32"/>
          <w:lang w:eastAsia="zh-CN"/>
        </w:rPr>
        <w:t>一般行政管理事务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反映行政单位 (包括实行公务员 管理的事业单位)未单独设置项级科目的其他项目支出。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（类）民族事务（款）民族工作专项（项）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反映用于民族事务管理方面的专项支出。</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（类）民族事务（款）其他民族事务支出（项）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反映除上述项目以外其他用于民族事务方面的支出。</w:t>
      </w:r>
    </w:p>
    <w:p>
      <w:pPr>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一般公共服务</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w:t>
      </w:r>
      <w:r>
        <w:rPr>
          <w:rFonts w:hint="default" w:ascii="Times New Roman" w:hAnsi="Times New Roman" w:eastAsia="仿宋_GB2312" w:cs="Times New Roman"/>
          <w:color w:val="auto"/>
          <w:sz w:val="32"/>
          <w:szCs w:val="32"/>
          <w:lang w:eastAsia="zh-CN"/>
        </w:rPr>
        <w:t>统战</w:t>
      </w:r>
      <w:r>
        <w:rPr>
          <w:rFonts w:hint="default" w:ascii="Times New Roman" w:hAnsi="Times New Roman" w:eastAsia="仿宋_GB2312" w:cs="Times New Roman"/>
          <w:color w:val="auto"/>
          <w:sz w:val="32"/>
          <w:szCs w:val="32"/>
        </w:rPr>
        <w:t>事务（款）宗教</w:t>
      </w:r>
      <w:r>
        <w:rPr>
          <w:rFonts w:hint="default" w:ascii="Times New Roman" w:hAnsi="Times New Roman" w:eastAsia="仿宋_GB2312" w:cs="Times New Roman"/>
          <w:color w:val="auto"/>
          <w:sz w:val="32"/>
          <w:szCs w:val="32"/>
          <w:lang w:eastAsia="zh-CN"/>
        </w:rPr>
        <w:t>事务</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反映用于</w:t>
      </w:r>
      <w:r>
        <w:rPr>
          <w:rFonts w:hint="default" w:ascii="Times New Roman" w:hAnsi="Times New Roman" w:eastAsia="仿宋_GB2312" w:cs="Times New Roman"/>
          <w:color w:val="auto"/>
          <w:sz w:val="32"/>
          <w:szCs w:val="32"/>
          <w:lang w:eastAsia="zh-CN"/>
        </w:rPr>
        <w:t>宗教</w:t>
      </w:r>
      <w:r>
        <w:rPr>
          <w:rFonts w:hint="default" w:ascii="Times New Roman" w:hAnsi="Times New Roman" w:eastAsia="仿宋_GB2312" w:cs="Times New Roman"/>
          <w:color w:val="auto"/>
          <w:sz w:val="32"/>
          <w:szCs w:val="32"/>
        </w:rPr>
        <w:t>事务管理方面的专项支出。</w:t>
      </w:r>
    </w:p>
    <w:p>
      <w:pPr>
        <w:ind w:firstLine="640" w:firstLineChars="200"/>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lang w:val="en-US" w:eastAsia="zh-CN"/>
        </w:rPr>
        <w:t>.</w:t>
      </w:r>
      <w:r>
        <w:rPr>
          <w:rStyle w:val="16"/>
          <w:rFonts w:hint="default" w:ascii="Times New Roman" w:hAnsi="Times New Roman" w:eastAsia="仿宋_GB2312" w:cs="Times New Roman"/>
          <w:b w:val="0"/>
          <w:bCs w:val="0"/>
          <w:color w:val="auto"/>
          <w:sz w:val="32"/>
          <w:szCs w:val="32"/>
        </w:rPr>
        <w:t>一般公共服务</w:t>
      </w:r>
      <w:r>
        <w:rPr>
          <w:rStyle w:val="16"/>
          <w:rFonts w:hint="default" w:ascii="Times New Roman" w:hAnsi="Times New Roman" w:eastAsia="仿宋_GB2312" w:cs="Times New Roman"/>
          <w:b w:val="0"/>
          <w:bCs w:val="0"/>
          <w:color w:val="auto"/>
          <w:sz w:val="32"/>
          <w:szCs w:val="32"/>
          <w:lang w:eastAsia="zh-CN"/>
        </w:rPr>
        <w:t>支出</w:t>
      </w:r>
      <w:r>
        <w:rPr>
          <w:rStyle w:val="16"/>
          <w:rFonts w:hint="default" w:ascii="Times New Roman" w:hAnsi="Times New Roman" w:eastAsia="仿宋_GB2312" w:cs="Times New Roman"/>
          <w:b w:val="0"/>
          <w:bCs w:val="0"/>
          <w:color w:val="auto"/>
          <w:sz w:val="32"/>
          <w:szCs w:val="32"/>
        </w:rPr>
        <w:t>（类）</w:t>
      </w:r>
      <w:r>
        <w:rPr>
          <w:rStyle w:val="16"/>
          <w:rFonts w:hint="default" w:ascii="Times New Roman" w:hAnsi="Times New Roman" w:eastAsia="仿宋_GB2312" w:cs="Times New Roman"/>
          <w:b w:val="0"/>
          <w:bCs w:val="0"/>
          <w:color w:val="auto"/>
          <w:sz w:val="32"/>
          <w:szCs w:val="32"/>
          <w:lang w:eastAsia="zh-CN"/>
        </w:rPr>
        <w:t>其他</w:t>
      </w:r>
      <w:r>
        <w:rPr>
          <w:rStyle w:val="16"/>
          <w:rFonts w:hint="default" w:ascii="Times New Roman" w:hAnsi="Times New Roman" w:eastAsia="仿宋_GB2312" w:cs="Times New Roman"/>
          <w:b w:val="0"/>
          <w:bCs w:val="0"/>
          <w:color w:val="auto"/>
          <w:sz w:val="32"/>
          <w:szCs w:val="32"/>
          <w:lang w:val="en-US" w:eastAsia="zh-CN"/>
        </w:rPr>
        <w:t>一般公共服务</w:t>
      </w:r>
      <w:r>
        <w:rPr>
          <w:rStyle w:val="16"/>
          <w:rFonts w:hint="default" w:ascii="Times New Roman" w:hAnsi="Times New Roman" w:eastAsia="仿宋_GB2312" w:cs="Times New Roman"/>
          <w:b w:val="0"/>
          <w:bCs w:val="0"/>
          <w:color w:val="auto"/>
          <w:sz w:val="32"/>
          <w:szCs w:val="32"/>
          <w:lang w:eastAsia="zh-CN"/>
        </w:rPr>
        <w:t>支出</w:t>
      </w:r>
      <w:r>
        <w:rPr>
          <w:rStyle w:val="16"/>
          <w:rFonts w:hint="default" w:ascii="Times New Roman" w:hAnsi="Times New Roman" w:eastAsia="仿宋_GB2312" w:cs="Times New Roman"/>
          <w:b w:val="0"/>
          <w:bCs w:val="0"/>
          <w:color w:val="auto"/>
          <w:sz w:val="32"/>
          <w:szCs w:val="32"/>
        </w:rPr>
        <w:t>（款）</w:t>
      </w:r>
      <w:r>
        <w:rPr>
          <w:rStyle w:val="16"/>
          <w:rFonts w:hint="default" w:ascii="Times New Roman" w:hAnsi="Times New Roman" w:eastAsia="仿宋_GB2312" w:cs="Times New Roman"/>
          <w:b w:val="0"/>
          <w:bCs w:val="0"/>
          <w:color w:val="auto"/>
          <w:sz w:val="32"/>
          <w:szCs w:val="32"/>
          <w:lang w:eastAsia="zh-CN"/>
        </w:rPr>
        <w:t>其他</w:t>
      </w:r>
      <w:r>
        <w:rPr>
          <w:rStyle w:val="16"/>
          <w:rFonts w:hint="default" w:ascii="Times New Roman" w:hAnsi="Times New Roman" w:eastAsia="仿宋_GB2312" w:cs="Times New Roman"/>
          <w:b w:val="0"/>
          <w:bCs w:val="0"/>
          <w:color w:val="auto"/>
          <w:sz w:val="32"/>
          <w:szCs w:val="32"/>
          <w:lang w:val="en-US" w:eastAsia="zh-CN"/>
        </w:rPr>
        <w:t>一般公共服务</w:t>
      </w:r>
      <w:r>
        <w:rPr>
          <w:rStyle w:val="16"/>
          <w:rFonts w:hint="default" w:ascii="Times New Roman" w:hAnsi="Times New Roman" w:eastAsia="仿宋_GB2312" w:cs="Times New Roman"/>
          <w:b w:val="0"/>
          <w:bCs w:val="0"/>
          <w:color w:val="auto"/>
          <w:sz w:val="32"/>
          <w:szCs w:val="32"/>
          <w:lang w:eastAsia="zh-CN"/>
        </w:rPr>
        <w:t>支出</w:t>
      </w:r>
      <w:r>
        <w:rPr>
          <w:rStyle w:val="16"/>
          <w:rFonts w:hint="default" w:ascii="Times New Roman" w:hAnsi="Times New Roman" w:eastAsia="仿宋_GB2312" w:cs="Times New Roman"/>
          <w:b w:val="0"/>
          <w:bCs w:val="0"/>
          <w:color w:val="auto"/>
          <w:sz w:val="32"/>
          <w:szCs w:val="32"/>
        </w:rPr>
        <w:t>（项）</w:t>
      </w:r>
      <w:r>
        <w:rPr>
          <w:rFonts w:hint="default" w:ascii="Times New Roman" w:hAnsi="Times New Roman" w:eastAsia="仿宋_GB2312" w:cs="Times New Roman"/>
          <w:b w:val="0"/>
          <w:bCs w:val="0"/>
          <w:color w:val="auto"/>
          <w:sz w:val="32"/>
          <w:szCs w:val="32"/>
          <w:lang w:eastAsia="zh-CN"/>
        </w:rPr>
        <w:t>：反映其他</w:t>
      </w:r>
      <w:r>
        <w:rPr>
          <w:rFonts w:hint="default" w:ascii="Times New Roman" w:hAnsi="Times New Roman" w:eastAsia="仿宋_GB2312" w:cs="Times New Roman"/>
          <w:b w:val="0"/>
          <w:bCs w:val="0"/>
          <w:color w:val="auto"/>
          <w:sz w:val="32"/>
          <w:szCs w:val="32"/>
          <w:lang w:val="en-US" w:eastAsia="zh-CN"/>
        </w:rPr>
        <w:t>一般公共服务支出</w:t>
      </w:r>
      <w:r>
        <w:rPr>
          <w:rFonts w:hint="default" w:ascii="Times New Roman" w:hAnsi="Times New Roman" w:eastAsia="仿宋_GB2312" w:cs="Times New Roman"/>
          <w:b w:val="0"/>
          <w:bCs w:val="0"/>
          <w:color w:val="auto"/>
          <w:sz w:val="32"/>
          <w:szCs w:val="32"/>
          <w:lang w:eastAsia="zh-CN"/>
        </w:rPr>
        <w:t>。</w:t>
      </w:r>
    </w:p>
    <w:p>
      <w:pPr>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教育</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（类）进修及培训（款）培训支出（项）</w:t>
      </w:r>
      <w:r>
        <w:rPr>
          <w:rFonts w:hint="default" w:ascii="Times New Roman" w:hAnsi="Times New Roman" w:eastAsia="仿宋_GB2312" w:cs="Times New Roman"/>
          <w:color w:val="auto"/>
          <w:sz w:val="32"/>
          <w:szCs w:val="32"/>
          <w:lang w:eastAsia="zh-CN"/>
        </w:rPr>
        <w:t>：反映各部门安排的用于培训的支出。教育部门的师资培训，党校、行政学院等专业干部教育机构的支出，以及退役士兵、转业士官的培训支出，不在本科目反映。</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13</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6"/>
          <w:rFonts w:hint="default" w:ascii="Times New Roman" w:hAnsi="Times New Roman" w:eastAsia="仿宋_GB2312" w:cs="Times New Roman"/>
          <w:b w:val="0"/>
          <w:bCs w:val="0"/>
          <w:color w:val="auto"/>
          <w:sz w:val="32"/>
          <w:szCs w:val="32"/>
          <w:lang w:eastAsia="zh-CN"/>
        </w:rPr>
        <w:t>行政事业单位</w:t>
      </w:r>
      <w:r>
        <w:rPr>
          <w:rStyle w:val="16"/>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（款）行政单位离退休（项）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反映未实行归口管理的行政单位(包括实行公务员管理事业单位)开支的离退休支出。</w:t>
      </w:r>
    </w:p>
    <w:p>
      <w:pPr>
        <w:ind w:firstLine="640" w:firstLineChars="200"/>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val="en-US" w:eastAsia="zh-CN"/>
        </w:rPr>
        <w:t>14</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6"/>
          <w:rFonts w:hint="default" w:ascii="Times New Roman" w:hAnsi="Times New Roman" w:eastAsia="仿宋_GB2312" w:cs="Times New Roman"/>
          <w:b w:val="0"/>
          <w:bCs w:val="0"/>
          <w:color w:val="auto"/>
          <w:sz w:val="32"/>
          <w:szCs w:val="32"/>
          <w:lang w:eastAsia="zh-CN"/>
        </w:rPr>
        <w:t>行政事业单位</w:t>
      </w:r>
      <w:r>
        <w:rPr>
          <w:rStyle w:val="16"/>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（款）机关事业单位基本养老保险缴费支出（项）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反映机关事业单位实施养老保险制度由单位缴纳的基本养老保险费支出。</w:t>
      </w:r>
    </w:p>
    <w:p>
      <w:pPr>
        <w:ind w:firstLine="640" w:firstLineChars="200"/>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15</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社会保障和就业支出（类）</w:t>
      </w:r>
      <w:r>
        <w:rPr>
          <w:rStyle w:val="16"/>
          <w:rFonts w:hint="default" w:ascii="Times New Roman" w:hAnsi="Times New Roman" w:eastAsia="仿宋_GB2312" w:cs="Times New Roman"/>
          <w:b w:val="0"/>
          <w:bCs w:val="0"/>
          <w:color w:val="auto"/>
          <w:sz w:val="32"/>
          <w:szCs w:val="32"/>
          <w:lang w:eastAsia="zh-CN"/>
        </w:rPr>
        <w:t>行政事业单位</w:t>
      </w:r>
      <w:r>
        <w:rPr>
          <w:rStyle w:val="16"/>
          <w:rFonts w:hint="default" w:ascii="Times New Roman" w:hAnsi="Times New Roman" w:eastAsia="仿宋_GB2312" w:cs="Times New Roman"/>
          <w:b w:val="0"/>
          <w:bCs w:val="0"/>
          <w:color w:val="auto"/>
          <w:sz w:val="32"/>
          <w:szCs w:val="32"/>
          <w:lang w:val="en-US" w:eastAsia="zh-CN"/>
        </w:rPr>
        <w:t>养老支出</w:t>
      </w:r>
      <w:r>
        <w:rPr>
          <w:rFonts w:hint="default" w:ascii="Times New Roman" w:hAnsi="Times New Roman" w:eastAsia="仿宋_GB2312" w:cs="Times New Roman"/>
          <w:b w:val="0"/>
          <w:bCs w:val="0"/>
          <w:color w:val="auto"/>
          <w:sz w:val="32"/>
          <w:szCs w:val="32"/>
        </w:rPr>
        <w:t>（款）机关事业单位职业年金缴费支出（项）</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反映机关事业单位实施养老保险制度由单位</w:t>
      </w:r>
      <w:r>
        <w:rPr>
          <w:rFonts w:hint="default" w:ascii="Times New Roman" w:hAnsi="Times New Roman" w:eastAsia="仿宋_GB2312" w:cs="Times New Roman"/>
          <w:b w:val="0"/>
          <w:bCs w:val="0"/>
          <w:color w:val="auto"/>
          <w:sz w:val="32"/>
          <w:szCs w:val="32"/>
          <w:lang w:eastAsia="zh-CN"/>
        </w:rPr>
        <w:t>实际</w:t>
      </w:r>
      <w:r>
        <w:rPr>
          <w:rFonts w:hint="default" w:ascii="Times New Roman" w:hAnsi="Times New Roman" w:eastAsia="仿宋_GB2312" w:cs="Times New Roman"/>
          <w:b w:val="0"/>
          <w:bCs w:val="0"/>
          <w:color w:val="auto"/>
          <w:sz w:val="32"/>
          <w:szCs w:val="32"/>
        </w:rPr>
        <w:t>缴纳的职业年金支出。</w:t>
      </w:r>
    </w:p>
    <w:p>
      <w:pPr>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社会保障和就业支出（类）抚恤（款）死亡抚恤（项）</w:t>
      </w:r>
      <w:r>
        <w:rPr>
          <w:rFonts w:hint="default" w:ascii="Times New Roman" w:hAnsi="Times New Roman" w:eastAsia="仿宋_GB2312" w:cs="Times New Roman"/>
          <w:color w:val="auto"/>
          <w:sz w:val="32"/>
          <w:szCs w:val="32"/>
          <w:lang w:eastAsia="zh-CN"/>
        </w:rPr>
        <w:t>：反映按规定用于烈士和牺牲、病故人员家属的一次性和定期抚恤金以及丧葬补助费。</w:t>
      </w:r>
    </w:p>
    <w:p>
      <w:pPr>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社会保障和就业支出（类）其他社会保障和就业支出（款）其他社会保障和就业支出（项）</w:t>
      </w:r>
      <w:r>
        <w:rPr>
          <w:rFonts w:hint="default" w:ascii="Times New Roman" w:hAnsi="Times New Roman" w:eastAsia="仿宋_GB2312" w:cs="Times New Roman"/>
          <w:color w:val="auto"/>
          <w:sz w:val="32"/>
          <w:szCs w:val="32"/>
          <w:lang w:eastAsia="zh-CN"/>
        </w:rPr>
        <w:t>：反映其他用于</w:t>
      </w:r>
      <w:r>
        <w:rPr>
          <w:rFonts w:hint="default" w:ascii="Times New Roman" w:hAnsi="Times New Roman" w:eastAsia="仿宋_GB2312" w:cs="Times New Roman"/>
          <w:color w:val="auto"/>
          <w:sz w:val="32"/>
          <w:szCs w:val="32"/>
        </w:rPr>
        <w:t>社会保障和就业</w:t>
      </w:r>
      <w:r>
        <w:rPr>
          <w:rFonts w:hint="default" w:ascii="Times New Roman" w:hAnsi="Times New Roman" w:eastAsia="仿宋_GB2312" w:cs="Times New Roman"/>
          <w:color w:val="auto"/>
          <w:sz w:val="32"/>
          <w:szCs w:val="32"/>
          <w:lang w:eastAsia="zh-CN"/>
        </w:rPr>
        <w:t>方面的支出。</w:t>
      </w:r>
    </w:p>
    <w:p>
      <w:pPr>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卫生健康</w:t>
      </w:r>
      <w:r>
        <w:rPr>
          <w:rFonts w:hint="default" w:ascii="Times New Roman" w:hAnsi="Times New Roman" w:eastAsia="仿宋_GB2312" w:cs="Times New Roman"/>
          <w:color w:val="auto"/>
          <w:sz w:val="32"/>
          <w:szCs w:val="32"/>
        </w:rPr>
        <w:t>支出（类）行政事业单位医疗（款）行政单位医疗（项）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反映财政部门集中安排的行政单位基本医疗保险缴费经费，未参加医疗保险的行政单位的公费医疗经费，按国家规定享受离休人员、红军老战土待遇人员的医疗经费。</w:t>
      </w:r>
    </w:p>
    <w:p>
      <w:pPr>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支出（类）行政事业单位医疗（款）事业单位医疗（项）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.卫生健康</w:t>
      </w:r>
      <w:r>
        <w:rPr>
          <w:rFonts w:hint="default" w:ascii="Times New Roman" w:hAnsi="Times New Roman" w:eastAsia="仿宋_GB2312" w:cs="Times New Roman"/>
          <w:color w:val="auto"/>
          <w:sz w:val="32"/>
          <w:szCs w:val="32"/>
        </w:rPr>
        <w:t>支出（类）行政事业单位医疗（款）公务员医疗补助（项）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反映财政部门集中安排的公务员医疗补助经费。</w:t>
      </w:r>
    </w:p>
    <w:p>
      <w:pPr>
        <w:spacing w:line="58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住房保障支出（类）住房改革支出（款）住房公积金（项）</w:t>
      </w:r>
      <w:r>
        <w:rPr>
          <w:rFonts w:hint="default" w:ascii="Times New Roman" w:hAnsi="Times New Roman" w:eastAsia="仿宋_GB2312" w:cs="Times New Roman"/>
          <w:color w:val="auto"/>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lang w:val="en-US" w:eastAsia="zh-CN"/>
        </w:rPr>
        <w:t>.</w:t>
      </w:r>
      <w:r>
        <w:rPr>
          <w:rStyle w:val="16"/>
          <w:rFonts w:hint="default" w:ascii="Times New Roman" w:hAnsi="Times New Roman" w:eastAsia="仿宋_GB2312" w:cs="Times New Roman"/>
          <w:b w:val="0"/>
          <w:bCs w:val="0"/>
          <w:color w:val="auto"/>
          <w:sz w:val="32"/>
          <w:szCs w:val="32"/>
          <w:lang w:eastAsia="zh-CN"/>
        </w:rPr>
        <w:t>住房保障支出</w:t>
      </w:r>
      <w:r>
        <w:rPr>
          <w:rStyle w:val="16"/>
          <w:rFonts w:hint="default" w:ascii="Times New Roman" w:hAnsi="Times New Roman" w:eastAsia="仿宋_GB2312" w:cs="Times New Roman"/>
          <w:b w:val="0"/>
          <w:bCs w:val="0"/>
          <w:color w:val="auto"/>
          <w:sz w:val="32"/>
          <w:szCs w:val="32"/>
        </w:rPr>
        <w:t>（类）</w:t>
      </w:r>
      <w:r>
        <w:rPr>
          <w:rStyle w:val="16"/>
          <w:rFonts w:hint="default" w:ascii="Times New Roman" w:hAnsi="Times New Roman" w:eastAsia="仿宋_GB2312" w:cs="Times New Roman"/>
          <w:b w:val="0"/>
          <w:bCs w:val="0"/>
          <w:color w:val="auto"/>
          <w:sz w:val="32"/>
          <w:szCs w:val="32"/>
          <w:lang w:eastAsia="zh-CN"/>
        </w:rPr>
        <w:t>住房改革支出</w:t>
      </w:r>
      <w:r>
        <w:rPr>
          <w:rStyle w:val="16"/>
          <w:rFonts w:hint="default" w:ascii="Times New Roman" w:hAnsi="Times New Roman" w:eastAsia="仿宋_GB2312" w:cs="Times New Roman"/>
          <w:b w:val="0"/>
          <w:bCs w:val="0"/>
          <w:color w:val="auto"/>
          <w:sz w:val="32"/>
          <w:szCs w:val="32"/>
        </w:rPr>
        <w:t>（款）</w:t>
      </w:r>
      <w:r>
        <w:rPr>
          <w:rStyle w:val="16"/>
          <w:rFonts w:hint="default" w:ascii="Times New Roman" w:hAnsi="Times New Roman" w:eastAsia="仿宋_GB2312" w:cs="Times New Roman"/>
          <w:b w:val="0"/>
          <w:bCs w:val="0"/>
          <w:color w:val="auto"/>
          <w:sz w:val="32"/>
          <w:szCs w:val="32"/>
          <w:lang w:val="en-US" w:eastAsia="zh-CN"/>
        </w:rPr>
        <w:t>购房补贴</w:t>
      </w:r>
      <w:r>
        <w:rPr>
          <w:rStyle w:val="16"/>
          <w:rFonts w:hint="default" w:ascii="Times New Roman" w:hAnsi="Times New Roman" w:eastAsia="仿宋_GB2312" w:cs="Times New Roman"/>
          <w:b w:val="0"/>
          <w:bCs w:val="0"/>
          <w:color w:val="auto"/>
          <w:sz w:val="32"/>
          <w:szCs w:val="32"/>
        </w:rPr>
        <w:t>（项）</w:t>
      </w:r>
      <w:r>
        <w:rPr>
          <w:rStyle w:val="16"/>
          <w:rFonts w:hint="default" w:ascii="Times New Roman" w:hAnsi="Times New Roman" w:eastAsia="仿宋_GB2312" w:cs="Times New Roman"/>
          <w:b w:val="0"/>
          <w:bCs w:val="0"/>
          <w:color w:val="auto"/>
          <w:sz w:val="32"/>
          <w:szCs w:val="32"/>
          <w:lang w:eastAsia="zh-CN"/>
        </w:rPr>
        <w:t>：</w:t>
      </w:r>
      <w:r>
        <w:rPr>
          <w:rStyle w:val="16"/>
          <w:rFonts w:hint="default" w:ascii="Times New Roman" w:hAnsi="Times New Roman" w:eastAsia="仿宋_GB2312" w:cs="Times New Roman"/>
          <w:b w:val="0"/>
          <w:bCs w:val="0"/>
          <w:color w:val="auto"/>
          <w:sz w:val="32"/>
          <w:szCs w:val="32"/>
          <w:lang w:val="en-US" w:eastAsia="zh-CN"/>
        </w:rPr>
        <w:t>反映按房改政策规定，行政事业单位向符合条件职工（含离退休人员）、军队（含武警）向转役复员离退休人员发放的用于购买住房的补贴。</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.基本支出：指为保障机构正常运转、完成日常工作任务而发生的人员支出和公用支出。</w:t>
      </w:r>
    </w:p>
    <w:p>
      <w:pPr>
        <w:spacing w:line="58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 xml:space="preserve">.项目支出：指在基本支出之外为完成特定行政任务和事业发展目标所发生的支出。 </w:t>
      </w:r>
    </w:p>
    <w:p>
      <w:pPr>
        <w:pStyle w:val="24"/>
        <w:spacing w:line="58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8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color w:val="auto"/>
          <w:highlight w:val="none"/>
        </w:rPr>
      </w:pP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Times New Roman"/>
          <w:color w:val="auto"/>
          <w:highlight w:val="none"/>
          <w:lang w:val="en-US" w:eastAsia="zh-CN"/>
        </w:rPr>
      </w:pPr>
      <w:r>
        <w:rPr>
          <w:rFonts w:hint="eastAsia" w:ascii="黑体" w:hAnsi="黑体" w:eastAsia="黑体" w:cs="黑体"/>
          <w:color w:val="auto"/>
          <w:sz w:val="32"/>
          <w:szCs w:val="32"/>
          <w:highlight w:val="none"/>
        </w:rPr>
        <w:t>附件</w:t>
      </w:r>
      <w:bookmarkStart w:id="53" w:name="_Toc15396618"/>
      <w:r>
        <w:rPr>
          <w:rFonts w:hint="eastAsia" w:ascii="黑体" w:hAnsi="黑体" w:eastAsia="黑体" w:cs="黑体"/>
          <w:color w:val="auto"/>
          <w:sz w:val="32"/>
          <w:szCs w:val="32"/>
          <w:highlight w:val="none"/>
          <w:lang w:val="en-US" w:eastAsia="zh-CN"/>
        </w:rPr>
        <w:t>1</w:t>
      </w:r>
    </w:p>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部门预算项目支出绩效自评报告</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“宣传综合业务经费”及“媒体宣传工作经费”项目</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是多民族省份和宗教工作重点省份，做好宣传工作，对于铸牢中华民族共同体意识、坚持我国宗教中国化方向具有重要的意义。委党组高度重视，专门设立了“宣传综合业务经费”、“媒体宣传工作经费”项目，用于保障宣传工作开展需要。在实际工作中，注重与中央、省级主流媒体和行业媒体合作，加强委宣传平台阵地建设，紧紧围绕党和政府中心工作以及民族宗教工作主基调，组织开展庆祝中国共产党成立100周年，推动宣传工作不断提质增效，为贯彻落实中央、省委决策部署，团结引领各族群众和宗教界人士在全面建设社会主义现代化四川新征程中作贡献提供了重要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二、资金投入使用情况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宣传综合业务经费”项目总预算98万元，支出共计80.21万元。其中：制作湄公河国家驻华使节代表团来川考察宣传接待手册支出4.5484万元，购置“数字民宗”系统OA移动办公终端支出48.084万元，与中新社四川分社合作拍摄“民族团结进步示范工程”系列短视频支出29万元，公开出版物审读支出0.15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媒体宣传工作经费”项目总预算135万元，支出共计128.94万元。其中：开展庆祝中国共产党成立100周年暨中华民族视觉形象优秀作品征集活动支出18万元，征订赠阅民族宗教类报刊杂志支出50.04万元，委政务媒体平台委托运维支出34.9万元，《中国宗教》杂志宣传支出12万元，网络舆情监测委托服务支出10万元，《中国民族报》宣传支出4万元（尾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在资金的使用过程中，注重绩效，共计结余了23.85万元（其中：“宣传综合业务经费”项目结余17.79万元，“媒体宣传工作经费”项目结余6.06万元），均已按规定返还财政。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三、项目效益情况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一是政治效益方面。</w:t>
      </w:r>
      <w:r>
        <w:rPr>
          <w:rFonts w:hint="default" w:ascii="Times New Roman" w:hAnsi="Times New Roman" w:eastAsia="仿宋_GB2312" w:cs="Times New Roman"/>
          <w:color w:val="auto"/>
          <w:sz w:val="32"/>
          <w:szCs w:val="32"/>
          <w:lang w:val="en-US" w:eastAsia="zh-CN"/>
        </w:rPr>
        <w:t>通过开展庆祝中国共产党成立100周年暨中华民族视觉形象优秀作品征集活动以及向有关部门赠阅民族宗教类报刊杂志，营造了爱党颂党、感恩奋进的浓厚氛围，传递了党和政府的声音，宣传了党的民族宗教政策，展示了民族宗教工作成就，推动了各族群众和宗教界人士树牢“四个意识”、坚定“四个自信”、做到“两个维护”。通过制作湄公河国家驻华使节代表团来川考察宣传接待手册，对外充分展示了四川经济社会发展、脱贫攻坚及民族团结进步创建工作成果，推动了此次外事任务圆满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楷体_GB2312" w:cs="Times New Roman"/>
          <w:color w:val="auto"/>
          <w:sz w:val="32"/>
          <w:szCs w:val="32"/>
          <w:lang w:val="en-US" w:eastAsia="zh-CN"/>
        </w:rPr>
        <w:t>二是社会效益方面</w:t>
      </w:r>
      <w:r>
        <w:rPr>
          <w:rFonts w:hint="default" w:ascii="Times New Roman" w:hAnsi="Times New Roman" w:eastAsia="仿宋_GB2312" w:cs="Times New Roman"/>
          <w:color w:val="auto"/>
          <w:sz w:val="32"/>
          <w:lang w:val="en-US" w:eastAsia="zh-CN"/>
        </w:rPr>
        <w:t>。通过</w:t>
      </w:r>
      <w:r>
        <w:rPr>
          <w:rFonts w:hint="default" w:ascii="Times New Roman" w:hAnsi="Times New Roman" w:eastAsia="仿宋_GB2312" w:cs="Times New Roman"/>
          <w:color w:val="auto"/>
          <w:sz w:val="32"/>
          <w:szCs w:val="22"/>
          <w:lang w:val="en-US" w:eastAsia="zh-CN"/>
        </w:rPr>
        <w:t>协调中央、省级</w:t>
      </w:r>
      <w:r>
        <w:rPr>
          <w:rFonts w:hint="default" w:ascii="Times New Roman" w:hAnsi="Times New Roman" w:eastAsia="仿宋_GB2312" w:cs="Times New Roman"/>
          <w:color w:val="auto"/>
          <w:sz w:val="32"/>
          <w:lang w:val="en-US" w:eastAsia="zh-CN"/>
        </w:rPr>
        <w:t>主流媒体以及</w:t>
      </w:r>
      <w:r>
        <w:rPr>
          <w:rFonts w:hint="default" w:ascii="Times New Roman" w:hAnsi="Times New Roman" w:eastAsia="仿宋_GB2312" w:cs="Times New Roman"/>
          <w:color w:val="auto"/>
          <w:sz w:val="32"/>
          <w:szCs w:val="32"/>
          <w:lang w:val="en-US" w:eastAsia="zh-CN"/>
        </w:rPr>
        <w:t>《中国宗教》杂志、《中国民族报》等专业媒体开展宣传，推出发稿</w:t>
      </w:r>
      <w:r>
        <w:rPr>
          <w:rFonts w:hint="default" w:ascii="Times New Roman" w:hAnsi="Times New Roman" w:eastAsia="仿宋_GB2312" w:cs="Times New Roman"/>
          <w:color w:val="auto"/>
          <w:sz w:val="32"/>
          <w:szCs w:val="22"/>
          <w:lang w:val="en-US" w:eastAsia="zh-CN"/>
        </w:rPr>
        <w:t>800余篇（次），与中新社</w:t>
      </w:r>
      <w:r>
        <w:rPr>
          <w:rFonts w:hint="default" w:ascii="Times New Roman" w:hAnsi="Times New Roman" w:eastAsia="仿宋_GB2312" w:cs="Times New Roman"/>
          <w:color w:val="auto"/>
          <w:sz w:val="32"/>
          <w:szCs w:val="32"/>
          <w:lang w:val="en-US" w:eastAsia="zh-CN"/>
        </w:rPr>
        <w:t>合作拍摄</w:t>
      </w:r>
      <w:r>
        <w:rPr>
          <w:rFonts w:hint="default" w:ascii="Times New Roman" w:hAnsi="Times New Roman" w:eastAsia="仿宋_GB2312" w:cs="Times New Roman"/>
          <w:color w:val="auto"/>
          <w:sz w:val="32"/>
          <w:szCs w:val="22"/>
          <w:lang w:val="en-US" w:eastAsia="zh-CN"/>
        </w:rPr>
        <w:t>系列短视频，充分发挥了主流舆论主渠道主阵地作用，使委系统宣传平台载体更加丰富，宣传覆盖面和受众面不断拓宽，有效激发了</w:t>
      </w:r>
      <w:r>
        <w:rPr>
          <w:rFonts w:hint="default" w:ascii="Times New Roman" w:hAnsi="Times New Roman" w:eastAsia="仿宋_GB2312" w:cs="Times New Roman"/>
          <w:color w:val="auto"/>
          <w:sz w:val="32"/>
          <w:lang w:val="en-US" w:eastAsia="zh-CN"/>
        </w:rPr>
        <w:t>民族宗教领域奋进新时代的正能量，推动了以爱国主义为核心的民族精神和以改革创新为核心的时代精神在各族群众和宗教界人士中深入人心，传承弘扬了中华优秀传统文化，促进了社会主义精神文明建设。</w:t>
      </w:r>
    </w:p>
    <w:p>
      <w:pPr>
        <w:pStyle w:val="2"/>
        <w:pageBreakBefore w:val="0"/>
        <w:kinsoku/>
        <w:wordWrap/>
        <w:overflowPunct/>
        <w:topLinePunct w:val="0"/>
        <w:bidi w:val="0"/>
        <w:spacing w:beforeLines="0"/>
        <w:ind w:firstLine="640" w:firstLineChars="200"/>
        <w:jc w:val="both"/>
        <w:rPr>
          <w:rFonts w:hint="default" w:ascii="Times New Roman" w:hAnsi="Times New Roman" w:cs="Times New Roman"/>
          <w:color w:val="auto"/>
          <w:highlight w:val="none"/>
          <w:lang w:val="zh-CN"/>
        </w:rPr>
      </w:pPr>
      <w:r>
        <w:rPr>
          <w:rFonts w:hint="default" w:ascii="Times New Roman" w:hAnsi="Times New Roman" w:eastAsia="楷体_GB2312" w:cs="Times New Roman"/>
          <w:color w:val="auto"/>
          <w:sz w:val="32"/>
          <w:szCs w:val="32"/>
          <w:lang w:val="en-US" w:eastAsia="zh-CN"/>
        </w:rPr>
        <w:t>三是工作效益方面</w:t>
      </w:r>
      <w:r>
        <w:rPr>
          <w:rFonts w:hint="eastAsia" w:asci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lang w:val="en-US" w:eastAsia="zh-CN"/>
        </w:rPr>
        <w:t>通过形式多样的主题宣传、媒体宣传，推动了中央、省委民族工作会议和全国、全省宗教工作会议精神的学习贯彻，加强了对各族群众铸牢中华民族共同体意识，宗教界人士和信教群众坚持宗教中国化方向的宣传引导，推进了大宣教工作的开展，服务了民族宗教中心工作。依托</w:t>
      </w:r>
      <w:r>
        <w:rPr>
          <w:rFonts w:hint="default" w:ascii="Times New Roman" w:hAnsi="Times New Roman" w:eastAsia="仿宋_GB2312" w:cs="Times New Roman"/>
          <w:color w:val="auto"/>
          <w:sz w:val="32"/>
          <w:szCs w:val="32"/>
          <w:lang w:val="en-US" w:eastAsia="zh-CN"/>
        </w:rPr>
        <w:t>政务媒体平台委托运维、网络舆情监测委托服务等专业化服务，提升委政务媒体平台建设水平，强化了对负面网络舆情的监测及处置。通过配备“数字民宗”系统OA移动办公终端，确保了OA系统移动办公按计划全面实现。</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pStyle w:val="11"/>
        <w:rPr>
          <w:rFonts w:hint="default" w:ascii="Times New Roman" w:hAnsi="Times New Roman" w:eastAsia="黑体" w:cs="Times New Roman"/>
          <w:b w:val="0"/>
          <w:bCs w:val="0"/>
          <w:color w:val="auto"/>
          <w:kern w:val="0"/>
          <w:sz w:val="32"/>
          <w:szCs w:val="32"/>
          <w:shd w:val="clear" w:color="auto" w:fill="FFFFFF"/>
          <w:lang w:val="zh-CN"/>
        </w:rPr>
      </w:pPr>
    </w:p>
    <w:p>
      <w:pPr>
        <w:rPr>
          <w:rFonts w:hint="default" w:ascii="Times New Roman" w:hAnsi="Times New Roman" w:eastAsia="黑体" w:cs="Times New Roman"/>
          <w:b w:val="0"/>
          <w:bCs w:val="0"/>
          <w:color w:val="auto"/>
          <w:kern w:val="0"/>
          <w:sz w:val="32"/>
          <w:szCs w:val="32"/>
          <w:shd w:val="clear" w:color="auto" w:fill="FFFFFF"/>
          <w:lang w:val="zh-CN"/>
        </w:rPr>
      </w:pPr>
    </w:p>
    <w:p>
      <w:pPr>
        <w:pStyle w:val="11"/>
        <w:rPr>
          <w:rFonts w:hint="default"/>
          <w:color w:val="auto"/>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黑体" w:cs="Times New Roman"/>
          <w:b w:val="0"/>
          <w:bCs w:val="0"/>
          <w:color w:val="auto"/>
          <w:kern w:val="0"/>
          <w:sz w:val="32"/>
          <w:szCs w:val="32"/>
          <w:shd w:val="clear" w:color="auto" w:fill="FFFFFF"/>
          <w:lang w:val="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r>
        <w:rPr>
          <w:rFonts w:hint="default" w:ascii="Times New Roman" w:hAnsi="Times New Roman" w:eastAsia="黑体" w:cs="Times New Roman"/>
          <w:b w:val="0"/>
          <w:bCs w:val="0"/>
          <w:color w:val="auto"/>
          <w:kern w:val="0"/>
          <w:sz w:val="32"/>
          <w:szCs w:val="32"/>
          <w:shd w:val="clear" w:color="auto" w:fill="FFFFFF"/>
          <w:lang w:val="zh-CN"/>
        </w:rPr>
        <w:t>附表：</w:t>
      </w:r>
    </w:p>
    <w:p>
      <w:pPr>
        <w:keepNext w:val="0"/>
        <w:keepLines w:val="0"/>
        <w:pageBreakBefore w:val="0"/>
        <w:widowControl/>
        <w:kinsoku/>
        <w:wordWrap/>
        <w:overflowPunct/>
        <w:topLinePunct w:val="0"/>
        <w:autoSpaceDE/>
        <w:autoSpaceDN/>
        <w:bidi w:val="0"/>
        <w:adjustRightInd w:val="0"/>
        <w:snapToGrid w:val="0"/>
        <w:spacing w:afterAutospacing="0" w:line="580" w:lineRule="exact"/>
        <w:ind w:right="-733" w:rightChars="-349"/>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r>
        <w:rPr>
          <w:rFonts w:hint="default" w:ascii="Times New Roman" w:hAnsi="Times New Roman" w:eastAsia="宋体" w:cs="Times New Roman"/>
          <w:b/>
          <w:i w:val="0"/>
          <w:color w:val="auto"/>
          <w:spacing w:val="-6"/>
          <w:sz w:val="32"/>
          <w:szCs w:val="32"/>
          <w:u w:val="none"/>
          <w:lang w:val="en-US" w:eastAsia="zh-CN"/>
        </w:rPr>
        <w:t>2021年100万元以上（含）特定目标类部门预算项目绩效目标自评</w:t>
      </w:r>
    </w:p>
    <w:p>
      <w:pPr>
        <w:pStyle w:val="11"/>
        <w:jc w:val="center"/>
        <w:rPr>
          <w:rFonts w:hint="default"/>
          <w:lang w:val="zh-CN"/>
        </w:rPr>
      </w:pPr>
      <w:r>
        <w:rPr>
          <w:rFonts w:hint="eastAsia" w:ascii="Times New Roman" w:hAnsi="Times New Roman" w:cs="Times New Roman"/>
          <w:b/>
          <w:i w:val="0"/>
          <w:color w:val="auto"/>
          <w:spacing w:val="-6"/>
          <w:sz w:val="32"/>
          <w:szCs w:val="32"/>
          <w:u w:val="none"/>
          <w:lang w:val="en-US" w:eastAsia="zh-CN"/>
        </w:rPr>
        <w:t>（</w:t>
      </w:r>
      <w:r>
        <w:rPr>
          <w:rFonts w:hint="default" w:ascii="Times New Roman" w:hAnsi="Times New Roman" w:eastAsia="楷体_GB2312" w:cs="Times New Roman"/>
          <w:color w:val="auto"/>
          <w:sz w:val="32"/>
          <w:szCs w:val="32"/>
          <w:lang w:val="en-US" w:eastAsia="zh-CN"/>
        </w:rPr>
        <w:t>媒体宣传工作经费</w:t>
      </w:r>
      <w:r>
        <w:rPr>
          <w:rFonts w:hint="eastAsia" w:ascii="Times New Roman" w:hAnsi="Times New Roman" w:eastAsia="楷体_GB2312" w:cs="Times New Roman"/>
          <w:color w:val="auto"/>
          <w:sz w:val="32"/>
          <w:szCs w:val="32"/>
          <w:lang w:val="en-US" w:eastAsia="zh-CN"/>
        </w:rPr>
        <w:t>项目</w:t>
      </w:r>
      <w:r>
        <w:rPr>
          <w:rFonts w:hint="eastAsia" w:ascii="Times New Roman" w:hAnsi="Times New Roman" w:cs="Times New Roman"/>
          <w:b/>
          <w:i w:val="0"/>
          <w:color w:val="auto"/>
          <w:spacing w:val="-6"/>
          <w:sz w:val="32"/>
          <w:szCs w:val="32"/>
          <w:u w:val="none"/>
          <w:lang w:val="en-US" w:eastAsia="zh-CN"/>
        </w:rPr>
        <w:t>）</w:t>
      </w:r>
    </w:p>
    <w:tbl>
      <w:tblPr>
        <w:tblStyle w:val="14"/>
        <w:tblpPr w:leftFromText="180" w:rightFromText="180" w:vertAnchor="text" w:horzAnchor="page" w:tblpX="1740" w:tblpY="348"/>
        <w:tblOverlap w:val="never"/>
        <w:tblW w:w="9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872"/>
        <w:gridCol w:w="1003"/>
        <w:gridCol w:w="1023"/>
        <w:gridCol w:w="1591"/>
        <w:gridCol w:w="1975"/>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项目名称</w:t>
            </w:r>
          </w:p>
        </w:tc>
        <w:tc>
          <w:tcPr>
            <w:tcW w:w="7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媒体宣传工作经费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主管部门</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及代码</w:t>
            </w:r>
          </w:p>
        </w:tc>
        <w:tc>
          <w:tcPr>
            <w:tcW w:w="3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四川省民族宗教事务委员会</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实施单位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四川省民族宗教事务委员会机关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项目预算</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执行情况</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（万元）</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预算数：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135.0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执行数：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其中：财政拨款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135.0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其中：财政拨款</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w:t>
            </w:r>
            <w:r>
              <w:rPr>
                <w:rStyle w:val="32"/>
                <w:rFonts w:hint="default" w:ascii="Times New Roman" w:hAnsi="Times New Roman" w:cs="Times New Roman"/>
                <w:color w:val="auto"/>
                <w:sz w:val="21"/>
                <w:szCs w:val="21"/>
                <w:lang w:val="en-US" w:eastAsia="zh-CN" w:bidi="ar"/>
              </w:rPr>
              <w:t xml:space="preserve"> 其他资金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w:t>
            </w:r>
            <w:r>
              <w:rPr>
                <w:rStyle w:val="32"/>
                <w:rFonts w:hint="default" w:ascii="Times New Roman" w:hAnsi="Times New Roman" w:cs="Times New Roman"/>
                <w:color w:val="auto"/>
                <w:sz w:val="21"/>
                <w:szCs w:val="21"/>
                <w:lang w:val="en-US" w:eastAsia="zh-CN" w:bidi="ar"/>
              </w:rPr>
              <w:t>其他资金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情况</w:t>
            </w:r>
          </w:p>
        </w:tc>
        <w:tc>
          <w:tcPr>
            <w:tcW w:w="4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预期目标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加强我省民族宗教工作经费宣传，借力平台媒体和新媒体做强正面宣传。</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加强我省民族宗教工作经费宣传，借力平台媒体和新媒体做强正面宣传。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7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年度绩效指标完成情况</w:t>
            </w:r>
          </w:p>
        </w:tc>
        <w:tc>
          <w:tcPr>
            <w:tcW w:w="8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二级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三级指标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预期指标值</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5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完</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成</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合作宣传媒体</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4个</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合作舆论监测平台</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1个</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宣传片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5个</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质量</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按计划完成率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时效</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实施时间</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12月前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效</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益</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社会效益指标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扩大对我省民族宗教工作成效宣传，营造良好的舆论氛围，进一步铸牢中华民族共同体意识</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良好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可持续影响指标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社会影响力</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常年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常年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9"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满意</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度指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满意度指标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群众满意度</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95%以上</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w:t>
            </w:r>
          </w:p>
        </w:tc>
      </w:tr>
    </w:tbl>
    <w:p>
      <w:pPr>
        <w:widowControl/>
        <w:adjustRightInd w:val="0"/>
        <w:snapToGrid w:val="0"/>
        <w:spacing w:line="580" w:lineRule="exact"/>
        <w:ind w:right="-420" w:rightChars="-200"/>
        <w:contextualSpacing/>
        <w:jc w:val="left"/>
        <w:rPr>
          <w:rFonts w:hint="default" w:ascii="Times New Roman" w:hAnsi="Times New Roman" w:eastAsia="宋体" w:cs="Times New Roman"/>
          <w:b/>
          <w:i w:val="0"/>
          <w:color w:val="auto"/>
          <w:spacing w:val="-6"/>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line="500" w:lineRule="exact"/>
        <w:ind w:right="-420" w:rightChars="-200"/>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r>
        <w:rPr>
          <w:rFonts w:hint="default" w:ascii="Times New Roman" w:hAnsi="Times New Roman" w:eastAsia="宋体" w:cs="Times New Roman"/>
          <w:b/>
          <w:i w:val="0"/>
          <w:color w:val="auto"/>
          <w:spacing w:val="-6"/>
          <w:sz w:val="32"/>
          <w:szCs w:val="32"/>
          <w:u w:val="none"/>
          <w:lang w:val="en-US" w:eastAsia="zh-CN"/>
        </w:rPr>
        <w:t>2021年100万元以上（含）特定目标类部门预算项目绩效目标自评</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center"/>
        <w:textAlignment w:val="auto"/>
        <w:rPr>
          <w:rFonts w:hint="default"/>
          <w:lang w:val="en-US" w:eastAsia="zh-CN"/>
        </w:rPr>
      </w:pPr>
      <w:r>
        <w:rPr>
          <w:rFonts w:hint="eastAsia" w:eastAsia="楷体_GB2312" w:cs="Times New Roman"/>
          <w:color w:val="auto"/>
          <w:sz w:val="32"/>
          <w:szCs w:val="32"/>
          <w:lang w:val="en-US" w:eastAsia="zh-CN"/>
        </w:rPr>
        <w:t>（</w:t>
      </w:r>
      <w:r>
        <w:rPr>
          <w:rFonts w:hint="default" w:ascii="Times New Roman" w:hAnsi="Times New Roman" w:eastAsia="楷体_GB2312" w:cs="Times New Roman"/>
          <w:color w:val="auto"/>
          <w:sz w:val="32"/>
          <w:szCs w:val="32"/>
          <w:lang w:val="en-US" w:eastAsia="zh-CN"/>
        </w:rPr>
        <w:t>宣传综合业务经费</w:t>
      </w:r>
      <w:r>
        <w:rPr>
          <w:rFonts w:hint="eastAsia" w:eastAsia="楷体_GB2312" w:cs="Times New Roman"/>
          <w:color w:val="auto"/>
          <w:sz w:val="32"/>
          <w:szCs w:val="32"/>
          <w:lang w:val="en-US" w:eastAsia="zh-CN"/>
        </w:rPr>
        <w:t>项目）</w:t>
      </w:r>
    </w:p>
    <w:tbl>
      <w:tblPr>
        <w:tblStyle w:val="14"/>
        <w:tblpPr w:leftFromText="180" w:rightFromText="180" w:vertAnchor="text" w:horzAnchor="page" w:tblpX="1485" w:tblpY="696"/>
        <w:tblOverlap w:val="never"/>
        <w:tblW w:w="91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872"/>
        <w:gridCol w:w="1003"/>
        <w:gridCol w:w="1023"/>
        <w:gridCol w:w="1591"/>
        <w:gridCol w:w="1975"/>
        <w:gridCol w:w="1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项目名称</w:t>
            </w:r>
          </w:p>
        </w:tc>
        <w:tc>
          <w:tcPr>
            <w:tcW w:w="7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宣传</w:t>
            </w:r>
            <w:r>
              <w:rPr>
                <w:rFonts w:hint="eastAsia" w:cs="Times New Roman"/>
                <w:i w:val="0"/>
                <w:iCs w:val="0"/>
                <w:color w:val="auto"/>
                <w:kern w:val="0"/>
                <w:sz w:val="21"/>
                <w:szCs w:val="21"/>
                <w:u w:val="none"/>
                <w:lang w:val="en-US" w:eastAsia="zh-CN" w:bidi="ar"/>
              </w:rPr>
              <w:t>综合业务</w:t>
            </w:r>
            <w:r>
              <w:rPr>
                <w:rFonts w:hint="default" w:ascii="Times New Roman" w:hAnsi="Times New Roman" w:eastAsia="宋体" w:cs="Times New Roman"/>
                <w:i w:val="0"/>
                <w:iCs w:val="0"/>
                <w:color w:val="auto"/>
                <w:kern w:val="0"/>
                <w:sz w:val="21"/>
                <w:szCs w:val="21"/>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rPr>
        <w:tc>
          <w:tcPr>
            <w:tcW w:w="16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主管部门</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及代码</w:t>
            </w:r>
          </w:p>
        </w:tc>
        <w:tc>
          <w:tcPr>
            <w:tcW w:w="3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四川省民族宗教事务委员会</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实施单位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四川省民族宗教事务委员会机关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16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项目预算</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执行情况</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（万元）</w:t>
            </w: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预算数：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执行数：</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其中：财政拨款</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98.0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其中：财政拨款</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16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其他资金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其他资金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年度</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目标</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完成</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情况</w:t>
            </w:r>
          </w:p>
        </w:tc>
        <w:tc>
          <w:tcPr>
            <w:tcW w:w="44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预期目标</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9" w:hRule="atLeast"/>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加强我省民族宗教工作宣传，借力平台媒体和新媒体做强正面宣传</w:t>
            </w:r>
          </w:p>
        </w:tc>
        <w:tc>
          <w:tcPr>
            <w:tcW w:w="395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加强我省民族宗教工作宣传，借力平台媒体和新媒体做强正面宣传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7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年度绩效指标完成情况</w:t>
            </w:r>
          </w:p>
        </w:tc>
        <w:tc>
          <w:tcPr>
            <w:tcW w:w="87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二级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三级指标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预期指标值</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9" w:hRule="atLeast"/>
        </w:trPr>
        <w:tc>
          <w:tcPr>
            <w:tcW w:w="759"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完</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成</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审阅民族宗教题材出版物</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100件</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订阅赠送杂志2550份</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2550份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2550份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拍摄宣传片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5个</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质量</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按计划完成率</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时效</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实施时间</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12月前</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12月前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16"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效</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益</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社会效益指标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扩大对我省民族宗教工作成效宣传，营造良好的舆论氛围，进一步铸牢中华民族共同体意识。</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良好</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rPr>
        <w:tc>
          <w:tcPr>
            <w:tcW w:w="759" w:type="dxa"/>
            <w:vMerge w:val="continue"/>
            <w:tcBorders>
              <w:left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可持续影响指标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社会影响力</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常年</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常年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3" w:hRule="atLeast"/>
        </w:trPr>
        <w:tc>
          <w:tcPr>
            <w:tcW w:w="759" w:type="dxa"/>
            <w:vMerge w:val="continue"/>
            <w:tcBorders>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满意</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度指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满意度指标</w:t>
            </w:r>
          </w:p>
        </w:tc>
        <w:tc>
          <w:tcPr>
            <w:tcW w:w="2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群众满意度</w:t>
            </w:r>
          </w:p>
        </w:tc>
        <w:tc>
          <w:tcPr>
            <w:tcW w:w="1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95%以上</w:t>
            </w:r>
          </w:p>
        </w:tc>
        <w:tc>
          <w:tcPr>
            <w:tcW w:w="1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95%以上</w:t>
            </w:r>
          </w:p>
        </w:tc>
      </w:tr>
    </w:tbl>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Times New Roman"/>
          <w:color w:val="auto"/>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kinsoku/>
        <w:wordWrap/>
        <w:overflowPunct/>
        <w:topLinePunct w:val="0"/>
        <w:autoSpaceDE/>
        <w:autoSpaceDN/>
        <w:bidi w:val="0"/>
        <w:adjustRightInd w:val="0"/>
        <w:snapToGrid w:val="0"/>
        <w:spacing w:afterAutospacing="0" w:line="580" w:lineRule="exact"/>
        <w:ind w:left="0" w:leftChars="-200" w:hanging="420" w:hangingChars="136"/>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p>
    <w:p>
      <w:pPr>
        <w:tabs>
          <w:tab w:val="left" w:pos="3885"/>
        </w:tabs>
        <w:snapToGrid w:val="0"/>
        <w:spacing w:line="60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部门预算项目支出绩效自评报告</w:t>
      </w:r>
    </w:p>
    <w:p>
      <w:pPr>
        <w:tabs>
          <w:tab w:val="left" w:pos="3885"/>
        </w:tabs>
        <w:snapToGrid w:val="0"/>
        <w:spacing w:line="60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（智能文件交换系统项目）</w:t>
      </w:r>
    </w:p>
    <w:p>
      <w:pPr>
        <w:adjustRightInd w:val="0"/>
        <w:snapToGrid w:val="0"/>
        <w:spacing w:line="600" w:lineRule="exact"/>
        <w:ind w:firstLine="720"/>
        <w:rPr>
          <w:rFonts w:hint="default" w:ascii="Times New Roman" w:hAnsi="Times New Roman" w:eastAsia="仿宋_GB2312" w:cs="Times New Roman"/>
          <w:color w:val="auto"/>
          <w:sz w:val="32"/>
          <w:szCs w:val="32"/>
        </w:rPr>
      </w:pPr>
    </w:p>
    <w:p>
      <w:pPr>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按照《财政厅关于开展2022年部门、政策和项目支出绩效评价工作的通知》（川财绩﹝2022﹞5号）有关要求，</w:t>
      </w:r>
      <w:r>
        <w:rPr>
          <w:rFonts w:hint="default" w:ascii="Times New Roman" w:hAnsi="Times New Roman" w:eastAsia="仿宋_GB2312" w:cs="Times New Roman"/>
          <w:color w:val="auto"/>
          <w:sz w:val="32"/>
          <w:szCs w:val="32"/>
        </w:rPr>
        <w:t>为进一步加强</w:t>
      </w:r>
      <w:r>
        <w:rPr>
          <w:rFonts w:hint="default" w:ascii="Times New Roman" w:hAnsi="Times New Roman" w:eastAsia="仿宋_GB2312" w:cs="Times New Roman"/>
          <w:color w:val="auto"/>
          <w:sz w:val="32"/>
          <w:szCs w:val="32"/>
          <w:lang w:val="en-US" w:eastAsia="zh-CN"/>
        </w:rPr>
        <w:t>政府性资源统筹</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实现资金、资产绩效管理同步推进，切实</w:t>
      </w:r>
      <w:r>
        <w:rPr>
          <w:rFonts w:hint="default" w:ascii="Times New Roman" w:hAnsi="Times New Roman" w:eastAsia="仿宋_GB2312" w:cs="Times New Roman"/>
          <w:color w:val="auto"/>
          <w:sz w:val="32"/>
          <w:szCs w:val="32"/>
        </w:rPr>
        <w:t>提高财政资金使用效益，我委对202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年“智能文件交换系统”项目开展了绩效自评工作。现将有关情况报告如下：</w:t>
      </w:r>
    </w:p>
    <w:p>
      <w:pPr>
        <w:numPr>
          <w:ilvl w:val="0"/>
          <w:numId w:val="5"/>
        </w:numPr>
        <w:tabs>
          <w:tab w:val="left" w:pos="3885"/>
        </w:tabs>
        <w:snapToGrid w:val="0"/>
        <w:spacing w:line="600" w:lineRule="exact"/>
        <w:ind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基本情况</w:t>
      </w:r>
    </w:p>
    <w:p>
      <w:pPr>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zh-CN"/>
        </w:rPr>
        <w:t>（一）</w:t>
      </w:r>
      <w:r>
        <w:rPr>
          <w:rFonts w:hint="default" w:ascii="Times New Roman" w:hAnsi="Times New Roman" w:eastAsia="仿宋_GB2312" w:cs="Times New Roman"/>
          <w:b/>
          <w:color w:val="auto"/>
          <w:sz w:val="32"/>
          <w:szCs w:val="32"/>
        </w:rPr>
        <w:t>项目概况</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zh-CN"/>
        </w:rPr>
        <w:t>基本情况</w:t>
      </w:r>
    </w:p>
    <w:p>
      <w:pPr>
        <w:adjustRightInd w:val="0"/>
        <w:snapToGrid w:val="0"/>
        <w:spacing w:line="600" w:lineRule="exact"/>
        <w:ind w:firstLine="72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该项目由委</w:t>
      </w:r>
      <w:r>
        <w:rPr>
          <w:rFonts w:hint="default" w:ascii="Times New Roman" w:hAnsi="Times New Roman" w:eastAsia="仿宋_GB2312" w:cs="Times New Roman"/>
          <w:color w:val="auto"/>
          <w:sz w:val="32"/>
          <w:szCs w:val="32"/>
        </w:rPr>
        <w:t>办公室</w:t>
      </w:r>
      <w:r>
        <w:rPr>
          <w:rFonts w:hint="default" w:ascii="Times New Roman" w:hAnsi="Times New Roman" w:eastAsia="仿宋_GB2312" w:cs="Times New Roman"/>
          <w:color w:val="auto"/>
          <w:sz w:val="32"/>
          <w:szCs w:val="32"/>
          <w:lang w:val="en-US" w:eastAsia="zh-CN"/>
        </w:rPr>
        <w:t>牵头实施，办公室</w:t>
      </w:r>
      <w:r>
        <w:rPr>
          <w:rFonts w:hint="default" w:ascii="Times New Roman" w:hAnsi="Times New Roman" w:eastAsia="仿宋_GB2312" w:cs="Times New Roman"/>
          <w:color w:val="auto"/>
          <w:sz w:val="32"/>
          <w:szCs w:val="32"/>
        </w:rPr>
        <w:t>主要职能是负责文电、会务、档案、机要等机关日常运转工作，承担保密、信访、安全、绩效管理、政务公开、史志编撰工作</w:t>
      </w:r>
      <w:r>
        <w:rPr>
          <w:rFonts w:hint="default" w:ascii="Times New Roman" w:hAnsi="Times New Roman" w:eastAsia="仿宋_GB2312" w:cs="Times New Roman"/>
          <w:color w:val="auto"/>
          <w:sz w:val="32"/>
          <w:szCs w:val="32"/>
          <w:highlight w:val="none"/>
        </w:rPr>
        <w:t>；承办民族自治地方重大庆典活动及少数民族宗教界人士重要学习、参观、考察等事宜；负责民族和宗教动态、信息的汇总分析及信息化建设；负责民</w:t>
      </w:r>
      <w:r>
        <w:rPr>
          <w:rFonts w:hint="default" w:ascii="Times New Roman" w:hAnsi="Times New Roman" w:eastAsia="仿宋_GB2312" w:cs="Times New Roman"/>
          <w:color w:val="auto"/>
          <w:sz w:val="32"/>
          <w:szCs w:val="32"/>
        </w:rPr>
        <w:t>族宗教事务服务体系建设。</w:t>
      </w:r>
    </w:p>
    <w:p>
      <w:pPr>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2.项目实施情况</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公室年平均文件收发量达到7000多件，其中涉密文件约占文件总数的1/4，人工完成收发运转，尤其是签字领取和退还环节，存在涉密件管理安全隐患。为进一步贯彻落实国家和省委保密局对涉密文件资料管理要求。办公室分别到省委统战部、省财政厅、省发改委，调研学习，这些部门均已使用智能文件交换柜与跟踪系统，实现了所有收发文件（包括涉密件）交换全程监控，智能跟踪，安全高效运转。</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我委“数字民宗”推进计划，非涉密OA办公系统已开始运行。按照省政府安可工程建设方案，我委已于2022年6月搭建完成涉密内网，经过调试可通过具有涉密和非涉密两种功能的智能交换柜系统处理分发涉密和非涉密文件，同步在OA办公系统运转，实现实时归档、智能跟踪、随时查阅、减少纸质文件的目标。</w:t>
      </w:r>
    </w:p>
    <w:p>
      <w:pPr>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zh-CN"/>
        </w:rPr>
        <w:t>（</w:t>
      </w:r>
      <w:r>
        <w:rPr>
          <w:rFonts w:hint="default" w:ascii="Times New Roman" w:hAnsi="Times New Roman" w:eastAsia="仿宋_GB2312" w:cs="Times New Roman"/>
          <w:b/>
          <w:color w:val="auto"/>
          <w:sz w:val="32"/>
          <w:szCs w:val="32"/>
        </w:rPr>
        <w:t>二</w:t>
      </w:r>
      <w:r>
        <w:rPr>
          <w:rFonts w:hint="default" w:ascii="Times New Roman" w:hAnsi="Times New Roman" w:eastAsia="仿宋_GB2312" w:cs="Times New Roman"/>
          <w:b/>
          <w:color w:val="auto"/>
          <w:sz w:val="32"/>
          <w:szCs w:val="32"/>
          <w:lang w:val="zh-CN"/>
        </w:rPr>
        <w:t>）项目绩效目标</w:t>
      </w:r>
      <w:r>
        <w:rPr>
          <w:rFonts w:hint="default" w:ascii="Times New Roman" w:hAnsi="Times New Roman" w:eastAsia="仿宋_GB2312" w:cs="Times New Roman"/>
          <w:b/>
          <w:color w:val="auto"/>
          <w:sz w:val="32"/>
          <w:szCs w:val="32"/>
        </w:rPr>
        <w:t>设置情况</w:t>
      </w:r>
    </w:p>
    <w:p>
      <w:pPr>
        <w:spacing w:line="600" w:lineRule="exact"/>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绩效目标设置的要求，办公室具体细化量化了三级指标，共计设置绩效目标4项。其中：项目完成指标3项，用于量化智能文件交换系统中文件箱的数量、质量、顺利运转时效，效益指标1项用于节能减排，减少纸质文件运转。</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zh-CN"/>
        </w:rPr>
        <w:t>（</w:t>
      </w:r>
      <w:r>
        <w:rPr>
          <w:rFonts w:hint="default" w:ascii="Times New Roman" w:hAnsi="Times New Roman" w:eastAsia="仿宋_GB2312" w:cs="Times New Roman"/>
          <w:b/>
          <w:color w:val="auto"/>
          <w:sz w:val="32"/>
          <w:szCs w:val="32"/>
        </w:rPr>
        <w:t>三</w:t>
      </w:r>
      <w:r>
        <w:rPr>
          <w:rFonts w:hint="default" w:ascii="Times New Roman" w:hAnsi="Times New Roman" w:eastAsia="仿宋_GB2312" w:cs="Times New Roman"/>
          <w:b/>
          <w:color w:val="auto"/>
          <w:sz w:val="32"/>
          <w:szCs w:val="32"/>
          <w:lang w:val="zh-CN"/>
        </w:rPr>
        <w:t>）资金投入</w:t>
      </w:r>
      <w:r>
        <w:rPr>
          <w:rFonts w:hint="default" w:ascii="Times New Roman" w:hAnsi="Times New Roman" w:eastAsia="仿宋_GB2312" w:cs="Times New Roman"/>
          <w:b/>
          <w:color w:val="auto"/>
          <w:sz w:val="32"/>
          <w:szCs w:val="32"/>
        </w:rPr>
        <w:t>及项目实施</w:t>
      </w:r>
      <w:r>
        <w:rPr>
          <w:rFonts w:hint="default" w:ascii="Times New Roman" w:hAnsi="Times New Roman" w:eastAsia="仿宋_GB2312" w:cs="Times New Roman"/>
          <w:b/>
          <w:color w:val="auto"/>
          <w:sz w:val="32"/>
          <w:szCs w:val="32"/>
          <w:lang w:val="zh-CN"/>
        </w:rPr>
        <w:t>情况</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智能文件交换系统项目总预算129.9734万元。根据项目预算绩效管理要求，办公室负责项目资金管理和具体实施。项目资金的主要用途为：采购4组（11个/1组，共计44个）智能文件交换柜，一套跟踪系统。按照省保密局对涉密文件资料管理工作要求，必须使用已</w:t>
      </w:r>
      <w:r>
        <w:rPr>
          <w:rFonts w:hint="default" w:ascii="Times New Roman" w:hAnsi="Times New Roman" w:eastAsia="仿宋_GB2312" w:cs="Times New Roman"/>
          <w:color w:val="auto"/>
          <w:kern w:val="0"/>
          <w:sz w:val="32"/>
          <w:szCs w:val="32"/>
        </w:rPr>
        <w:t>达</w:t>
      </w:r>
      <w:r>
        <w:rPr>
          <w:rFonts w:hint="default" w:ascii="Times New Roman" w:hAnsi="Times New Roman" w:eastAsia="仿宋_GB2312" w:cs="Times New Roman"/>
          <w:color w:val="auto"/>
          <w:sz w:val="32"/>
          <w:szCs w:val="32"/>
        </w:rPr>
        <w:t>到国产化国家保密局分保测评标准并同时具有涉密和非涉密两种功能的智能交换柜</w:t>
      </w:r>
      <w:r>
        <w:rPr>
          <w:rFonts w:hint="default" w:ascii="Times New Roman" w:hAnsi="Times New Roman" w:eastAsia="仿宋_GB2312" w:cs="Times New Roman"/>
          <w:color w:val="auto"/>
          <w:kern w:val="0"/>
          <w:sz w:val="32"/>
          <w:szCs w:val="32"/>
        </w:rPr>
        <w:t>系统，投标人并具有涉密信息系统集成甲级资质（业务种类：软件开发、运维服务）的特殊要求，以邀标方式进行政府采购。</w:t>
      </w:r>
    </w:p>
    <w:p>
      <w:pPr>
        <w:numPr>
          <w:ilvl w:val="255"/>
          <w:numId w:val="0"/>
        </w:numPr>
        <w:adjustRightInd w:val="0"/>
        <w:snapToGrid w:val="0"/>
        <w:spacing w:line="600" w:lineRule="exact"/>
        <w:ind w:firstLine="72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全年，项目支出共计121.6万元，预算执行率为93.56%。</w:t>
      </w:r>
    </w:p>
    <w:p>
      <w:pPr>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二、评价工作开展情况</w:t>
      </w:r>
    </w:p>
    <w:p>
      <w:pPr>
        <w:snapToGrid w:val="0"/>
        <w:spacing w:line="60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zh-CN"/>
        </w:rPr>
        <w:t>（一）评价组织情况</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本次绩效评价按照前期准备、单位自评、部门复评、报告撰写四个阶段，组织实施项目绩效评价工作。</w:t>
      </w:r>
    </w:p>
    <w:p>
      <w:pPr>
        <w:snapToGrid w:val="0"/>
        <w:spacing w:line="60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zh-CN"/>
        </w:rPr>
        <w:t>（二）评价指标体系</w:t>
      </w:r>
    </w:p>
    <w:p>
      <w:pPr>
        <w:snapToGrid w:val="0"/>
        <w:spacing w:line="600" w:lineRule="exact"/>
        <w:ind w:firstLine="640" w:firstLineChars="20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sz w:val="32"/>
          <w:szCs w:val="32"/>
        </w:rPr>
        <w:t>根据绩效评价工作部署要求，省民族宗教委细化制定了《省民族宗教委2021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snapToGrid w:val="0"/>
        <w:spacing w:line="600" w:lineRule="exac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zh-CN"/>
        </w:rPr>
        <w:t>（三）评价方法和评价标准等内容</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在明确评价指标及评价标准的基础上，查看资金实施及运行情况，收集相关数据资料，通过汇总整理，通过定量和定性分析，形成评价结论并形成绩效评价自评报告。</w:t>
      </w:r>
    </w:p>
    <w:p>
      <w:pPr>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三、综合评价结论（附评分表）</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按照《省民族宗教委202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年度部门预算项目支出绩效评价指标体系》，单位自评得分83.65分，部门考核自评质量得分10分，总计得分为</w:t>
      </w:r>
      <w:r>
        <w:rPr>
          <w:rFonts w:hint="default" w:ascii="Times New Roman" w:hAnsi="Times New Roman" w:eastAsia="仿宋_GB2312" w:cs="Times New Roman"/>
          <w:color w:val="auto"/>
          <w:sz w:val="32"/>
          <w:szCs w:val="32"/>
          <w:lang w:val="en-US" w:eastAsia="zh-CN"/>
        </w:rPr>
        <w:t>93.65</w:t>
      </w:r>
      <w:r>
        <w:rPr>
          <w:rFonts w:hint="default" w:ascii="Times New Roman" w:hAnsi="Times New Roman" w:eastAsia="仿宋_GB2312" w:cs="Times New Roman"/>
          <w:color w:val="auto"/>
          <w:sz w:val="32"/>
          <w:szCs w:val="32"/>
        </w:rPr>
        <w:t>分。</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扣分原因说明：</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1.执行进度：项目于2021年5月18日签订技术开发合同，按照合同要求，应于2021年7月19日完成实施安装工作、于2021年7月31日完成验收工作，</w:t>
      </w:r>
      <w:r>
        <w:rPr>
          <w:rFonts w:hint="default" w:ascii="Times New Roman" w:hAnsi="Times New Roman" w:eastAsia="仿宋_GB2312" w:cs="Times New Roman"/>
          <w:color w:val="auto"/>
          <w:sz w:val="32"/>
          <w:szCs w:val="32"/>
          <w:lang w:eastAsia="zh-CN"/>
        </w:rPr>
        <w:t>但</w:t>
      </w:r>
      <w:r>
        <w:rPr>
          <w:rFonts w:hint="default" w:ascii="Times New Roman" w:hAnsi="Times New Roman" w:eastAsia="仿宋_GB2312" w:cs="Times New Roman"/>
          <w:color w:val="auto"/>
          <w:sz w:val="32"/>
          <w:szCs w:val="32"/>
        </w:rPr>
        <w:t>因智能柜配套交接台质量原因重新制作，验收时间推迟到2021年12月9日，扣5.23分。</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2.预算完成：2021年办公室智能文件交换系统经费预算129.9734万元，当</w:t>
      </w:r>
      <w:r>
        <w:rPr>
          <w:rFonts w:hint="default" w:ascii="Times New Roman" w:hAnsi="Times New Roman" w:eastAsia="仿宋_GB2312" w:cs="Times New Roman"/>
          <w:color w:val="auto"/>
          <w:sz w:val="32"/>
          <w:szCs w:val="32"/>
          <w:highlight w:val="none"/>
        </w:rPr>
        <w:t>年实际完成128万</w:t>
      </w:r>
      <w:r>
        <w:rPr>
          <w:rFonts w:hint="default" w:ascii="Times New Roman" w:hAnsi="Times New Roman" w:eastAsia="仿宋_GB2312" w:cs="Times New Roman"/>
          <w:color w:val="auto"/>
          <w:sz w:val="32"/>
          <w:szCs w:val="32"/>
        </w:rPr>
        <w:t>元，按预算完成评分标准扣分1.12分。</w:t>
      </w:r>
    </w:p>
    <w:p>
      <w:pPr>
        <w:snapToGrid w:val="0"/>
        <w:spacing w:line="60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四、绩效评价分析</w:t>
      </w:r>
    </w:p>
    <w:p>
      <w:pPr>
        <w:snapToGrid w:val="0"/>
        <w:spacing w:line="600" w:lineRule="exact"/>
        <w:ind w:firstLine="642"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（一）项目决策情况</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1.决策依据充分</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贯彻落实国家和省保密局对涉密文件资料管理要求，提高办公室办文效率，办公室前期分别到省委统战部、省财政厅、省发改委等单位进行调研学习，相关部门都已使用智能文件交换柜与跟踪系统，实现了所有收发文件包（括涉密件）交换全程监控，智能跟踪，安全高效运转。</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2.决策程序严谨</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召开办公会决定项目初稿，报委领导及委党组决定项目定稿并按照预算编制要求，于年初预算编制时，填报了《部门预算项目立项审核表》，报经委计财处审定。</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3.成本核算科学</w:t>
      </w:r>
    </w:p>
    <w:p>
      <w:pPr>
        <w:snapToGrid w:val="0"/>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相关经费预算，严格按照相关业务成本进行测算，坚持“厉行节约”，确保财政资金使用绩效。</w:t>
      </w:r>
    </w:p>
    <w:p>
      <w:pPr>
        <w:snapToGrid w:val="0"/>
        <w:spacing w:line="600" w:lineRule="exact"/>
        <w:ind w:firstLine="642"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（二）项目管理情况</w:t>
      </w:r>
    </w:p>
    <w:p>
      <w:pPr>
        <w:snapToGrid w:val="0"/>
        <w:spacing w:line="60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项目支出均按照有关规章制度和项目实施完成情况进行支付。专项经费使用由办公室为主管理，各部门协助，严格按照委相关财务管理制度执行，并按要求完善记录，确保专款专用。</w:t>
      </w:r>
    </w:p>
    <w:p>
      <w:pPr>
        <w:numPr>
          <w:ilvl w:val="0"/>
          <w:numId w:val="6"/>
        </w:numPr>
        <w:snapToGrid w:val="0"/>
        <w:spacing w:line="600" w:lineRule="exact"/>
        <w:ind w:firstLine="642"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项目产出及效益情况</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
          <w:color w:val="auto"/>
          <w:sz w:val="32"/>
          <w:szCs w:val="32"/>
        </w:rPr>
        <w:t>机关文件安全运转得到有效保障。</w:t>
      </w:r>
      <w:r>
        <w:rPr>
          <w:rFonts w:hint="default" w:ascii="Times New Roman" w:hAnsi="Times New Roman" w:eastAsia="仿宋_GB2312" w:cs="Times New Roman"/>
          <w:color w:val="auto"/>
          <w:sz w:val="32"/>
          <w:szCs w:val="32"/>
        </w:rPr>
        <w:t>目前制作智能文件交换箱4组共44个，确定各处室、单位刷卡领取文件的责任人，落实公文运转责任。根据智能文件交换箱运行要求，配套IC取件卡，认证使用者身份，并全程录像。运转文件时需刷卡取件，实现清单打印以及自动取件签收功能，保证了公文的安全运转和我委日常工作的顺利开展。</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
          <w:color w:val="auto"/>
          <w:sz w:val="32"/>
          <w:szCs w:val="32"/>
        </w:rPr>
        <w:t>涉密文件安全运转得到有效实施。</w:t>
      </w:r>
      <w:r>
        <w:rPr>
          <w:rFonts w:hint="default" w:ascii="Times New Roman" w:hAnsi="Times New Roman" w:eastAsia="仿宋_GB2312" w:cs="Times New Roman"/>
          <w:color w:val="auto"/>
          <w:sz w:val="32"/>
          <w:szCs w:val="32"/>
        </w:rPr>
        <w:t>根据国家和省委保密局对涉密文件资料管理的要求，智能文件交换箱系统自动存储和显示涉密文件公文运转流程，并实现全过程跟踪，有效防止国家秘密在公文运转过程中的泄密风险，提高了涉密文件运转的保密性，减轻涉密文件运转的繁杂程度，有效提高运转效率，节约运转时间成本，为我委涉密工作的安全开展提供了基本保障。</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b/>
          <w:color w:val="auto"/>
          <w:sz w:val="32"/>
          <w:szCs w:val="32"/>
        </w:rPr>
        <w:t>文件智能化运转得到有效应用。</w:t>
      </w:r>
      <w:r>
        <w:rPr>
          <w:rFonts w:hint="default" w:ascii="Times New Roman" w:hAnsi="Times New Roman" w:eastAsia="仿宋_GB2312" w:cs="Times New Roman"/>
          <w:color w:val="auto"/>
          <w:sz w:val="32"/>
          <w:szCs w:val="32"/>
        </w:rPr>
        <w:t>智能文件交换箱电子显示屏提醒各处室单位文件柜中文件数量，方便实时查阅，实现了快速高效的公文运转要求，有效节约人力资源。文件交换箱触摸屏管理系统，促进了办公现代化，改善了办公环境。</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
          <w:color w:val="auto"/>
          <w:sz w:val="32"/>
          <w:szCs w:val="32"/>
        </w:rPr>
        <w:t>机关节能减耗得到有效提升。</w:t>
      </w:r>
      <w:r>
        <w:rPr>
          <w:rFonts w:hint="default" w:ascii="Times New Roman" w:hAnsi="Times New Roman" w:eastAsia="仿宋_GB2312" w:cs="Times New Roman"/>
          <w:color w:val="auto"/>
          <w:sz w:val="32"/>
          <w:szCs w:val="32"/>
        </w:rPr>
        <w:t>智能文件交换箱与我委OA办公系统相连接，涉密电子公文通过智能交换文件系统自动分配至OA系统，由OA系统下发各相关处室、单位，实现网上办公的需求，有效减少了纸质文件运转，节约纸质资源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涉密纸质文件签发、储存、核查、销毁等流程全部省略，涉密纸质文件管理工作幅减少，极大地提升了工作效率和节能减耗成果。</w:t>
      </w:r>
    </w:p>
    <w:p>
      <w:pPr>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五、存在主要问题</w:t>
      </w:r>
    </w:p>
    <w:p>
      <w:pPr>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智能文件交换箱因是电子交换箱，在周末断电后偶有个别交换箱刷卡故障，需要适时维修和保养。</w:t>
      </w:r>
    </w:p>
    <w:p>
      <w:pPr>
        <w:snapToGrid w:val="0"/>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六、相关措施建议</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是提高预算编制的精准性。进一步细化量化办公室项目经费，更加精确把控项目的可行性，将项目的实施和预算与时事政治、国家大政方针有机结合，严格遵守《中华人民共和国预算法》。合理测算预算，确保预算刚性约束。</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二是加强执行中的动态监控。在预算执行过程中加强对预算及绩效的“双监控”。按照财政有关要求，动态调整预算，提高预算执行率，切实发挥财政资金的使用绩效。</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三是严格预算安排与绩效挂钩。2021年年初预算编制时，已将2020年度预算执行进度和绩效目标实现情况纳入预算安排挂钩，适当减少该项目的2021年预算安排数。</w:t>
      </w:r>
    </w:p>
    <w:p>
      <w:pPr>
        <w:keepNext w:val="0"/>
        <w:keepLines w:val="0"/>
        <w:pageBreakBefore w:val="0"/>
        <w:widowControl/>
        <w:kinsoku/>
        <w:wordWrap/>
        <w:overflowPunct/>
        <w:topLinePunct w:val="0"/>
        <w:autoSpaceDE/>
        <w:autoSpaceDN/>
        <w:bidi w:val="0"/>
        <w:adjustRightInd w:val="0"/>
        <w:snapToGrid w:val="0"/>
        <w:spacing w:afterAutospacing="0" w:line="580" w:lineRule="exact"/>
        <w:ind w:left="0" w:leftChars="-200" w:hanging="420" w:hangingChars="136"/>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p>
    <w:p>
      <w:pPr>
        <w:pStyle w:val="11"/>
        <w:rPr>
          <w:rFonts w:hint="default" w:ascii="Times New Roman" w:hAnsi="Times New Roman" w:eastAsia="宋体" w:cs="Times New Roman"/>
          <w:b/>
          <w:i w:val="0"/>
          <w:color w:val="auto"/>
          <w:spacing w:val="-6"/>
          <w:sz w:val="32"/>
          <w:szCs w:val="32"/>
          <w:u w:val="none"/>
          <w:lang w:val="en-US" w:eastAsia="zh-CN"/>
        </w:rPr>
      </w:pPr>
    </w:p>
    <w:p>
      <w:pPr>
        <w:rPr>
          <w:rFonts w:hint="default" w:ascii="Times New Roman" w:hAnsi="Times New Roman" w:eastAsia="宋体" w:cs="Times New Roman"/>
          <w:b/>
          <w:i w:val="0"/>
          <w:color w:val="auto"/>
          <w:spacing w:val="-6"/>
          <w:sz w:val="32"/>
          <w:szCs w:val="32"/>
          <w:u w:val="none"/>
          <w:lang w:val="en-US" w:eastAsia="zh-CN"/>
        </w:rPr>
      </w:pPr>
    </w:p>
    <w:p>
      <w:pPr>
        <w:pStyle w:val="11"/>
        <w:rPr>
          <w:rFonts w:hint="default"/>
          <w:color w:val="auto"/>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ind w:left="-2" w:leftChars="-200" w:hanging="418" w:hangingChars="136"/>
        <w:contextualSpacing/>
        <w:jc w:val="left"/>
        <w:textAlignment w:val="auto"/>
        <w:rPr>
          <w:rFonts w:hint="default" w:ascii="Times New Roman" w:hAnsi="Times New Roman" w:eastAsia="黑体" w:cs="Times New Roman"/>
          <w:b w:val="0"/>
          <w:bCs/>
          <w:i w:val="0"/>
          <w:color w:val="auto"/>
          <w:spacing w:val="-6"/>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r>
        <w:rPr>
          <w:rFonts w:hint="default" w:ascii="Times New Roman" w:hAnsi="Times New Roman" w:eastAsia="黑体" w:cs="Times New Roman"/>
          <w:b w:val="0"/>
          <w:bCs/>
          <w:i w:val="0"/>
          <w:color w:val="auto"/>
          <w:spacing w:val="-6"/>
          <w:sz w:val="32"/>
          <w:szCs w:val="32"/>
          <w:u w:val="none"/>
          <w:lang w:val="en-US" w:eastAsia="zh-CN"/>
        </w:rPr>
        <w:t>附表：</w:t>
      </w: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eastAsia="宋体" w:cs="Times New Roman"/>
          <w:b/>
          <w:i w:val="0"/>
          <w:color w:val="auto"/>
          <w:spacing w:val="-6"/>
          <w:sz w:val="32"/>
          <w:szCs w:val="32"/>
          <w:u w:val="none"/>
          <w:lang w:val="en-US" w:eastAsia="zh-CN"/>
        </w:rPr>
      </w:pPr>
      <w:r>
        <w:rPr>
          <w:rFonts w:hint="default" w:ascii="Times New Roman" w:hAnsi="Times New Roman" w:eastAsia="宋体" w:cs="Times New Roman"/>
          <w:b/>
          <w:i w:val="0"/>
          <w:color w:val="auto"/>
          <w:spacing w:val="-6"/>
          <w:sz w:val="32"/>
          <w:szCs w:val="32"/>
          <w:u w:val="none"/>
          <w:lang w:val="en-US" w:eastAsia="zh-CN"/>
        </w:rPr>
        <w:t>2021年100万元以上（含）特定目标类部门预算项目绩效目标自评</w:t>
      </w:r>
    </w:p>
    <w:p>
      <w:pPr>
        <w:tabs>
          <w:tab w:val="left" w:pos="3885"/>
        </w:tabs>
        <w:snapToGrid w:val="0"/>
        <w:spacing w:line="600" w:lineRule="exact"/>
        <w:jc w:val="center"/>
        <w:rPr>
          <w:rFonts w:hint="default"/>
          <w:lang w:val="zh-CN"/>
        </w:rPr>
      </w:pPr>
      <w:r>
        <w:rPr>
          <w:rFonts w:hint="eastAsia" w:ascii="楷体_GB2312" w:hAnsi="楷体_GB2312" w:eastAsia="楷体_GB2312" w:cs="楷体_GB2312"/>
          <w:color w:val="auto"/>
          <w:sz w:val="32"/>
          <w:szCs w:val="32"/>
        </w:rPr>
        <w:t>（智能文件交换系统项目）</w:t>
      </w:r>
    </w:p>
    <w:tbl>
      <w:tblPr>
        <w:tblStyle w:val="14"/>
        <w:tblpPr w:leftFromText="180" w:rightFromText="180" w:vertAnchor="text" w:horzAnchor="page" w:tblpX="1470" w:tblpY="557"/>
        <w:tblOverlap w:val="never"/>
        <w:tblW w:w="9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8"/>
        <w:gridCol w:w="869"/>
        <w:gridCol w:w="1000"/>
        <w:gridCol w:w="1022"/>
        <w:gridCol w:w="1587"/>
        <w:gridCol w:w="1971"/>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项目名称</w:t>
            </w:r>
          </w:p>
        </w:tc>
        <w:tc>
          <w:tcPr>
            <w:tcW w:w="7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智能文件交换系统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3" w:hRule="atLeast"/>
        </w:trPr>
        <w:tc>
          <w:tcPr>
            <w:tcW w:w="1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主管部门</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及代码</w:t>
            </w:r>
          </w:p>
        </w:tc>
        <w:tc>
          <w:tcPr>
            <w:tcW w:w="36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四川省民族宗教事务委员会</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实施单位</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四川省民族宗教事务委员会机关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16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项目预算</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执行情况</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（万元）</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预算数：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执行数：</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1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其中：财政拨款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其中：财政拨款</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16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其他资金</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        其他资金</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年度</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总体</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目标</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完成情况</w:t>
            </w:r>
          </w:p>
        </w:tc>
        <w:tc>
          <w:tcPr>
            <w:tcW w:w="4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预期目标</w:t>
            </w:r>
          </w:p>
        </w:tc>
        <w:tc>
          <w:tcPr>
            <w:tcW w:w="3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24" w:hRule="atLeast"/>
        </w:trPr>
        <w:tc>
          <w:tcPr>
            <w:tcW w:w="75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4478" w:type="dxa"/>
            <w:gridSpan w:val="4"/>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文件运转系统确与移动办公OA系统连接，实现文件实施查看跟踪、督查督办、安全可控。</w:t>
            </w:r>
          </w:p>
        </w:tc>
        <w:tc>
          <w:tcPr>
            <w:tcW w:w="3943" w:type="dxa"/>
            <w:gridSpan w:val="2"/>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文件运转系统确与移动办公OA系统连接，实现文件实施查看跟踪、督查督办、安全可控。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758"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年度绩效指标完成情况</w:t>
            </w:r>
          </w:p>
        </w:tc>
        <w:tc>
          <w:tcPr>
            <w:tcW w:w="86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一级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二级</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0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三级指标</w:t>
            </w:r>
          </w:p>
        </w:tc>
        <w:tc>
          <w:tcPr>
            <w:tcW w:w="197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预期指标值</w:t>
            </w:r>
          </w:p>
        </w:tc>
        <w:tc>
          <w:tcPr>
            <w:tcW w:w="1972"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90" w:hRule="atLeast"/>
        </w:trPr>
        <w:tc>
          <w:tcPr>
            <w:tcW w:w="758" w:type="dxa"/>
            <w:vMerge w:val="continue"/>
            <w:tcBorders>
              <w:left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完</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成</w:t>
            </w:r>
          </w:p>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指</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标</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数量</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文件柜</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44个</w:t>
            </w:r>
          </w:p>
        </w:tc>
        <w:tc>
          <w:tcPr>
            <w:tcW w:w="19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trPr>
        <w:tc>
          <w:tcPr>
            <w:tcW w:w="758" w:type="dxa"/>
            <w:vMerge w:val="continue"/>
            <w:tcBorders>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质量</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质量</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好</w:t>
            </w:r>
          </w:p>
        </w:tc>
        <w:tc>
          <w:tcPr>
            <w:tcW w:w="19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trPr>
        <w:tc>
          <w:tcPr>
            <w:tcW w:w="758" w:type="dxa"/>
            <w:vMerge w:val="continue"/>
            <w:tcBorders>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时效</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顺利运转时效</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5年</w:t>
            </w:r>
          </w:p>
        </w:tc>
        <w:tc>
          <w:tcPr>
            <w:tcW w:w="19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trPr>
        <w:tc>
          <w:tcPr>
            <w:tcW w:w="758" w:type="dxa"/>
            <w:vMerge w:val="continue"/>
            <w:tcBorders>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i w:val="0"/>
                <w:iCs w:val="0"/>
                <w:color w:val="auto"/>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成本</w:t>
            </w:r>
          </w:p>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指标</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安排预算</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预算内</w:t>
            </w:r>
          </w:p>
        </w:tc>
        <w:tc>
          <w:tcPr>
            <w:tcW w:w="19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预算内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trPr>
        <w:tc>
          <w:tcPr>
            <w:tcW w:w="758" w:type="dxa"/>
            <w:vMerge w:val="continue"/>
            <w:tcBorders>
              <w:left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69"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生态效益指标</w:t>
            </w:r>
          </w:p>
        </w:tc>
        <w:tc>
          <w:tcPr>
            <w:tcW w:w="2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节能减排</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减少纸质文件运转</w:t>
            </w:r>
          </w:p>
        </w:tc>
        <w:tc>
          <w:tcPr>
            <w:tcW w:w="19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减少纸质文件运转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hRule="atLeast"/>
        </w:trPr>
        <w:tc>
          <w:tcPr>
            <w:tcW w:w="758" w:type="dxa"/>
            <w:vMerge w:val="continue"/>
            <w:tcBorders>
              <w:left w:val="single" w:color="auto" w:sz="4" w:space="0"/>
              <w:bottom w:val="single" w:color="auto"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1"/>
                <w:szCs w:val="21"/>
                <w:u w:val="none"/>
              </w:rPr>
            </w:pPr>
          </w:p>
        </w:tc>
        <w:tc>
          <w:tcPr>
            <w:tcW w:w="869"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可持续影响指标</w:t>
            </w:r>
          </w:p>
        </w:tc>
        <w:tc>
          <w:tcPr>
            <w:tcW w:w="260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影响时效</w:t>
            </w:r>
          </w:p>
        </w:tc>
        <w:tc>
          <w:tcPr>
            <w:tcW w:w="197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长期</w:t>
            </w:r>
          </w:p>
        </w:tc>
        <w:tc>
          <w:tcPr>
            <w:tcW w:w="1972"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长期</w:t>
            </w:r>
          </w:p>
        </w:tc>
      </w:tr>
    </w:tbl>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Times New Roman"/>
          <w:color w:val="auto"/>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庆祝建党</w:t>
      </w:r>
      <w:r>
        <w:rPr>
          <w:rFonts w:hint="eastAsia" w:ascii="楷体_GB2312" w:hAnsi="楷体_GB2312" w:eastAsia="楷体_GB2312" w:cs="楷体_GB2312"/>
          <w:color w:val="auto"/>
          <w:sz w:val="32"/>
          <w:szCs w:val="32"/>
          <w:lang w:val="en-US" w:eastAsia="zh-CN"/>
        </w:rPr>
        <w:t>100周年活动经费</w:t>
      </w:r>
      <w:r>
        <w:rPr>
          <w:rFonts w:hint="eastAsia" w:ascii="楷体_GB2312" w:hAnsi="楷体_GB2312" w:eastAsia="楷体_GB2312" w:cs="楷体_GB2312"/>
          <w:color w:val="auto"/>
          <w:sz w:val="32"/>
          <w:szCs w:val="32"/>
        </w:rPr>
        <w:t>项目）</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ind w:firstLine="642" w:firstLineChars="200"/>
        <w:jc w:val="left"/>
        <w:textAlignment w:val="auto"/>
        <w:outlineLvl w:val="9"/>
        <w:rPr>
          <w:rFonts w:hint="default" w:ascii="Times New Roman" w:hAnsi="Times New Roman" w:eastAsia="仿宋_GB2312" w:cs="Times New Roman"/>
          <w:b/>
          <w:color w:val="auto"/>
          <w:sz w:val="32"/>
          <w:szCs w:val="32"/>
        </w:rPr>
      </w:pP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深入贯彻落实习近平总书记关于宗教工作的重要论述和坚持我国宗教中国化方向的重要指示要求，自2019年以来，四川以坚持宗教中国化方向为指引、以弘扬中华优秀传统文化为切入口，每年组织全省宗教界开展庆国庆系列活动，广大宗教界人士以多种形式抒发爱党爱国爱社会主义的真挚情感，以实际行动发挥宗教界的积极作用，形成宗教界自觉、宗教团体自发、宗教活动场所自主、宗教人士自愿践行“与党同心 与国同行”的广泛共识和浓厚氛围，推动全省宗教领域呈现出和顺和睦和谐的崭新气象。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2021年四川省宗教界以庆祝建党100周年为契机，丰富了庆国庆集中升国旗仪式暨“爱国爱教爱家乡”活动内容，并由省伊斯兰教协会轮值主办。此次活动举办了集中升国旗仪式、“用好红色资源，传承好红色基因”主题展、“爱家乡”特色美食展陈、“爱国爱教爱家乡”文体展演（视频方式），召开了</w:t>
      </w:r>
      <w:r>
        <w:rPr>
          <w:rFonts w:hint="default" w:ascii="Times New Roman" w:hAnsi="Times New Roman" w:eastAsia="仿宋_GB2312" w:cs="Times New Roman"/>
          <w:color w:val="auto"/>
          <w:spacing w:val="0"/>
          <w:sz w:val="32"/>
          <w:szCs w:val="32"/>
        </w:rPr>
        <w:t>“爱国爱教爱家乡”暨铸牢中华民族共同体意识</w:t>
      </w:r>
      <w:r>
        <w:rPr>
          <w:rFonts w:hint="default" w:ascii="Times New Roman" w:hAnsi="Times New Roman" w:eastAsia="仿宋_GB2312" w:cs="Times New Roman"/>
          <w:color w:val="auto"/>
          <w:spacing w:val="0"/>
          <w:sz w:val="32"/>
          <w:szCs w:val="32"/>
          <w:lang w:eastAsia="zh-CN"/>
        </w:rPr>
        <w:t>座谈会，编印了《四川省宗教界</w:t>
      </w:r>
      <w:r>
        <w:rPr>
          <w:rFonts w:hint="default" w:ascii="Times New Roman" w:hAnsi="Times New Roman" w:eastAsia="仿宋_GB2312" w:cs="Times New Roman"/>
          <w:color w:val="auto"/>
          <w:sz w:val="32"/>
          <w:szCs w:val="32"/>
          <w:lang w:val="en-US" w:eastAsia="zh-CN"/>
        </w:rPr>
        <w:t>“爱国爱教爱家乡”</w:t>
      </w:r>
      <w:r>
        <w:rPr>
          <w:rFonts w:hint="default" w:ascii="Times New Roman" w:hAnsi="Times New Roman" w:eastAsia="仿宋_GB2312" w:cs="Times New Roman"/>
          <w:color w:val="auto"/>
          <w:spacing w:val="0"/>
          <w:sz w:val="32"/>
          <w:szCs w:val="32"/>
          <w:lang w:eastAsia="zh-CN"/>
        </w:rPr>
        <w:t>主题教育图册》。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二、评价工作开展情况</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（一）评价组织情况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本次绩效评价按照前期准备、</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自评、</w:t>
      </w:r>
      <w:r>
        <w:rPr>
          <w:rFonts w:hint="default" w:ascii="Times New Roman" w:hAnsi="Times New Roman" w:eastAsia="仿宋_GB2312" w:cs="Times New Roman"/>
          <w:color w:val="auto"/>
          <w:sz w:val="32"/>
          <w:szCs w:val="32"/>
          <w:lang w:val="en-US" w:eastAsia="zh-CN"/>
        </w:rPr>
        <w:t>部门复评、</w:t>
      </w:r>
      <w:r>
        <w:rPr>
          <w:rFonts w:hint="default" w:ascii="Times New Roman" w:hAnsi="Times New Roman" w:eastAsia="仿宋_GB2312" w:cs="Times New Roman"/>
          <w:color w:val="auto"/>
          <w:sz w:val="32"/>
          <w:szCs w:val="32"/>
        </w:rPr>
        <w:t>报告撰写</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个阶段，组织实施项目绩效评价工作。</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（二）评价指标体系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color w:val="auto"/>
          <w:sz w:val="32"/>
          <w:szCs w:val="32"/>
          <w:lang w:val="en-US" w:eastAsia="zh-CN"/>
        </w:rPr>
        <w:t>根据绩效评价工作部署要求，省民族宗教委细化制定了《省民族宗教委2021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（三）评价方法和评价标准等内容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组织活动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评价指标及评价标准的基础上，查看</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实施及运行情况，收集相关数据资料，通过汇总整理，通过定量和定性分析，形成评价结论并形成绩效评价自评报告。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综合</w:t>
      </w:r>
      <w:r>
        <w:rPr>
          <w:rFonts w:hint="default" w:ascii="Times New Roman" w:hAnsi="Times New Roman" w:eastAsia="黑体" w:cs="Times New Roman"/>
          <w:color w:val="auto"/>
          <w:sz w:val="32"/>
          <w:szCs w:val="32"/>
        </w:rPr>
        <w:t>评价结论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主要按照《省民族宗教委2021年度部门预算项目支出绩效评价指标体系》</w:t>
      </w:r>
      <w:r>
        <w:rPr>
          <w:rFonts w:hint="default" w:ascii="Times New Roman" w:hAnsi="Times New Roman" w:eastAsia="仿宋_GB2312" w:cs="Times New Roman"/>
          <w:b w:val="0"/>
          <w:bCs w:val="0"/>
          <w:color w:val="auto"/>
          <w:sz w:val="32"/>
          <w:szCs w:val="32"/>
          <w:lang w:val="en-US" w:eastAsia="zh-CN"/>
        </w:rPr>
        <w:t>单位自评得分75.6分，部门考核自评质量得分10分，总计得分为85.6分。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扣分原因说明：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1.执行进度：因疫情原因，压缩了活动规模，减少了参加活动人员，12月预算执行进度未达100%，扣4.4分。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4.预算完成：2021年</w:t>
      </w:r>
      <w:r>
        <w:rPr>
          <w:rFonts w:hint="default" w:ascii="Times New Roman" w:hAnsi="Times New Roman" w:eastAsia="仿宋_GB2312" w:cs="Times New Roman"/>
          <w:color w:val="auto"/>
          <w:sz w:val="32"/>
          <w:szCs w:val="32"/>
          <w:lang w:eastAsia="zh-CN"/>
        </w:rPr>
        <w:t>庆祝建党</w:t>
      </w:r>
      <w:r>
        <w:rPr>
          <w:rFonts w:hint="default" w:ascii="Times New Roman" w:hAnsi="Times New Roman" w:eastAsia="仿宋_GB2312" w:cs="Times New Roman"/>
          <w:color w:val="auto"/>
          <w:sz w:val="32"/>
          <w:szCs w:val="32"/>
          <w:lang w:val="en-US" w:eastAsia="zh-CN"/>
        </w:rPr>
        <w:t>100周年</w:t>
      </w:r>
      <w:r>
        <w:rPr>
          <w:rFonts w:hint="default" w:ascii="Times New Roman" w:hAnsi="Times New Roman" w:eastAsia="仿宋_GB2312" w:cs="Times New Roman"/>
          <w:b w:val="0"/>
          <w:bCs w:val="0"/>
          <w:color w:val="auto"/>
          <w:sz w:val="32"/>
          <w:szCs w:val="32"/>
          <w:lang w:val="en-US" w:eastAsia="zh-CN"/>
        </w:rPr>
        <w:t>预算120万元，当年实际完成67.12万元，计算项目年初预算数与决算数偏差超过20%，扣10分</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四、绩效评价分析</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省委把开展庆国庆系列活动作为引导宗教界学习贯彻习近平新时代中国特色社会主义思想和中央关于宗教工作决策部署的重要举措，作为加强对宗教界人士思想政治引领的有效方式。2019年庆祝新中国70华诞之际，省委提出“宗教界人士要做爱国爱教的践行者、依法治教的支持者、中华文化的传承者、祖国家乡的建设者”的号召，得到全省宗教界人士的积极响应，7个全省性宗教团体联合发出开展“爱国爱教爱家乡”主题教育活动倡议，并确定每年轮值组织开展庆国庆集中升国旗系列活动。几年来，省委书记带头与宗教界代表人士见面谈心，宣传党的政策，共话发展、共叙友情；省委、省政府领导同志出席宗教界庆国庆系列活动，与宗教界代表人士一起唱国歌、升国旗、畅谈中华文化，并主持召开座谈会听取意见建议。通过系列活动，拉近了宗教界人士与党委政府的距离，引导广大宗教界人士不断增强对伟大祖国、中华民族、中华文化、中国共产党、中国特色社会主义的高度认同。</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（二）项目管理情况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委党组专题审定活动方案，宗教综合处按照预算编制要求，于年初预算编制时，填报了《部门预算项目立项审核表》，报经委计财处审定。项目支出均按照有关规章制度和项目实施完成情况进行支付。专项经费使用由宗教综合处为主管理，相关处室、宗教团体协助，严格按照委相关财务管理制度执行，并按要求完善记录，确保专款专用。</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（三）项目产出情况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本次活动紧紧围绕庆祝中国共产党成立100周年和</w:t>
      </w:r>
      <w:r>
        <w:rPr>
          <w:rFonts w:hint="default" w:ascii="Times New Roman" w:hAnsi="Times New Roman" w:eastAsia="仿宋_GB2312" w:cs="Times New Roman"/>
          <w:color w:val="auto"/>
          <w:spacing w:val="0"/>
          <w:sz w:val="32"/>
          <w:szCs w:val="32"/>
        </w:rPr>
        <w:t>铸牢中华民族共同体意识</w:t>
      </w:r>
      <w:r>
        <w:rPr>
          <w:rFonts w:hint="default" w:ascii="Times New Roman" w:hAnsi="Times New Roman" w:eastAsia="仿宋_GB2312" w:cs="Times New Roman"/>
          <w:color w:val="auto"/>
          <w:sz w:val="32"/>
          <w:szCs w:val="32"/>
          <w:lang w:val="en-US" w:eastAsia="zh-CN"/>
        </w:rPr>
        <w:t>来谋划。主题展以“用好红色资源，传承好红色基因”为主线，全面展示各宗教参与革命斗争、</w:t>
      </w:r>
      <w:r>
        <w:rPr>
          <w:rFonts w:hint="default" w:ascii="Times New Roman" w:hAnsi="Times New Roman" w:eastAsia="仿宋_GB2312" w:cs="Times New Roman"/>
          <w:color w:val="auto"/>
          <w:sz w:val="32"/>
          <w:szCs w:val="32"/>
        </w:rPr>
        <w:t>社会主义</w:t>
      </w:r>
      <w:r>
        <w:rPr>
          <w:rFonts w:hint="default" w:ascii="Times New Roman" w:hAnsi="Times New Roman" w:eastAsia="仿宋_GB2312" w:cs="Times New Roman"/>
          <w:color w:val="auto"/>
          <w:sz w:val="32"/>
          <w:szCs w:val="32"/>
          <w:lang w:eastAsia="zh-CN"/>
        </w:rPr>
        <w:t>建设和促进民族团结的</w:t>
      </w:r>
      <w:r>
        <w:rPr>
          <w:rFonts w:hint="default" w:ascii="Times New Roman" w:hAnsi="Times New Roman" w:eastAsia="仿宋_GB2312" w:cs="Times New Roman"/>
          <w:color w:val="auto"/>
          <w:sz w:val="32"/>
          <w:szCs w:val="32"/>
        </w:rPr>
        <w:t>典型人物和</w:t>
      </w:r>
      <w:r>
        <w:rPr>
          <w:rFonts w:hint="default" w:ascii="Times New Roman" w:hAnsi="Times New Roman" w:eastAsia="仿宋_GB2312" w:cs="Times New Roman"/>
          <w:color w:val="auto"/>
          <w:sz w:val="32"/>
          <w:szCs w:val="32"/>
          <w:lang w:eastAsia="zh-CN"/>
        </w:rPr>
        <w:t>事迹。</w:t>
      </w:r>
      <w:r>
        <w:rPr>
          <w:rFonts w:hint="default" w:ascii="Times New Roman" w:hAnsi="Times New Roman" w:eastAsia="仿宋_GB2312" w:cs="Times New Roman"/>
          <w:color w:val="auto"/>
          <w:kern w:val="2"/>
          <w:sz w:val="32"/>
          <w:szCs w:val="32"/>
          <w:lang w:val="en-US" w:eastAsia="zh-CN" w:bidi="ar-SA"/>
        </w:rPr>
        <w:t>座谈会以铸牢中华民族共同体意识为主题，各宗教代表结合实际，分享交流宗教界对铸牢中华民族共同体意识的认识、感悟和思考。</w:t>
      </w:r>
      <w:r>
        <w:rPr>
          <w:rFonts w:hint="default" w:ascii="Times New Roman" w:hAnsi="Times New Roman" w:eastAsia="仿宋_GB2312" w:cs="Times New Roman"/>
          <w:b w:val="0"/>
          <w:bCs w:val="0"/>
          <w:color w:val="auto"/>
          <w:sz w:val="32"/>
          <w:szCs w:val="32"/>
          <w:lang w:val="en-US" w:eastAsia="zh-CN"/>
        </w:rPr>
        <w:t>整个活动取得良好的政治效果、社会效果，向利主席在我委相关报告上批示：“今年活动很有特色，又有提升，特别是‘与党同心、与国同行’主题鲜明。望常抓不懈，久久为功！”。</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（四）项目效益情况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宗教界人士一致认为本次活动主题鲜明、内容丰富、形式新颖，有吸引力、有感召力，激发了</w:t>
      </w:r>
      <w:r>
        <w:rPr>
          <w:rFonts w:hint="default" w:ascii="Times New Roman" w:hAnsi="Times New Roman" w:eastAsia="仿宋_GB2312" w:cs="Times New Roman"/>
          <w:color w:val="auto"/>
          <w:sz w:val="32"/>
          <w:szCs w:val="32"/>
        </w:rPr>
        <w:t>爱国爱教爱家乡的真挚情感，</w:t>
      </w:r>
      <w:r>
        <w:rPr>
          <w:rFonts w:hint="default" w:ascii="Times New Roman" w:hAnsi="Times New Roman" w:eastAsia="仿宋_GB2312" w:cs="Times New Roman"/>
          <w:color w:val="auto"/>
          <w:sz w:val="32"/>
          <w:szCs w:val="32"/>
          <w:lang w:eastAsia="zh-CN"/>
        </w:rPr>
        <w:t>展现了践行社会主义核心价值观、坚持宗教中国化方向的行动自觉，体现了维护祖国统一、促进民族团结、投身家乡建设的责任担当。</w:t>
      </w:r>
    </w:p>
    <w:p>
      <w:pPr>
        <w:keepNext w:val="0"/>
        <w:keepLines w:val="0"/>
        <w:pageBreakBefore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bCs/>
          <w:color w:val="auto"/>
          <w:sz w:val="32"/>
          <w:szCs w:val="32"/>
          <w:lang w:eastAsia="zh-CN"/>
        </w:rPr>
        <w:t>进一步增强宗教界的爱国热情，</w:t>
      </w:r>
      <w:r>
        <w:rPr>
          <w:rFonts w:hint="default" w:ascii="Times New Roman" w:hAnsi="Times New Roman" w:eastAsia="仿宋_GB2312" w:cs="Times New Roman"/>
          <w:b/>
          <w:bCs/>
          <w:color w:val="auto"/>
          <w:sz w:val="32"/>
          <w:szCs w:val="32"/>
        </w:rPr>
        <w:t>增进对</w:t>
      </w:r>
      <w:r>
        <w:rPr>
          <w:rFonts w:hint="default" w:ascii="Times New Roman" w:hAnsi="Times New Roman" w:eastAsia="仿宋_GB2312" w:cs="Times New Roman"/>
          <w:b/>
          <w:bCs/>
          <w:color w:val="auto"/>
          <w:sz w:val="32"/>
          <w:szCs w:val="32"/>
          <w:lang w:eastAsia="zh-CN"/>
        </w:rPr>
        <w:t>伟大祖国、中华民族、中华文化、中国共产党、中国特色社会主义</w:t>
      </w:r>
      <w:r>
        <w:rPr>
          <w:rFonts w:hint="default" w:ascii="Times New Roman" w:hAnsi="Times New Roman" w:eastAsia="仿宋_GB2312" w:cs="Times New Roman"/>
          <w:b/>
          <w:bCs/>
          <w:color w:val="auto"/>
          <w:sz w:val="32"/>
          <w:szCs w:val="32"/>
        </w:rPr>
        <w:t>的</w:t>
      </w:r>
      <w:r>
        <w:rPr>
          <w:rFonts w:hint="default" w:ascii="Times New Roman" w:hAnsi="Times New Roman" w:eastAsia="仿宋_GB2312" w:cs="Times New Roman"/>
          <w:b/>
          <w:bCs/>
          <w:color w:val="auto"/>
          <w:sz w:val="32"/>
          <w:szCs w:val="32"/>
          <w:lang w:eastAsia="zh-CN"/>
        </w:rPr>
        <w:t>认同。</w:t>
      </w:r>
      <w:r>
        <w:rPr>
          <w:rFonts w:hint="default" w:ascii="Times New Roman" w:hAnsi="Times New Roman" w:eastAsia="仿宋_GB2312" w:cs="Times New Roman"/>
          <w:b w:val="0"/>
          <w:bCs w:val="0"/>
          <w:color w:val="auto"/>
          <w:kern w:val="0"/>
          <w:sz w:val="32"/>
          <w:szCs w:val="32"/>
          <w:lang w:val="en-US" w:eastAsia="zh-CN" w:bidi="ar-SA"/>
        </w:rPr>
        <w:t>都江堰清真寺管委会原主任张伯夫</w:t>
      </w:r>
      <w:r>
        <w:rPr>
          <w:rFonts w:hint="default" w:ascii="Times New Roman" w:hAnsi="Times New Roman" w:eastAsia="仿宋_GB2312" w:cs="Times New Roman"/>
          <w:bCs/>
          <w:color w:val="auto"/>
          <w:sz w:val="32"/>
          <w:szCs w:val="32"/>
          <w:lang w:eastAsia="zh-CN"/>
        </w:rPr>
        <w:t>年迈九旬，</w:t>
      </w:r>
      <w:r>
        <w:rPr>
          <w:rFonts w:hint="default" w:ascii="Times New Roman" w:hAnsi="Times New Roman" w:eastAsia="仿宋_GB2312" w:cs="Times New Roman"/>
          <w:bCs/>
          <w:color w:val="auto"/>
          <w:sz w:val="32"/>
          <w:szCs w:val="32"/>
          <w:lang w:val="en-US" w:eastAsia="zh-CN"/>
        </w:rPr>
        <w:t>主动申请参加升国旗仪式。他说：“如不能参加这次活动我将终生遗憾。”活动后感叹道：“第一次参加如此盛大、如此庄严的升国旗仪式，更加感受到没有共产党就没有今天的盛世繁华，就没有今天的国泰民安</w:t>
      </w:r>
      <w:r>
        <w:rPr>
          <w:rFonts w:hint="default" w:ascii="Times New Roman" w:hAnsi="Times New Roman" w:eastAsia="仿宋_GB2312" w:cs="Times New Roman"/>
          <w:bCs/>
          <w:color w:val="auto"/>
          <w:kern w:val="2"/>
          <w:sz w:val="32"/>
          <w:szCs w:val="32"/>
          <w:lang w:val="en-US" w:eastAsia="zh-CN" w:bidi="ar-SA"/>
        </w:rPr>
        <w:t>，更不会有民族团结、宗教和顺保障下的幸福生活。”</w:t>
      </w:r>
      <w:r>
        <w:rPr>
          <w:rFonts w:hint="default" w:ascii="Times New Roman" w:hAnsi="Times New Roman" w:eastAsia="仿宋_GB2312" w:cs="Times New Roman"/>
          <w:b w:val="0"/>
          <w:bCs w:val="0"/>
          <w:color w:val="auto"/>
          <w:kern w:val="0"/>
          <w:sz w:val="32"/>
          <w:szCs w:val="32"/>
          <w:lang w:val="en-US" w:eastAsia="zh-CN" w:bidi="ar-SA"/>
        </w:rPr>
        <w:t>省佛教协会副会长达扎·尕让托布旦拉西降措：</w:t>
      </w:r>
      <w:r>
        <w:rPr>
          <w:rFonts w:hint="default" w:ascii="Times New Roman" w:hAnsi="Times New Roman" w:eastAsia="仿宋_GB2312" w:cs="Times New Roman"/>
          <w:bCs/>
          <w:color w:val="auto"/>
          <w:kern w:val="2"/>
          <w:sz w:val="32"/>
          <w:szCs w:val="32"/>
          <w:lang w:val="en-US" w:eastAsia="zh-CN" w:bidi="ar-SA"/>
        </w:rPr>
        <w:t>“参加集中升国旗仪式，</w:t>
      </w:r>
      <w:r>
        <w:rPr>
          <w:rFonts w:hint="default" w:ascii="Times New Roman" w:hAnsi="Times New Roman" w:eastAsia="仿宋_GB2312" w:cs="Times New Roman"/>
          <w:color w:val="auto"/>
          <w:sz w:val="32"/>
          <w:szCs w:val="32"/>
          <w:shd w:val="clear" w:color="auto" w:fill="FFFFFF"/>
          <w:lang w:val="en-US" w:eastAsia="zh-CN"/>
        </w:rPr>
        <w:t>进一步</w:t>
      </w:r>
      <w:r>
        <w:rPr>
          <w:rFonts w:hint="default" w:ascii="Times New Roman" w:hAnsi="Times New Roman" w:eastAsia="仿宋_GB2312" w:cs="Times New Roman"/>
          <w:color w:val="auto"/>
          <w:sz w:val="32"/>
          <w:szCs w:val="32"/>
        </w:rPr>
        <w:t>增强了我对</w:t>
      </w:r>
      <w:r>
        <w:rPr>
          <w:rFonts w:hint="default" w:ascii="Times New Roman" w:hAnsi="Times New Roman" w:eastAsia="仿宋_GB2312" w:cs="Times New Roman"/>
          <w:color w:val="auto"/>
          <w:sz w:val="32"/>
          <w:szCs w:val="32"/>
          <w:lang w:eastAsia="zh-CN"/>
        </w:rPr>
        <w:t>伟大</w:t>
      </w:r>
      <w:r>
        <w:rPr>
          <w:rFonts w:hint="default" w:ascii="Times New Roman" w:hAnsi="Times New Roman" w:eastAsia="仿宋_GB2312" w:cs="Times New Roman"/>
          <w:color w:val="auto"/>
          <w:sz w:val="32"/>
          <w:szCs w:val="32"/>
        </w:rPr>
        <w:t>祖国的认同感和爱国情怀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更加坚定了自己要作好表率，带头发扬爱国爱教优良传统，坚决维护祖国统一和民族团结，守法持戒，正言正行，在促进藏传佛教健康传承、与社会主义社会相适应方面贡献佛教界正能量。”</w:t>
      </w:r>
      <w:r>
        <w:rPr>
          <w:rFonts w:hint="default" w:ascii="Times New Roman" w:hAnsi="Times New Roman" w:eastAsia="仿宋_GB2312" w:cs="Times New Roman"/>
          <w:b w:val="0"/>
          <w:bCs w:val="0"/>
          <w:color w:val="auto"/>
          <w:kern w:val="0"/>
          <w:sz w:val="32"/>
          <w:szCs w:val="32"/>
          <w:lang w:val="en-US" w:eastAsia="zh-CN" w:bidi="ar-SA"/>
        </w:rPr>
        <w:t>省天主教爱国会主席雷世银：</w:t>
      </w:r>
      <w:r>
        <w:rPr>
          <w:rFonts w:hint="default" w:ascii="Times New Roman" w:hAnsi="Times New Roman" w:eastAsia="仿宋_GB2312" w:cs="Times New Roman"/>
          <w:b w:val="0"/>
          <w:bCs w:val="0"/>
          <w:color w:val="auto"/>
          <w:kern w:val="2"/>
          <w:sz w:val="32"/>
          <w:szCs w:val="32"/>
          <w:lang w:val="en-US" w:eastAsia="zh-CN" w:bidi="ar-SA"/>
        </w:rPr>
        <w:t>“本次活动展示了新时期宗教界的新面貌，我们将进一步提</w:t>
      </w:r>
      <w:r>
        <w:rPr>
          <w:rFonts w:hint="default" w:ascii="Times New Roman" w:hAnsi="Times New Roman" w:eastAsia="仿宋_GB2312" w:cs="Times New Roman"/>
          <w:color w:val="auto"/>
          <w:sz w:val="32"/>
          <w:szCs w:val="32"/>
          <w:lang w:eastAsia="zh-CN"/>
        </w:rPr>
        <w:t>高爱党爱国爱社会主义的政治站位，带领信众坚持独立自主自办原则，不断与社会主义社会相适应</w:t>
      </w:r>
      <w:r>
        <w:rPr>
          <w:rFonts w:hint="default" w:ascii="Times New Roman" w:hAnsi="Times New Roman" w:eastAsia="仿宋_GB2312" w:cs="Times New Roman"/>
          <w:b w:val="0"/>
          <w:bCs w:val="0"/>
          <w:color w:val="auto"/>
          <w:kern w:val="2"/>
          <w:sz w:val="32"/>
          <w:szCs w:val="32"/>
          <w:lang w:val="en-US" w:eastAsia="zh-CN" w:bidi="ar-SA"/>
        </w:rPr>
        <w:t>。”</w:t>
      </w:r>
    </w:p>
    <w:p>
      <w:pPr>
        <w:pStyle w:val="33"/>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2"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bCs/>
          <w:color w:val="auto"/>
          <w:sz w:val="32"/>
          <w:szCs w:val="32"/>
          <w:lang w:eastAsia="zh-CN"/>
        </w:rPr>
        <w:t>进一步激发宗教界传承中华优秀传统文化、坚持宗教中国化方向的思想自觉和行动自觉。</w:t>
      </w:r>
      <w:r>
        <w:rPr>
          <w:rFonts w:hint="default" w:ascii="Times New Roman" w:hAnsi="Times New Roman" w:eastAsia="仿宋_GB2312" w:cs="Times New Roman"/>
          <w:b w:val="0"/>
          <w:bCs w:val="0"/>
          <w:color w:val="auto"/>
          <w:kern w:val="0"/>
          <w:sz w:val="32"/>
          <w:szCs w:val="32"/>
          <w:lang w:val="en-US" w:eastAsia="zh-CN" w:bidi="ar-SA"/>
        </w:rPr>
        <w:t>省天主教“两会”副主席王怀茂：</w:t>
      </w:r>
      <w:r>
        <w:rPr>
          <w:rFonts w:hint="default" w:ascii="Times New Roman" w:hAnsi="Times New Roman" w:eastAsia="仿宋_GB2312" w:cs="Times New Roman"/>
          <w:b w:val="0"/>
          <w:bCs w:val="0"/>
          <w:color w:val="auto"/>
          <w:kern w:val="2"/>
          <w:sz w:val="32"/>
          <w:szCs w:val="32"/>
          <w:lang w:val="en-US" w:eastAsia="zh-CN" w:bidi="ar-SA"/>
        </w:rPr>
        <w:t>“主题展体现了我省宗教界坚持宗教中国化方向的自觉行动，体现了爱党爱国爱社会主义的真挚情感，拓展了宗教界信仰学修的新境界。”</w:t>
      </w:r>
      <w:r>
        <w:rPr>
          <w:rFonts w:hint="default" w:ascii="Times New Roman" w:hAnsi="Times New Roman" w:eastAsia="仿宋_GB2312" w:cs="Times New Roman"/>
          <w:b w:val="0"/>
          <w:bCs w:val="0"/>
          <w:color w:val="auto"/>
          <w:kern w:val="0"/>
          <w:sz w:val="32"/>
          <w:szCs w:val="32"/>
          <w:lang w:val="en-US" w:eastAsia="zh-CN" w:bidi="ar-SA"/>
        </w:rPr>
        <w:t>省基督教三自爱国运动委员会副主席兼秘书长、省基督教协会副会长兼总干事张健：</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color w:val="auto"/>
          <w:sz w:val="32"/>
          <w:szCs w:val="32"/>
          <w:lang w:eastAsia="zh-CN"/>
        </w:rPr>
        <w:t>我们要进一步加强团体自身建设，加强神学思想建设，加强宗教人才培养，坚持基督教中国化方向，引导信教群众坚持正信正行，共同维护社会和谐稳定，共创伟大祖国美好的明天！”</w:t>
      </w:r>
    </w:p>
    <w:p>
      <w:pPr>
        <w:keepNext w:val="0"/>
        <w:keepLines w:val="0"/>
        <w:pageBreakBefore w:val="0"/>
        <w:kinsoku/>
        <w:wordWrap/>
        <w:overflowPunct/>
        <w:topLinePunct w:val="0"/>
        <w:autoSpaceDE/>
        <w:autoSpaceDN/>
        <w:bidi w:val="0"/>
        <w:spacing w:line="60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bCs/>
          <w:color w:val="auto"/>
          <w:sz w:val="32"/>
          <w:szCs w:val="32"/>
          <w:lang w:eastAsia="zh-CN"/>
        </w:rPr>
        <w:t>进一步增强宗教界铸牢中华民族共同体意识的责任感和紧迫感。</w:t>
      </w:r>
      <w:r>
        <w:rPr>
          <w:rFonts w:hint="default" w:ascii="Times New Roman" w:hAnsi="Times New Roman" w:eastAsia="仿宋_GB2312" w:cs="Times New Roman"/>
          <w:b w:val="0"/>
          <w:bCs w:val="0"/>
          <w:color w:val="auto"/>
          <w:kern w:val="0"/>
          <w:sz w:val="32"/>
          <w:szCs w:val="32"/>
          <w:lang w:val="en-US" w:eastAsia="zh-CN" w:bidi="ar-SA"/>
        </w:rPr>
        <w:t>省道教协会会长唐诚青：</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铸牢中华民族共同体意识</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加强民族团结</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color w:val="auto"/>
          <w:sz w:val="32"/>
          <w:szCs w:val="32"/>
        </w:rPr>
        <w:t>社会和谐稳定、国家长治久安的重要</w:t>
      </w:r>
      <w:r>
        <w:rPr>
          <w:rFonts w:hint="default" w:ascii="Times New Roman" w:hAnsi="Times New Roman" w:eastAsia="仿宋_GB2312" w:cs="Times New Roman"/>
          <w:color w:val="auto"/>
          <w:sz w:val="32"/>
          <w:szCs w:val="32"/>
          <w:lang w:eastAsia="zh-CN"/>
        </w:rPr>
        <w:t>保障。今后我们要</w:t>
      </w:r>
      <w:r>
        <w:rPr>
          <w:rFonts w:hint="default" w:ascii="Times New Roman" w:hAnsi="Times New Roman" w:eastAsia="仿宋_GB2312" w:cs="Times New Roman"/>
          <w:color w:val="auto"/>
          <w:sz w:val="32"/>
          <w:szCs w:val="32"/>
          <w:lang w:val="en-US" w:eastAsia="zh-CN"/>
        </w:rPr>
        <w:t>以社会主义核心价值观为引领，始终与党同心、与国同行，进一步增强</w:t>
      </w:r>
      <w:r>
        <w:rPr>
          <w:rFonts w:hint="default" w:ascii="Times New Roman" w:hAnsi="Times New Roman" w:eastAsia="仿宋_GB2312" w:cs="Times New Roman"/>
          <w:color w:val="auto"/>
          <w:sz w:val="32"/>
          <w:szCs w:val="32"/>
        </w:rPr>
        <w:t>铸牢中华民族共同体意识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思想和行动自觉。”</w:t>
      </w:r>
      <w:r>
        <w:rPr>
          <w:rFonts w:hint="default" w:ascii="Times New Roman" w:hAnsi="Times New Roman" w:eastAsia="仿宋_GB2312" w:cs="Times New Roman"/>
          <w:b w:val="0"/>
          <w:bCs w:val="0"/>
          <w:color w:val="auto"/>
          <w:kern w:val="0"/>
          <w:sz w:val="32"/>
          <w:szCs w:val="32"/>
          <w:lang w:val="en-US" w:eastAsia="zh-CN" w:bidi="ar-SA"/>
        </w:rPr>
        <w:t>省伊斯兰教协会副秘书长陈坤:</w:t>
      </w:r>
      <w:r>
        <w:rPr>
          <w:rFonts w:hint="default" w:ascii="Times New Roman" w:hAnsi="Times New Roman" w:eastAsia="仿宋_GB2312" w:cs="Times New Roman"/>
          <w:b w:val="0"/>
          <w:bCs w:val="0"/>
          <w:color w:val="auto"/>
          <w:sz w:val="32"/>
          <w:szCs w:val="32"/>
          <w:lang w:val="en-US" w:eastAsia="zh-CN"/>
        </w:rPr>
        <w:t>“参加此次活动，再一次感受到了五大教的和谐共处，民族团结的磅礴力量。作为一名新时期的年轻阿訇，必须牢固树立中华民族共同体意识，成为维护民族团结、社会稳定、宗教和睦的好阿訇。”</w:t>
      </w:r>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四是进一步锤炼了工作队伍。</w:t>
      </w:r>
      <w:r>
        <w:rPr>
          <w:rFonts w:hint="default" w:ascii="Times New Roman" w:hAnsi="Times New Roman" w:eastAsia="仿宋_GB2312" w:cs="Times New Roman"/>
          <w:b w:val="0"/>
          <w:bCs w:val="0"/>
          <w:color w:val="auto"/>
          <w:sz w:val="32"/>
          <w:szCs w:val="32"/>
          <w:lang w:val="en-US" w:eastAsia="zh-CN"/>
        </w:rPr>
        <w:t>本次活动时间紧，且受疫情防控和清真寺客观条件限制，筹备难度比前两年都大。委机关处室和各宗教团体的同志们刻苦奋战，较好地完成了任务。不仅提高了工作队伍的思想认识，锤炼了工作作风，而且增强了组织大型活动的能力水平，文化品味也得到了较大提升。基督教讲解员伍婷婷在身体不适的情况下，坚决不愿放弃这次难得的机会，坚持担任讲解工作。省伊斯兰教协会副秘书长虎毅表示，这次各宗教主题展改用人机结合的视频方式，展示要求高、制作难度大，虽然比往年付出更多，但极大开拓了视野，对立足现有条件创新开展工作有了深刻的体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五、存在主要问题</w:t>
      </w:r>
    </w:p>
    <w:p>
      <w:pPr>
        <w:pStyle w:val="1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受疫情影响，压缩了此次主题活动规模，减少了参加人员，造成项目年初预算经费结余。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六、相关措施建议</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提高预算编制的精准性。严格遵守《中华人民共和国预算法》，进一步细化量化项目经费，充分考虑疫情等不可控因素的影响，将项目的实施和预算与时事政治、国家大政方针有机结合，提高项目可行性和预算精准性。</w:t>
      </w:r>
    </w:p>
    <w:p>
      <w:pPr>
        <w:widowControl/>
        <w:adjustRightInd w:val="0"/>
        <w:snapToGrid w:val="0"/>
        <w:spacing w:line="580" w:lineRule="exact"/>
        <w:ind w:firstLine="640" w:firstLineChars="200"/>
        <w:contextualSpacing/>
        <w:jc w:val="left"/>
        <w:rPr>
          <w:rFonts w:hint="default" w:ascii="Times New Roman" w:hAnsi="Times New Roman" w:eastAsia="宋体" w:cs="Times New Roman"/>
          <w:b/>
          <w:i w:val="0"/>
          <w:color w:val="auto"/>
          <w:spacing w:val="-6"/>
          <w:sz w:val="32"/>
          <w:szCs w:val="32"/>
          <w:u w:val="none"/>
          <w:lang w:val="en-US" w:eastAsia="zh-CN"/>
        </w:rPr>
      </w:pPr>
      <w:r>
        <w:rPr>
          <w:rFonts w:hint="default" w:ascii="Times New Roman" w:hAnsi="Times New Roman" w:eastAsia="仿宋_GB2312" w:cs="Times New Roman"/>
          <w:color w:val="auto"/>
          <w:sz w:val="32"/>
          <w:szCs w:val="32"/>
          <w:lang w:val="en-US" w:eastAsia="zh-CN"/>
        </w:rPr>
        <w:t>二是加强执行中的动态监控。在预算执行过程中加强对预算及绩效的“双监控”。按照财政有关要求，动态调整预算，提高预算执行率，切实发挥财政资金的使用绩效。</w:t>
      </w:r>
    </w:p>
    <w:p>
      <w:pPr>
        <w:widowControl/>
        <w:adjustRightInd w:val="0"/>
        <w:snapToGrid w:val="0"/>
        <w:spacing w:line="580" w:lineRule="exact"/>
        <w:contextualSpacing/>
        <w:jc w:val="left"/>
        <w:rPr>
          <w:rFonts w:hint="default" w:ascii="Times New Roman" w:hAnsi="Times New Roman" w:eastAsia="宋体" w:cs="Times New Roman"/>
          <w:b/>
          <w:i w:val="0"/>
          <w:color w:val="auto"/>
          <w:spacing w:val="-6"/>
          <w:sz w:val="32"/>
          <w:szCs w:val="32"/>
          <w:u w:val="none"/>
          <w:lang w:val="en-US" w:eastAsia="zh-CN"/>
        </w:rPr>
      </w:pPr>
    </w:p>
    <w:p>
      <w:pPr>
        <w:pStyle w:val="13"/>
        <w:rPr>
          <w:rFonts w:hint="default" w:ascii="Times New Roman" w:hAnsi="Times New Roman" w:eastAsia="宋体" w:cs="Times New Roman"/>
          <w:b/>
          <w:i w:val="0"/>
          <w:color w:val="auto"/>
          <w:spacing w:val="-6"/>
          <w:sz w:val="32"/>
          <w:szCs w:val="32"/>
          <w:u w:val="none"/>
          <w:lang w:val="en-US" w:eastAsia="zh-CN"/>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ind w:firstLine="3080" w:firstLineChars="7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417" w:bottom="1440" w:left="141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AFA0A"/>
    <w:multiLevelType w:val="singleLevel"/>
    <w:tmpl w:val="ACEAFA0A"/>
    <w:lvl w:ilvl="0" w:tentative="0">
      <w:start w:val="3"/>
      <w:numFmt w:val="chineseCounting"/>
      <w:suff w:val="nothing"/>
      <w:lvlText w:val="（%1）"/>
      <w:lvlJc w:val="left"/>
      <w:rPr>
        <w:rFonts w:hint="eastAsia"/>
      </w:rPr>
    </w:lvl>
  </w:abstractNum>
  <w:abstractNum w:abstractNumId="1">
    <w:nsid w:val="BDFFF5E3"/>
    <w:multiLevelType w:val="singleLevel"/>
    <w:tmpl w:val="BDFFF5E3"/>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064A595"/>
    <w:multiLevelType w:val="singleLevel"/>
    <w:tmpl w:val="3064A595"/>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6CC762D"/>
    <w:rsid w:val="39AE70AB"/>
    <w:rsid w:val="3C0C0783"/>
    <w:rsid w:val="3D3E8001"/>
    <w:rsid w:val="3F9F3A96"/>
    <w:rsid w:val="493C27E9"/>
    <w:rsid w:val="496F39ED"/>
    <w:rsid w:val="49DF1F46"/>
    <w:rsid w:val="49FF41D3"/>
    <w:rsid w:val="4BE068DB"/>
    <w:rsid w:val="4BF6002B"/>
    <w:rsid w:val="4ECE2238"/>
    <w:rsid w:val="51DB4B86"/>
    <w:rsid w:val="55333C3E"/>
    <w:rsid w:val="566ADF41"/>
    <w:rsid w:val="5FDFC558"/>
    <w:rsid w:val="64CA39A1"/>
    <w:rsid w:val="6C4A05C8"/>
    <w:rsid w:val="72734D90"/>
    <w:rsid w:val="75EEB813"/>
    <w:rsid w:val="77CF7B40"/>
    <w:rsid w:val="79E7B28D"/>
    <w:rsid w:val="7B7FE711"/>
    <w:rsid w:val="7F7D789D"/>
    <w:rsid w:val="7F9F20EE"/>
    <w:rsid w:val="7FF770D5"/>
    <w:rsid w:val="8EFF7EF4"/>
    <w:rsid w:val="9E3A10E2"/>
    <w:rsid w:val="BDFC0651"/>
    <w:rsid w:val="DB7EC303"/>
    <w:rsid w:val="E76EED2E"/>
    <w:rsid w:val="E9FFE24C"/>
    <w:rsid w:val="EE4F7AA7"/>
    <w:rsid w:val="EF5AAB01"/>
    <w:rsid w:val="F2E1F9D4"/>
    <w:rsid w:val="F7880819"/>
    <w:rsid w:val="F7F76A4D"/>
    <w:rsid w:val="FD675B46"/>
    <w:rsid w:val="FEEDEC87"/>
    <w:rsid w:val="FFC911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jc w:val="left"/>
    </w:pPr>
    <w:rPr>
      <w:rFonts w:ascii="Calibri" w:hAnsi="Calibri"/>
      <w:kern w:val="0"/>
      <w:szCs w:val="21"/>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1"/>
    <w:next w:val="1"/>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font11"/>
    <w:basedOn w:val="15"/>
    <w:qFormat/>
    <w:uiPriority w:val="0"/>
    <w:rPr>
      <w:rFonts w:hint="eastAsia" w:ascii="宋体" w:hAnsi="宋体" w:eastAsia="宋体" w:cs="宋体"/>
      <w:color w:val="000000"/>
      <w:sz w:val="24"/>
      <w:szCs w:val="24"/>
      <w:u w:val="none"/>
    </w:rPr>
  </w:style>
  <w:style w:type="paragraph" w:customStyle="1" w:styleId="33">
    <w:name w:val="content-tex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home/user/Desktop/2022/2021&#24180;&#20915;&#31639;&#20844;&#24320;/&#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esktop/2022/2021&#24180;&#20915;&#31639;&#20844;&#24320;/&#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ser/Desktop/2022/2021&#24180;&#20915;&#31639;&#20844;&#24320;/&#2227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user/Desktop/2022/2021&#24180;&#20915;&#31639;&#20844;&#24320;/&#2227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Desktop/2022/2021&#24180;&#20915;&#31639;&#20844;&#24320;/&#2227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user/Desktop/2022/2021&#24180;&#20915;&#31639;&#20844;&#24320;/&#2227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ome/user/Desktop/2022/2021&#24180;&#20915;&#31639;&#20844;&#24320;/&#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43888888888889"/>
          <c:y val="0.00694444444444444"/>
          <c:w val="0.868666666666667"/>
          <c:h val="0.837592592592593"/>
        </c:manualLayout>
      </c:layout>
      <c:barChart>
        <c:barDir val="col"/>
        <c:grouping val="clustered"/>
        <c:varyColors val="false"/>
        <c:ser>
          <c:idx val="0"/>
          <c:order val="0"/>
          <c:spPr>
            <a:solidFill>
              <a:schemeClr val="accent1"/>
            </a:solidFill>
            <a:ln>
              <a:noFill/>
            </a:ln>
            <a:effectLst/>
          </c:spPr>
          <c:invertIfNegative val="false"/>
          <c:dLbls>
            <c:delete val="true"/>
          </c:dLbls>
          <c:cat>
            <c:strRef>
              <c:f>[图.xls]Sheet1!$B$2:$C$2</c:f>
              <c:strCache>
                <c:ptCount val="2"/>
                <c:pt idx="0">
                  <c:v>2021年</c:v>
                </c:pt>
                <c:pt idx="1">
                  <c:v>2020年</c:v>
                </c:pt>
              </c:strCache>
            </c:strRef>
          </c:cat>
          <c:val>
            <c:numRef>
              <c:f>[图.xls]Sheet1!$B$3:$C$3</c:f>
              <c:numCache>
                <c:formatCode>General</c:formatCode>
                <c:ptCount val="2"/>
                <c:pt idx="0">
                  <c:v>5001.42</c:v>
                </c:pt>
                <c:pt idx="1">
                  <c:v>4958.78</c:v>
                </c:pt>
              </c:numCache>
            </c:numRef>
          </c:val>
        </c:ser>
        <c:dLbls>
          <c:showLegendKey val="false"/>
          <c:showVal val="true"/>
          <c:showCatName val="false"/>
          <c:showSerName val="false"/>
          <c:showPercent val="false"/>
          <c:showBubbleSize val="false"/>
        </c:dLbls>
        <c:gapWidth val="75"/>
        <c:overlap val="-25"/>
        <c:axId val="731313979"/>
        <c:axId val="355844146"/>
      </c:barChart>
      <c:catAx>
        <c:axId val="73131397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5844146"/>
        <c:crosses val="autoZero"/>
        <c:auto val="true"/>
        <c:lblAlgn val="ctr"/>
        <c:lblOffset val="100"/>
        <c:noMultiLvlLbl val="false"/>
      </c:catAx>
      <c:valAx>
        <c:axId val="35584414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131397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[图.xls]Sheet1!$B$19:$C$19</c:f>
              <c:strCache>
                <c:ptCount val="2"/>
                <c:pt idx="0">
                  <c:v>一般公共预算财政拨款收入</c:v>
                </c:pt>
                <c:pt idx="1">
                  <c:v>其他收入</c:v>
                </c:pt>
              </c:strCache>
            </c:strRef>
          </c:cat>
          <c:val>
            <c:numRef>
              <c:f>[图.xls]Sheet1!$B$20:$C$20</c:f>
              <c:numCache>
                <c:formatCode>General</c:formatCode>
                <c:ptCount val="2"/>
                <c:pt idx="0">
                  <c:v>4939.82</c:v>
                </c:pt>
                <c:pt idx="1">
                  <c:v>0.11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100298662571741"/>
                  <c:y val="-0.10952677970324"/>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基本支出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3717.94</a:t>
                    </a:r>
                    <a:r>
                      <a:rPr altLang="en-US"/>
                      <a:t>万元，占比</a:t>
                    </a:r>
                    <a:r>
                      <a:rPr lang="en-US" altLang="zh-CN"/>
                      <a:t>74.68</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项目支出</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1260.45</a:t>
                    </a:r>
                    <a:r>
                      <a:rPr altLang="en-US"/>
                      <a:t>万元，占比</a:t>
                    </a:r>
                    <a:r>
                      <a:rPr lang="en-US" altLang="zh-CN"/>
                      <a:t>25.32%</a:t>
                    </a:r>
                    <a:endParaRPr lang="en-US" altLang="zh-CN"/>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[图.xls]Sheet1!$B$42:$C$42</c:f>
              <c:strCache>
                <c:ptCount val="2"/>
                <c:pt idx="0">
                  <c:v>基本支出</c:v>
                </c:pt>
                <c:pt idx="1">
                  <c:v>项目支出</c:v>
                </c:pt>
              </c:strCache>
            </c:strRef>
          </c:cat>
          <c:val>
            <c:numRef>
              <c:f>[图.xls]Sheet1!$B$43:$C$43</c:f>
              <c:numCache>
                <c:formatCode>General</c:formatCode>
                <c:ptCount val="2"/>
                <c:pt idx="0">
                  <c:v>3717.94</c:v>
                </c:pt>
                <c:pt idx="1">
                  <c:v>1260.45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4932.82万元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4462.84万元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[图.xls]Sheet1!$B$61:$C$61</c:f>
              <c:strCache>
                <c:ptCount val="2"/>
                <c:pt idx="0">
                  <c:v>2021年</c:v>
                </c:pt>
                <c:pt idx="1">
                  <c:v>2022年</c:v>
                </c:pt>
              </c:strCache>
            </c:strRef>
          </c:cat>
          <c:val>
            <c:numRef>
              <c:f>[图.xls]Sheet1!$B$62:$C$62</c:f>
              <c:numCache>
                <c:formatCode>General</c:formatCode>
                <c:ptCount val="2"/>
                <c:pt idx="0">
                  <c:v>4932.82</c:v>
                </c:pt>
                <c:pt idx="1">
                  <c:v>4462.84</c:v>
                </c:pt>
              </c:numCache>
            </c:numRef>
          </c:val>
        </c:ser>
        <c:dLbls>
          <c:showLegendKey val="false"/>
          <c:showVal val="true"/>
          <c:showCatName val="false"/>
          <c:showSerName val="false"/>
          <c:showPercent val="false"/>
          <c:showBubbleSize val="false"/>
        </c:dLbls>
        <c:gapWidth val="75"/>
        <c:overlap val="0"/>
        <c:axId val="235539307"/>
        <c:axId val="145446887"/>
      </c:barChart>
      <c:catAx>
        <c:axId val="23553930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5446887"/>
        <c:crosses val="autoZero"/>
        <c:auto val="true"/>
        <c:lblAlgn val="ctr"/>
        <c:lblOffset val="100"/>
        <c:noMultiLvlLbl val="false"/>
      </c:catAx>
      <c:valAx>
        <c:axId val="145446887"/>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553930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10555555555556"/>
          <c:y val="0.0671296296296294"/>
          <c:w val="0.868666666666667"/>
          <c:h val="0.837592592592593"/>
        </c:manualLayout>
      </c:layout>
      <c:barChart>
        <c:barDir val="col"/>
        <c:grouping val="clustered"/>
        <c:varyColors val="false"/>
        <c:ser>
          <c:idx val="0"/>
          <c:order val="0"/>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4932.82万元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4462.84万元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[图.xls]Sheet1!$B$61:$C$61</c:f>
              <c:strCache>
                <c:ptCount val="2"/>
                <c:pt idx="0">
                  <c:v>2021年</c:v>
                </c:pt>
                <c:pt idx="1">
                  <c:v>2022年</c:v>
                </c:pt>
              </c:strCache>
            </c:strRef>
          </c:cat>
          <c:val>
            <c:numRef>
              <c:f>[图.xls]Sheet1!$B$62:$C$62</c:f>
              <c:numCache>
                <c:formatCode>General</c:formatCode>
                <c:ptCount val="2"/>
                <c:pt idx="0">
                  <c:v>4932.82</c:v>
                </c:pt>
                <c:pt idx="1">
                  <c:v>4462.84</c:v>
                </c:pt>
              </c:numCache>
            </c:numRef>
          </c:val>
        </c:ser>
        <c:dLbls>
          <c:showLegendKey val="false"/>
          <c:showVal val="true"/>
          <c:showCatName val="false"/>
          <c:showSerName val="false"/>
          <c:showPercent val="false"/>
          <c:showBubbleSize val="false"/>
        </c:dLbls>
        <c:gapWidth val="75"/>
        <c:overlap val="0"/>
        <c:axId val="235539307"/>
        <c:axId val="145446887"/>
      </c:barChart>
      <c:catAx>
        <c:axId val="23553930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5446887"/>
        <c:crosses val="autoZero"/>
        <c:auto val="true"/>
        <c:lblAlgn val="ctr"/>
        <c:lblOffset val="100"/>
        <c:noMultiLvlLbl val="false"/>
      </c:catAx>
      <c:valAx>
        <c:axId val="145446887"/>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3553930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0555555555555556"/>
          <c:y val="0.00826446280991736"/>
          <c:w val="0.562962962962963"/>
          <c:h val="0.837465564738292"/>
        </c:manualLayout>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7</a:t>
                    </a:r>
                    <a:r>
                      <a:rPr lang="en-US" altLang="zh-CN"/>
                      <a:t>2.73</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15:layout>
                    <c:manualLayout>
                      <c:w val="0.162037037037037"/>
                      <c:h val="0.200550964187328"/>
                    </c:manualLayout>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a:t>
                    </a:r>
                    <a:r>
                      <a:rPr lang="en-US" altLang="zh-CN"/>
                      <a:t>.28</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15:layout>
                    <c:manualLayout>
                      <c:w val="0.18537037037037"/>
                      <c:h val="0.116804407713499"/>
                    </c:manualLayout>
                  </c15:layout>
                </c:ext>
              </c:extLst>
            </c:dLbl>
            <c:dLbl>
              <c:idx val="2"/>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4.58</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15:layout>
                    <c:manualLayout>
                      <c:w val="0.190740740740741"/>
                      <c:h val="0.0848484848484849"/>
                    </c:manualLayout>
                  </c15:layout>
                </c:ext>
              </c:extLst>
            </c:dLbl>
            <c:dLbl>
              <c:idx val="3"/>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.5</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15:layout>
                    <c:manualLayout>
                      <c:w val="0.133518518518519"/>
                      <c:h val="0.108815426997245"/>
                    </c:manualLayout>
                  </c15:layout>
                </c:ext>
              </c:extLst>
            </c:dLbl>
            <c:dLbl>
              <c:idx val="4"/>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6.9</a:t>
                    </a:r>
                    <a:r>
                      <a:t>%</a:t>
                    </a:r>
                  </a:p>
                </c:rich>
              </c:tx>
              <c:dLblPos val="inEnd"/>
              <c:showLegendKey val="false"/>
              <c:showVal val="false"/>
              <c:showCatName val="false"/>
              <c:showSerName val="false"/>
              <c:showPercent val="true"/>
              <c:showBubbleSize val="false"/>
              <c:extLst>
                <c:ext xmlns:c15="http://schemas.microsoft.com/office/drawing/2012/chart" uri="{CE6537A1-D6FC-4f65-9D91-7224C49458BB}">
                  <c15:layout>
                    <c:manualLayout>
                      <c:w val="0.197777777777778"/>
                      <c:h val="0.113774104683196"/>
                    </c:manualLayout>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[图.xls]Sheet1!$C$3:$G$3</c:f>
              <c:strCache>
                <c:ptCount val="5"/>
                <c:pt idx="0">
                  <c:v>一般公共服务（类）</c:v>
                </c:pt>
                <c:pt idx="1">
                  <c:v>教育支出（类）</c:v>
                </c:pt>
                <c:pt idx="2">
                  <c:v>社会保障和就业（类）</c:v>
                </c:pt>
                <c:pt idx="3">
                  <c:v>卫生健康支出</c:v>
                </c:pt>
                <c:pt idx="4">
                  <c:v>住房保障支出</c:v>
                </c:pt>
              </c:strCache>
            </c:strRef>
          </c:cat>
          <c:val>
            <c:numRef>
              <c:f>[图.xls]Sheet1!$C$4:$G$4</c:f>
              <c:numCache>
                <c:formatCode>General</c:formatCode>
                <c:ptCount val="5"/>
                <c:pt idx="0">
                  <c:v>3587.6</c:v>
                </c:pt>
                <c:pt idx="1">
                  <c:v>112.69</c:v>
                </c:pt>
                <c:pt idx="2">
                  <c:v>719.15</c:v>
                </c:pt>
                <c:pt idx="3">
                  <c:v>172.85</c:v>
                </c:pt>
                <c:pt idx="4">
                  <c:v>340.54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6"/>
          <c:y val="0.29944903581267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[图.xls]Sheet1!$C$31:$E$31</c:f>
              <c:strCache>
                <c:ptCount val="3"/>
                <c:pt idx="0">
                  <c:v>因公出国（境）费</c:v>
                </c:pt>
                <c:pt idx="1">
                  <c:v>公务用车运行维护和购置费</c:v>
                </c:pt>
                <c:pt idx="2">
                  <c:v>公务接待费</c:v>
                </c:pt>
              </c:strCache>
            </c:strRef>
          </c:cat>
          <c:val>
            <c:numRef>
              <c:f>[图.xls]Sheet1!$C$32:$E$32</c:f>
              <c:numCache>
                <c:formatCode>General</c:formatCode>
                <c:ptCount val="3"/>
                <c:pt idx="0">
                  <c:v>0</c:v>
                </c:pt>
                <c:pt idx="1">
                  <c:v>38.68</c:v>
                </c:pt>
                <c:pt idx="2">
                  <c:v>5.69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10</TotalTime>
  <ScaleCrop>false</ScaleCrop>
  <LinksUpToDate>false</LinksUpToDate>
  <CharactersWithSpaces>8692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李郁文</cp:lastModifiedBy>
  <cp:lastPrinted>2022-08-08T10:23:00Z</cp:lastPrinted>
  <dcterms:modified xsi:type="dcterms:W3CDTF">2022-11-16T09:23:31Z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